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692" w:rsidRDefault="00CA7AC8">
      <w:pPr>
        <w:adjustRightInd w:val="0"/>
        <w:snapToGrid w:val="0"/>
        <w:spacing w:line="360" w:lineRule="auto"/>
        <w:rPr>
          <w:rFonts w:ascii="宋体" w:hAnsi="宋体"/>
          <w:sz w:val="24"/>
          <w:szCs w:val="24"/>
          <w:lang w:eastAsia="zh-CN"/>
        </w:rPr>
      </w:pPr>
      <w:r>
        <w:rPr>
          <w:rFonts w:ascii="宋体" w:hAnsi="宋体" w:hint="eastAsia"/>
          <w:sz w:val="24"/>
          <w:szCs w:val="24"/>
          <w:lang w:eastAsia="zh-CN"/>
        </w:rPr>
        <w:t>证券代码：</w:t>
      </w:r>
      <w:r>
        <w:rPr>
          <w:rFonts w:ascii="宋体" w:hAnsi="宋体" w:hint="eastAsia"/>
          <w:sz w:val="24"/>
          <w:szCs w:val="24"/>
          <w:lang w:eastAsia="zh-CN"/>
        </w:rPr>
        <w:t xml:space="preserve">  601860</w:t>
      </w:r>
      <w:r>
        <w:rPr>
          <w:rFonts w:ascii="宋体" w:hAnsi="宋体"/>
          <w:sz w:val="24"/>
          <w:szCs w:val="24"/>
          <w:lang w:eastAsia="zh-CN"/>
        </w:rPr>
        <w:t xml:space="preserve">     </w:t>
      </w:r>
      <w:r>
        <w:rPr>
          <w:rFonts w:ascii="宋体" w:hAnsi="宋体" w:hint="eastAsia"/>
          <w:sz w:val="24"/>
          <w:szCs w:val="24"/>
          <w:lang w:eastAsia="zh-CN"/>
        </w:rPr>
        <w:t>证券简称：</w:t>
      </w:r>
      <w:r>
        <w:rPr>
          <w:rFonts w:ascii="宋体" w:hAnsi="宋体" w:hint="eastAsia"/>
          <w:sz w:val="24"/>
          <w:szCs w:val="24"/>
          <w:lang w:eastAsia="zh-CN"/>
        </w:rPr>
        <w:t xml:space="preserve">  </w:t>
      </w:r>
      <w:r>
        <w:rPr>
          <w:rFonts w:ascii="宋体" w:hAnsi="宋体" w:hint="eastAsia"/>
          <w:sz w:val="24"/>
          <w:szCs w:val="24"/>
          <w:lang w:eastAsia="zh-CN"/>
        </w:rPr>
        <w:t>紫金银行</w:t>
      </w:r>
      <w:r>
        <w:rPr>
          <w:rFonts w:ascii="宋体" w:hAnsi="宋体"/>
          <w:sz w:val="24"/>
          <w:szCs w:val="24"/>
          <w:lang w:eastAsia="zh-CN"/>
        </w:rPr>
        <w:t xml:space="preserve">       </w:t>
      </w:r>
      <w:r>
        <w:rPr>
          <w:rFonts w:ascii="宋体" w:hAnsi="宋体" w:hint="eastAsia"/>
          <w:sz w:val="24"/>
          <w:szCs w:val="24"/>
          <w:lang w:eastAsia="zh-CN"/>
        </w:rPr>
        <w:t>公告编号：</w:t>
      </w:r>
      <w:r>
        <w:rPr>
          <w:rFonts w:ascii="宋体" w:hAnsi="宋体" w:hint="eastAsia"/>
          <w:sz w:val="24"/>
          <w:szCs w:val="24"/>
          <w:lang w:eastAsia="zh-CN"/>
        </w:rPr>
        <w:t>202</w:t>
      </w:r>
      <w:r>
        <w:rPr>
          <w:rFonts w:ascii="宋体" w:hAnsi="宋体" w:hint="eastAsia"/>
          <w:sz w:val="24"/>
          <w:szCs w:val="24"/>
          <w:lang w:eastAsia="zh-CN"/>
        </w:rPr>
        <w:t>5</w:t>
      </w:r>
      <w:r>
        <w:rPr>
          <w:rFonts w:ascii="宋体" w:hAnsi="宋体" w:hint="eastAsia"/>
          <w:sz w:val="24"/>
          <w:szCs w:val="24"/>
          <w:lang w:eastAsia="zh-CN"/>
        </w:rPr>
        <w:t>-</w:t>
      </w:r>
      <w:r>
        <w:rPr>
          <w:rFonts w:ascii="宋体" w:hAnsi="宋体" w:hint="eastAsia"/>
          <w:sz w:val="24"/>
          <w:szCs w:val="24"/>
          <w:lang w:eastAsia="zh-CN"/>
        </w:rPr>
        <w:t>017</w:t>
      </w:r>
    </w:p>
    <w:p w:rsidR="00162692" w:rsidRDefault="00CA7AC8">
      <w:pPr>
        <w:adjustRightInd w:val="0"/>
        <w:snapToGrid w:val="0"/>
        <w:spacing w:line="360" w:lineRule="auto"/>
        <w:rPr>
          <w:rFonts w:ascii="宋体" w:hAnsi="宋体"/>
          <w:sz w:val="24"/>
          <w:szCs w:val="24"/>
          <w:lang w:eastAsia="zh-CN"/>
        </w:rPr>
      </w:pPr>
      <w:r>
        <w:rPr>
          <w:rFonts w:ascii="宋体" w:hAnsi="宋体" w:hint="eastAsia"/>
          <w:sz w:val="24"/>
          <w:szCs w:val="24"/>
          <w:lang w:eastAsia="zh-CN"/>
        </w:rPr>
        <w:t>可转债代码：</w:t>
      </w:r>
      <w:r>
        <w:rPr>
          <w:rFonts w:ascii="宋体" w:hAnsi="宋体" w:hint="eastAsia"/>
          <w:sz w:val="24"/>
          <w:szCs w:val="24"/>
          <w:lang w:eastAsia="zh-CN"/>
        </w:rPr>
        <w:t xml:space="preserve">113037     </w:t>
      </w:r>
      <w:r>
        <w:rPr>
          <w:rFonts w:ascii="宋体" w:hAnsi="宋体" w:hint="eastAsia"/>
          <w:sz w:val="24"/>
          <w:szCs w:val="24"/>
          <w:lang w:eastAsia="zh-CN"/>
        </w:rPr>
        <w:t>可转债简称：</w:t>
      </w:r>
      <w:proofErr w:type="gramStart"/>
      <w:r>
        <w:rPr>
          <w:rFonts w:ascii="宋体" w:hAnsi="宋体" w:hint="eastAsia"/>
          <w:sz w:val="24"/>
          <w:szCs w:val="24"/>
          <w:lang w:eastAsia="zh-CN"/>
        </w:rPr>
        <w:t>紫银转</w:t>
      </w:r>
      <w:proofErr w:type="gramEnd"/>
      <w:r>
        <w:rPr>
          <w:rFonts w:ascii="宋体" w:hAnsi="宋体" w:hint="eastAsia"/>
          <w:sz w:val="24"/>
          <w:szCs w:val="24"/>
          <w:lang w:eastAsia="zh-CN"/>
        </w:rPr>
        <w:t>债</w:t>
      </w:r>
    </w:p>
    <w:p w:rsidR="00162692" w:rsidRDefault="00162692">
      <w:pPr>
        <w:adjustRightInd w:val="0"/>
        <w:snapToGrid w:val="0"/>
        <w:spacing w:line="360" w:lineRule="auto"/>
        <w:rPr>
          <w:rFonts w:ascii="宋体" w:hAnsi="宋体"/>
          <w:sz w:val="24"/>
          <w:szCs w:val="24"/>
          <w:lang w:eastAsia="zh-CN"/>
        </w:rPr>
      </w:pPr>
    </w:p>
    <w:p w:rsidR="00162692" w:rsidRDefault="00CA7AC8">
      <w:pPr>
        <w:pStyle w:val="p0"/>
        <w:snapToGrid w:val="0"/>
        <w:spacing w:line="360" w:lineRule="auto"/>
        <w:jc w:val="center"/>
        <w:rPr>
          <w:rFonts w:ascii="黑体" w:eastAsia="黑体" w:hAnsi="黑体"/>
          <w:color w:val="FF0000"/>
          <w:sz w:val="32"/>
          <w:szCs w:val="32"/>
          <w:lang w:eastAsia="zh-CN"/>
        </w:rPr>
      </w:pPr>
      <w:r>
        <w:rPr>
          <w:rFonts w:ascii="黑体" w:eastAsia="黑体" w:hAnsi="黑体" w:hint="eastAsia"/>
          <w:color w:val="FF0000"/>
          <w:sz w:val="32"/>
          <w:szCs w:val="32"/>
          <w:lang w:eastAsia="zh-CN"/>
        </w:rPr>
        <w:t>江苏紫金农村商业银行股份有限公司</w:t>
      </w:r>
    </w:p>
    <w:p w:rsidR="00162692" w:rsidRDefault="00CA7AC8">
      <w:pPr>
        <w:pStyle w:val="p0"/>
        <w:snapToGrid w:val="0"/>
        <w:spacing w:line="360" w:lineRule="auto"/>
        <w:jc w:val="center"/>
        <w:rPr>
          <w:rFonts w:ascii="黑体" w:eastAsia="黑体" w:hAnsi="黑体"/>
          <w:color w:val="FF0000"/>
          <w:sz w:val="32"/>
          <w:szCs w:val="32"/>
          <w:lang w:eastAsia="zh-CN"/>
        </w:rPr>
      </w:pPr>
      <w:r>
        <w:rPr>
          <w:rFonts w:ascii="黑体" w:eastAsia="黑体" w:hAnsi="黑体" w:hint="eastAsia"/>
          <w:color w:val="FF0000"/>
          <w:sz w:val="32"/>
          <w:szCs w:val="32"/>
          <w:lang w:eastAsia="zh-CN"/>
        </w:rPr>
        <w:t>估值提升计划暨“提质增效重回报”行动方案</w:t>
      </w:r>
    </w:p>
    <w:p w:rsidR="00162692" w:rsidRDefault="00162692">
      <w:pPr>
        <w:pStyle w:val="p0"/>
        <w:snapToGrid w:val="0"/>
        <w:spacing w:line="360" w:lineRule="auto"/>
        <w:ind w:firstLine="420"/>
        <w:jc w:val="center"/>
        <w:rPr>
          <w:rFonts w:ascii="黑体" w:eastAsia="黑体" w:hAnsi="黑体"/>
          <w:color w:val="FF0000"/>
          <w:sz w:val="32"/>
          <w:szCs w:val="32"/>
          <w:lang w:eastAsia="zh-CN"/>
        </w:rPr>
      </w:pPr>
    </w:p>
    <w:p w:rsidR="00162692" w:rsidRDefault="00CA7AC8">
      <w:pPr>
        <w:pBdr>
          <w:top w:val="single" w:sz="4" w:space="1" w:color="auto"/>
          <w:left w:val="single" w:sz="4" w:space="4" w:color="auto"/>
          <w:bottom w:val="single" w:sz="4" w:space="8" w:color="auto"/>
          <w:right w:val="single" w:sz="4" w:space="4" w:color="auto"/>
        </w:pBdr>
        <w:adjustRightInd w:val="0"/>
        <w:snapToGrid w:val="0"/>
        <w:spacing w:line="360" w:lineRule="auto"/>
        <w:ind w:firstLineChars="200" w:firstLine="480"/>
        <w:rPr>
          <w:rFonts w:ascii="宋体" w:hAnsi="宋体" w:cs="宋体"/>
          <w:color w:val="000000"/>
          <w:sz w:val="24"/>
          <w:szCs w:val="24"/>
          <w:lang w:eastAsia="zh-CN"/>
        </w:rPr>
      </w:pPr>
      <w:r>
        <w:rPr>
          <w:rFonts w:ascii="宋体" w:hAnsi="宋体" w:cs="宋体" w:hint="eastAsia"/>
          <w:color w:val="000000"/>
          <w:sz w:val="24"/>
          <w:szCs w:val="24"/>
          <w:lang w:eastAsia="zh-CN"/>
        </w:rPr>
        <w:t>本公司董事会及全体董事保证本公告内容不存在任何虚假记载、误导性陈述或者重大遗漏，并对其内容的真实性、准确性和完整性承担个别及连带责任。</w:t>
      </w:r>
    </w:p>
    <w:p w:rsidR="00162692" w:rsidRDefault="00162692">
      <w:pPr>
        <w:pStyle w:val="1"/>
        <w:spacing w:line="367" w:lineRule="exact"/>
        <w:ind w:left="702" w:firstLine="0"/>
        <w:rPr>
          <w:rFonts w:ascii="宋体" w:eastAsia="宋体" w:hAnsi="宋体" w:cs="宋体"/>
          <w:lang w:eastAsia="zh-CN"/>
        </w:rPr>
      </w:pPr>
    </w:p>
    <w:p w:rsidR="00162692" w:rsidRDefault="00CA7AC8">
      <w:pPr>
        <w:pStyle w:val="1"/>
        <w:spacing w:line="367" w:lineRule="exact"/>
        <w:ind w:left="702" w:firstLine="0"/>
        <w:rPr>
          <w:rFonts w:ascii="宋体" w:eastAsia="宋体" w:hAnsi="宋体" w:cs="宋体"/>
          <w:b w:val="0"/>
          <w:bCs w:val="0"/>
          <w:lang w:eastAsia="zh-CN"/>
        </w:rPr>
      </w:pPr>
      <w:r>
        <w:rPr>
          <w:rFonts w:ascii="宋体" w:eastAsia="宋体" w:hAnsi="宋体" w:cs="宋体" w:hint="eastAsia"/>
          <w:lang w:eastAsia="zh-CN"/>
        </w:rPr>
        <w:t>重要内容提示</w:t>
      </w:r>
      <w:r>
        <w:rPr>
          <w:rFonts w:ascii="宋体" w:eastAsia="宋体" w:hAnsi="宋体" w:cs="宋体" w:hint="eastAsia"/>
          <w:lang w:eastAsia="zh-CN"/>
        </w:rPr>
        <w:t>:</w:t>
      </w:r>
    </w:p>
    <w:p w:rsidR="00162692" w:rsidRDefault="00CA7AC8">
      <w:pPr>
        <w:spacing w:line="560" w:lineRule="exact"/>
        <w:ind w:firstLineChars="200" w:firstLine="480"/>
        <w:rPr>
          <w:rFonts w:ascii="宋体" w:eastAsia="宋体" w:hAnsi="宋体" w:cs="宋体"/>
          <w:sz w:val="24"/>
          <w:szCs w:val="24"/>
          <w:lang w:eastAsia="zh-CN"/>
        </w:rPr>
      </w:pPr>
      <w:r>
        <w:rPr>
          <w:rFonts w:ascii="Wingdings" w:eastAsia="Wingdings" w:hAnsi="Wingdings" w:cs="Wingdings"/>
          <w:sz w:val="24"/>
          <w:szCs w:val="24"/>
          <w:lang w:eastAsia="zh-CN"/>
        </w:rPr>
        <w:t></w:t>
      </w:r>
      <w:r>
        <w:rPr>
          <w:rFonts w:ascii="Wingdings" w:eastAsia="Wingdings" w:hAnsi="Wingdings" w:cs="Wingdings"/>
          <w:spacing w:val="-71"/>
          <w:sz w:val="24"/>
          <w:szCs w:val="24"/>
          <w:lang w:eastAsia="zh-CN"/>
        </w:rPr>
        <w:t></w:t>
      </w:r>
      <w:r>
        <w:rPr>
          <w:rFonts w:ascii="宋体" w:eastAsia="宋体" w:hAnsi="宋体" w:cs="宋体" w:hint="eastAsia"/>
          <w:b/>
          <w:bCs/>
          <w:sz w:val="24"/>
          <w:szCs w:val="24"/>
          <w:lang w:eastAsia="zh-CN"/>
        </w:rPr>
        <w:t>估值提升计划的触发情形及审议程序：</w:t>
      </w:r>
      <w:r>
        <w:rPr>
          <w:rFonts w:ascii="宋体" w:eastAsia="宋体" w:hAnsi="宋体" w:cs="宋体" w:hint="eastAsia"/>
          <w:sz w:val="24"/>
          <w:szCs w:val="24"/>
          <w:lang w:eastAsia="zh-CN"/>
        </w:rPr>
        <w:t>自</w:t>
      </w:r>
      <w:r>
        <w:rPr>
          <w:rFonts w:ascii="宋体" w:eastAsia="宋体" w:hAnsi="宋体" w:cs="宋体" w:hint="eastAsia"/>
          <w:spacing w:val="-63"/>
          <w:sz w:val="24"/>
          <w:szCs w:val="24"/>
          <w:lang w:eastAsia="zh-CN"/>
        </w:rPr>
        <w:t xml:space="preserve"> </w:t>
      </w:r>
      <w:r>
        <w:rPr>
          <w:rFonts w:ascii="宋体" w:eastAsia="宋体" w:hAnsi="宋体" w:cs="宋体" w:hint="eastAsia"/>
          <w:sz w:val="24"/>
          <w:szCs w:val="24"/>
          <w:lang w:eastAsia="zh-CN"/>
        </w:rPr>
        <w:t>2024</w:t>
      </w:r>
      <w:r>
        <w:rPr>
          <w:rFonts w:ascii="宋体" w:eastAsia="宋体" w:hAnsi="宋体" w:cs="宋体" w:hint="eastAsia"/>
          <w:spacing w:val="-63"/>
          <w:sz w:val="24"/>
          <w:szCs w:val="24"/>
          <w:lang w:eastAsia="zh-CN"/>
        </w:rPr>
        <w:t xml:space="preserve"> </w:t>
      </w:r>
      <w:r>
        <w:rPr>
          <w:rFonts w:ascii="宋体" w:eastAsia="宋体" w:hAnsi="宋体" w:cs="宋体" w:hint="eastAsia"/>
          <w:sz w:val="24"/>
          <w:szCs w:val="24"/>
          <w:lang w:eastAsia="zh-CN"/>
        </w:rPr>
        <w:t>年</w:t>
      </w:r>
      <w:r>
        <w:rPr>
          <w:rFonts w:ascii="宋体" w:eastAsia="宋体" w:hAnsi="宋体" w:cs="宋体" w:hint="eastAsia"/>
          <w:spacing w:val="-63"/>
          <w:sz w:val="24"/>
          <w:szCs w:val="24"/>
          <w:lang w:eastAsia="zh-CN"/>
        </w:rPr>
        <w:t xml:space="preserve"> </w:t>
      </w:r>
      <w:r>
        <w:rPr>
          <w:rFonts w:ascii="宋体" w:eastAsia="宋体" w:hAnsi="宋体" w:cs="宋体" w:hint="eastAsia"/>
          <w:sz w:val="24"/>
          <w:szCs w:val="24"/>
          <w:lang w:eastAsia="zh-CN"/>
        </w:rPr>
        <w:t>1</w:t>
      </w:r>
      <w:r>
        <w:rPr>
          <w:rFonts w:ascii="宋体" w:eastAsia="宋体" w:hAnsi="宋体" w:cs="宋体" w:hint="eastAsia"/>
          <w:spacing w:val="-63"/>
          <w:sz w:val="24"/>
          <w:szCs w:val="24"/>
          <w:lang w:eastAsia="zh-CN"/>
        </w:rPr>
        <w:t xml:space="preserve"> </w:t>
      </w:r>
      <w:r>
        <w:rPr>
          <w:rFonts w:ascii="宋体" w:eastAsia="宋体" w:hAnsi="宋体" w:cs="宋体" w:hint="eastAsia"/>
          <w:sz w:val="24"/>
          <w:szCs w:val="24"/>
          <w:lang w:eastAsia="zh-CN"/>
        </w:rPr>
        <w:t>月</w:t>
      </w:r>
      <w:r>
        <w:rPr>
          <w:rFonts w:ascii="宋体" w:eastAsia="宋体" w:hAnsi="宋体" w:cs="宋体" w:hint="eastAsia"/>
          <w:spacing w:val="-63"/>
          <w:sz w:val="24"/>
          <w:szCs w:val="24"/>
          <w:lang w:eastAsia="zh-CN"/>
        </w:rPr>
        <w:t xml:space="preserve"> </w:t>
      </w:r>
      <w:r>
        <w:rPr>
          <w:rFonts w:ascii="宋体" w:eastAsia="宋体" w:hAnsi="宋体" w:cs="宋体" w:hint="eastAsia"/>
          <w:sz w:val="24"/>
          <w:szCs w:val="24"/>
          <w:lang w:eastAsia="zh-CN"/>
        </w:rPr>
        <w:t>1</w:t>
      </w:r>
      <w:r>
        <w:rPr>
          <w:rFonts w:ascii="宋体" w:eastAsia="宋体" w:hAnsi="宋体" w:cs="宋体" w:hint="eastAsia"/>
          <w:spacing w:val="-63"/>
          <w:sz w:val="24"/>
          <w:szCs w:val="24"/>
          <w:lang w:eastAsia="zh-CN"/>
        </w:rPr>
        <w:t xml:space="preserve"> </w:t>
      </w:r>
      <w:r>
        <w:rPr>
          <w:rFonts w:ascii="宋体" w:eastAsia="宋体" w:hAnsi="宋体" w:cs="宋体" w:hint="eastAsia"/>
          <w:sz w:val="24"/>
          <w:szCs w:val="24"/>
          <w:lang w:eastAsia="zh-CN"/>
        </w:rPr>
        <w:t>日至</w:t>
      </w:r>
      <w:r>
        <w:rPr>
          <w:rFonts w:ascii="宋体" w:eastAsia="宋体" w:hAnsi="宋体" w:cs="宋体" w:hint="eastAsia"/>
          <w:spacing w:val="-63"/>
          <w:sz w:val="24"/>
          <w:szCs w:val="24"/>
          <w:lang w:eastAsia="zh-CN"/>
        </w:rPr>
        <w:t xml:space="preserve"> </w:t>
      </w:r>
      <w:r>
        <w:rPr>
          <w:rFonts w:ascii="宋体" w:eastAsia="宋体" w:hAnsi="宋体" w:cs="宋体" w:hint="eastAsia"/>
          <w:sz w:val="24"/>
          <w:szCs w:val="24"/>
          <w:lang w:eastAsia="zh-CN"/>
        </w:rPr>
        <w:t>2024</w:t>
      </w:r>
      <w:r>
        <w:rPr>
          <w:rFonts w:ascii="宋体" w:eastAsia="宋体" w:hAnsi="宋体" w:cs="宋体" w:hint="eastAsia"/>
          <w:spacing w:val="-63"/>
          <w:sz w:val="24"/>
          <w:szCs w:val="24"/>
          <w:lang w:eastAsia="zh-CN"/>
        </w:rPr>
        <w:t xml:space="preserve"> </w:t>
      </w:r>
      <w:r>
        <w:rPr>
          <w:rFonts w:ascii="宋体" w:eastAsia="宋体" w:hAnsi="宋体" w:cs="宋体" w:hint="eastAsia"/>
          <w:sz w:val="24"/>
          <w:szCs w:val="24"/>
          <w:lang w:eastAsia="zh-CN"/>
        </w:rPr>
        <w:t>年</w:t>
      </w:r>
      <w:r>
        <w:rPr>
          <w:rFonts w:ascii="宋体" w:eastAsia="宋体" w:hAnsi="宋体" w:cs="宋体" w:hint="eastAsia"/>
          <w:spacing w:val="-63"/>
          <w:sz w:val="24"/>
          <w:szCs w:val="24"/>
          <w:lang w:eastAsia="zh-CN"/>
        </w:rPr>
        <w:t xml:space="preserve"> </w:t>
      </w:r>
      <w:r>
        <w:rPr>
          <w:rFonts w:ascii="宋体" w:eastAsia="宋体" w:hAnsi="宋体" w:cs="宋体" w:hint="eastAsia"/>
          <w:sz w:val="24"/>
          <w:szCs w:val="24"/>
          <w:lang w:eastAsia="zh-CN"/>
        </w:rPr>
        <w:t>12</w:t>
      </w:r>
      <w:r>
        <w:rPr>
          <w:rFonts w:ascii="宋体" w:eastAsia="宋体" w:hAnsi="宋体" w:cs="宋体" w:hint="eastAsia"/>
          <w:sz w:val="24"/>
          <w:szCs w:val="24"/>
          <w:lang w:eastAsia="zh-CN"/>
        </w:rPr>
        <w:t>月</w:t>
      </w:r>
      <w:r>
        <w:rPr>
          <w:rFonts w:ascii="宋体" w:eastAsia="宋体" w:hAnsi="宋体" w:cs="宋体" w:hint="eastAsia"/>
          <w:spacing w:val="-60"/>
          <w:sz w:val="24"/>
          <w:szCs w:val="24"/>
          <w:lang w:eastAsia="zh-CN"/>
        </w:rPr>
        <w:t xml:space="preserve"> </w:t>
      </w:r>
      <w:r>
        <w:rPr>
          <w:rFonts w:ascii="宋体" w:eastAsia="宋体" w:hAnsi="宋体" w:cs="宋体" w:hint="eastAsia"/>
          <w:sz w:val="24"/>
          <w:szCs w:val="24"/>
          <w:lang w:eastAsia="zh-CN"/>
        </w:rPr>
        <w:t>31</w:t>
      </w:r>
      <w:r>
        <w:rPr>
          <w:rFonts w:ascii="宋体" w:eastAsia="宋体" w:hAnsi="宋体" w:cs="宋体" w:hint="eastAsia"/>
          <w:spacing w:val="-59"/>
          <w:sz w:val="24"/>
          <w:szCs w:val="24"/>
          <w:lang w:eastAsia="zh-CN"/>
        </w:rPr>
        <w:t xml:space="preserve"> </w:t>
      </w:r>
      <w:r>
        <w:rPr>
          <w:rFonts w:ascii="宋体" w:eastAsia="宋体" w:hAnsi="宋体" w:cs="宋体" w:hint="eastAsia"/>
          <w:spacing w:val="-11"/>
          <w:sz w:val="24"/>
          <w:szCs w:val="24"/>
          <w:lang w:eastAsia="zh-CN"/>
        </w:rPr>
        <w:t>日，本行股票已连续</w:t>
      </w:r>
      <w:r>
        <w:rPr>
          <w:rFonts w:ascii="宋体" w:eastAsia="宋体" w:hAnsi="宋体" w:cs="宋体" w:hint="eastAsia"/>
          <w:spacing w:val="-59"/>
          <w:sz w:val="24"/>
          <w:szCs w:val="24"/>
          <w:lang w:eastAsia="zh-CN"/>
        </w:rPr>
        <w:t xml:space="preserve"> </w:t>
      </w:r>
      <w:r>
        <w:rPr>
          <w:rFonts w:ascii="宋体" w:eastAsia="宋体" w:hAnsi="宋体" w:cs="宋体" w:hint="eastAsia"/>
          <w:sz w:val="24"/>
          <w:szCs w:val="24"/>
          <w:lang w:eastAsia="zh-CN"/>
        </w:rPr>
        <w:t>12</w:t>
      </w:r>
      <w:r>
        <w:rPr>
          <w:rFonts w:ascii="宋体" w:eastAsia="宋体" w:hAnsi="宋体" w:cs="宋体" w:hint="eastAsia"/>
          <w:spacing w:val="-59"/>
          <w:sz w:val="24"/>
          <w:szCs w:val="24"/>
          <w:lang w:eastAsia="zh-CN"/>
        </w:rPr>
        <w:t xml:space="preserve"> </w:t>
      </w:r>
      <w:proofErr w:type="gramStart"/>
      <w:r>
        <w:rPr>
          <w:rFonts w:ascii="宋体" w:eastAsia="宋体" w:hAnsi="宋体" w:cs="宋体" w:hint="eastAsia"/>
          <w:sz w:val="24"/>
          <w:szCs w:val="24"/>
          <w:lang w:eastAsia="zh-CN"/>
        </w:rPr>
        <w:t>个月每个</w:t>
      </w:r>
      <w:proofErr w:type="gramEnd"/>
      <w:r>
        <w:rPr>
          <w:rFonts w:ascii="宋体" w:eastAsia="宋体" w:hAnsi="宋体" w:cs="宋体" w:hint="eastAsia"/>
          <w:sz w:val="24"/>
          <w:szCs w:val="24"/>
          <w:lang w:eastAsia="zh-CN"/>
        </w:rPr>
        <w:t>交易日收盘价均低于最近一个会计年度经审计的归属于本行普通股股东的每股净资产，根据《上市公司监管指引第</w:t>
      </w:r>
      <w:r>
        <w:rPr>
          <w:rFonts w:ascii="宋体" w:eastAsia="宋体" w:hAnsi="宋体" w:cs="宋体" w:hint="eastAsia"/>
          <w:spacing w:val="-59"/>
          <w:sz w:val="24"/>
          <w:szCs w:val="24"/>
          <w:lang w:eastAsia="zh-CN"/>
        </w:rPr>
        <w:t xml:space="preserve"> </w:t>
      </w:r>
      <w:r>
        <w:rPr>
          <w:rFonts w:ascii="宋体" w:eastAsia="宋体" w:hAnsi="宋体" w:cs="宋体" w:hint="eastAsia"/>
          <w:sz w:val="24"/>
          <w:szCs w:val="24"/>
          <w:lang w:eastAsia="zh-CN"/>
        </w:rPr>
        <w:t>10</w:t>
      </w:r>
      <w:r>
        <w:rPr>
          <w:rFonts w:ascii="宋体" w:eastAsia="宋体" w:hAnsi="宋体" w:cs="宋体" w:hint="eastAsia"/>
          <w:spacing w:val="-60"/>
          <w:sz w:val="24"/>
          <w:szCs w:val="24"/>
          <w:lang w:eastAsia="zh-CN"/>
        </w:rPr>
        <w:t xml:space="preserve"> </w:t>
      </w:r>
      <w:r>
        <w:rPr>
          <w:rFonts w:ascii="宋体" w:eastAsia="宋体" w:hAnsi="宋体" w:cs="宋体" w:hint="eastAsia"/>
          <w:sz w:val="24"/>
          <w:szCs w:val="24"/>
          <w:lang w:eastAsia="zh-CN"/>
        </w:rPr>
        <w:t>号</w:t>
      </w:r>
      <w:r>
        <w:rPr>
          <w:rFonts w:ascii="宋体" w:eastAsia="宋体" w:hAnsi="宋体" w:cs="宋体" w:hint="eastAsia"/>
          <w:spacing w:val="-4"/>
          <w:sz w:val="24"/>
          <w:szCs w:val="24"/>
          <w:lang w:eastAsia="zh-CN"/>
        </w:rPr>
        <w:t>——市值管理》，属于应当制定估值提升计划的情形。</w:t>
      </w:r>
      <w:r>
        <w:rPr>
          <w:rFonts w:ascii="宋体" w:eastAsia="宋体" w:hAnsi="宋体" w:cs="宋体" w:hint="eastAsia"/>
          <w:sz w:val="24"/>
          <w:szCs w:val="24"/>
          <w:lang w:eastAsia="zh-CN"/>
        </w:rPr>
        <w:t>公司第四届董事会第二十五次会议审议通过了本估值提升计划。</w:t>
      </w:r>
    </w:p>
    <w:p w:rsidR="00162692" w:rsidRDefault="00CA7AC8">
      <w:pPr>
        <w:spacing w:line="560" w:lineRule="exact"/>
        <w:ind w:firstLineChars="200" w:firstLine="480"/>
        <w:rPr>
          <w:rFonts w:ascii="宋体" w:eastAsia="宋体" w:hAnsi="宋体" w:cs="宋体"/>
          <w:sz w:val="24"/>
          <w:szCs w:val="24"/>
          <w:lang w:eastAsia="zh-CN"/>
        </w:rPr>
      </w:pPr>
      <w:r>
        <w:rPr>
          <w:rFonts w:ascii="Wingdings" w:eastAsia="Wingdings" w:hAnsi="Wingdings" w:cs="Wingdings"/>
          <w:sz w:val="24"/>
          <w:szCs w:val="24"/>
          <w:lang w:eastAsia="zh-CN"/>
        </w:rPr>
        <w:t></w:t>
      </w:r>
      <w:r>
        <w:rPr>
          <w:rFonts w:ascii="Wingdings" w:eastAsia="Wingdings" w:hAnsi="Wingdings" w:cs="Wingdings"/>
          <w:spacing w:val="-71"/>
          <w:sz w:val="24"/>
          <w:szCs w:val="24"/>
          <w:lang w:eastAsia="zh-CN"/>
        </w:rPr>
        <w:t></w:t>
      </w:r>
      <w:r>
        <w:rPr>
          <w:rFonts w:ascii="宋体" w:eastAsia="宋体" w:hAnsi="宋体" w:cs="宋体" w:hint="eastAsia"/>
          <w:spacing w:val="-89"/>
          <w:sz w:val="24"/>
          <w:szCs w:val="24"/>
          <w:lang w:eastAsia="zh-CN"/>
        </w:rPr>
        <w:t></w:t>
      </w:r>
      <w:r>
        <w:rPr>
          <w:rFonts w:ascii="宋体" w:eastAsia="宋体" w:hAnsi="宋体" w:cs="宋体" w:hint="eastAsia"/>
          <w:b/>
          <w:bCs/>
          <w:sz w:val="24"/>
          <w:szCs w:val="24"/>
          <w:lang w:eastAsia="zh-CN"/>
        </w:rPr>
        <w:t>估值提升计划概述：</w:t>
      </w:r>
      <w:r>
        <w:rPr>
          <w:rFonts w:ascii="宋体" w:eastAsia="宋体" w:hAnsi="宋体" w:cs="宋体" w:hint="eastAsia"/>
          <w:sz w:val="24"/>
          <w:szCs w:val="24"/>
          <w:lang w:eastAsia="zh-CN"/>
        </w:rPr>
        <w:t xml:space="preserve">2025 </w:t>
      </w:r>
      <w:r>
        <w:rPr>
          <w:rFonts w:ascii="宋体" w:eastAsia="宋体" w:hAnsi="宋体" w:cs="宋体" w:hint="eastAsia"/>
          <w:sz w:val="24"/>
          <w:szCs w:val="24"/>
          <w:lang w:eastAsia="zh-CN"/>
        </w:rPr>
        <w:t>年度本行拟通过提升经营效率和盈利能力、牢固树立回报股东意识、强化投资者关系管理、做好信息披露相关工作等措施提升本行投资价值。</w:t>
      </w:r>
    </w:p>
    <w:p w:rsidR="00162692" w:rsidRDefault="00CA7AC8">
      <w:pPr>
        <w:spacing w:line="560" w:lineRule="exact"/>
        <w:ind w:firstLineChars="200" w:firstLine="480"/>
        <w:rPr>
          <w:rFonts w:ascii="宋体" w:eastAsia="宋体" w:hAnsi="宋体" w:cs="宋体"/>
          <w:sz w:val="24"/>
          <w:szCs w:val="24"/>
          <w:lang w:eastAsia="zh-CN"/>
        </w:rPr>
      </w:pPr>
      <w:r>
        <w:rPr>
          <w:rFonts w:ascii="Wingdings" w:eastAsia="Wingdings" w:hAnsi="Wingdings" w:cs="Wingdings"/>
          <w:sz w:val="24"/>
          <w:szCs w:val="24"/>
          <w:lang w:eastAsia="zh-CN"/>
        </w:rPr>
        <w:t></w:t>
      </w:r>
      <w:r>
        <w:rPr>
          <w:rFonts w:ascii="Wingdings" w:eastAsia="Wingdings" w:hAnsi="Wingdings" w:cs="Wingdings"/>
          <w:spacing w:val="-71"/>
          <w:sz w:val="24"/>
          <w:szCs w:val="24"/>
          <w:lang w:eastAsia="zh-CN"/>
        </w:rPr>
        <w:t></w:t>
      </w:r>
      <w:r>
        <w:rPr>
          <w:rFonts w:ascii="宋体" w:eastAsia="宋体" w:hAnsi="宋体" w:cs="宋体" w:hint="eastAsia"/>
          <w:b/>
          <w:bCs/>
          <w:spacing w:val="-7"/>
          <w:sz w:val="24"/>
          <w:szCs w:val="24"/>
          <w:lang w:eastAsia="zh-CN"/>
        </w:rPr>
        <w:t>相关风险提示：</w:t>
      </w:r>
      <w:r>
        <w:rPr>
          <w:rFonts w:ascii="宋体" w:eastAsia="宋体" w:hAnsi="宋体" w:cs="宋体" w:hint="eastAsia"/>
          <w:sz w:val="24"/>
          <w:szCs w:val="24"/>
          <w:lang w:eastAsia="zh-CN"/>
        </w:rPr>
        <w:t>本估值提升计划仅为本行行动计划，不代表本行对业绩、股价、重大事件等任何指标或事项的承诺。本行业绩及二级市场表现受到宏观形势、行业政策、市场情况等诸多因素影响，相关目标的实现情况存在不确定性。</w:t>
      </w:r>
    </w:p>
    <w:p w:rsidR="00162692" w:rsidRDefault="00162692">
      <w:pPr>
        <w:pStyle w:val="a3"/>
        <w:spacing w:before="0" w:line="560" w:lineRule="exact"/>
        <w:ind w:left="0" w:right="215" w:firstLineChars="200" w:firstLine="480"/>
        <w:jc w:val="both"/>
        <w:rPr>
          <w:rFonts w:cs="宋体"/>
          <w:lang w:eastAsia="zh-CN"/>
        </w:rPr>
      </w:pPr>
    </w:p>
    <w:p w:rsidR="00162692" w:rsidRDefault="00CA7AC8">
      <w:pPr>
        <w:pStyle w:val="a3"/>
        <w:spacing w:before="0" w:line="560" w:lineRule="exact"/>
        <w:ind w:left="0" w:right="215" w:firstLineChars="200" w:firstLine="480"/>
        <w:jc w:val="both"/>
        <w:rPr>
          <w:rFonts w:cs="宋体"/>
          <w:lang w:eastAsia="zh-CN"/>
        </w:rPr>
      </w:pPr>
      <w:r>
        <w:rPr>
          <w:rFonts w:cs="宋体" w:hint="eastAsia"/>
          <w:lang w:eastAsia="zh-CN"/>
        </w:rPr>
        <w:t>根据中国证监会《上市公司监管指引第</w:t>
      </w:r>
      <w:r>
        <w:rPr>
          <w:rFonts w:cs="宋体" w:hint="eastAsia"/>
          <w:lang w:eastAsia="zh-CN"/>
        </w:rPr>
        <w:t>10</w:t>
      </w:r>
      <w:r>
        <w:rPr>
          <w:rFonts w:cs="宋体" w:hint="eastAsia"/>
          <w:lang w:eastAsia="zh-CN"/>
        </w:rPr>
        <w:t>号——市值管理》等相关规定，</w:t>
      </w:r>
      <w:r>
        <w:rPr>
          <w:rFonts w:cs="宋体" w:hint="eastAsia"/>
          <w:spacing w:val="-3"/>
          <w:lang w:eastAsia="zh-CN"/>
        </w:rPr>
        <w:t>为切实提升公司投资价值，增强股东回报，</w:t>
      </w:r>
      <w:r>
        <w:rPr>
          <w:rFonts w:cs="宋体" w:hint="eastAsia"/>
          <w:lang w:eastAsia="zh-CN"/>
        </w:rPr>
        <w:t>现制定《江苏紫金农村商业银行股份有限公司估值提升计划暨“提质增效重回报”行动方案》。具体内容如下：</w:t>
      </w:r>
    </w:p>
    <w:p w:rsidR="00162692" w:rsidRDefault="00CA7AC8">
      <w:pPr>
        <w:pStyle w:val="a3"/>
        <w:spacing w:before="0" w:line="560" w:lineRule="exact"/>
        <w:ind w:left="0" w:right="215" w:firstLineChars="200" w:firstLine="482"/>
        <w:jc w:val="both"/>
        <w:rPr>
          <w:rFonts w:cs="宋体"/>
          <w:lang w:eastAsia="zh-CN"/>
        </w:rPr>
      </w:pPr>
      <w:r>
        <w:rPr>
          <w:rFonts w:cs="宋体" w:hint="eastAsia"/>
          <w:b/>
          <w:lang w:eastAsia="zh-CN"/>
        </w:rPr>
        <w:t>一、估值提升计划的触发情形及审议程序</w:t>
      </w:r>
    </w:p>
    <w:p w:rsidR="00162692" w:rsidRDefault="00CA7AC8">
      <w:pPr>
        <w:pStyle w:val="a3"/>
        <w:spacing w:line="560" w:lineRule="exact"/>
        <w:ind w:right="215" w:firstLineChars="200" w:firstLine="480"/>
        <w:jc w:val="both"/>
        <w:rPr>
          <w:rFonts w:cs="宋体"/>
          <w:lang w:eastAsia="zh-CN"/>
        </w:rPr>
      </w:pPr>
      <w:r>
        <w:rPr>
          <w:rFonts w:cs="宋体" w:hint="eastAsia"/>
          <w:lang w:eastAsia="zh-CN"/>
        </w:rPr>
        <w:lastRenderedPageBreak/>
        <w:t>（一）触发情形</w:t>
      </w:r>
    </w:p>
    <w:p w:rsidR="00162692" w:rsidRDefault="00CA7AC8">
      <w:pPr>
        <w:pStyle w:val="a3"/>
        <w:spacing w:before="0" w:line="560" w:lineRule="exact"/>
        <w:ind w:left="0" w:right="215" w:firstLineChars="200" w:firstLine="480"/>
        <w:jc w:val="both"/>
        <w:rPr>
          <w:rFonts w:cs="宋体"/>
          <w:lang w:eastAsia="zh-CN"/>
        </w:rPr>
      </w:pPr>
      <w:r>
        <w:rPr>
          <w:rFonts w:cs="宋体" w:hint="eastAsia"/>
          <w:lang w:eastAsia="zh-CN"/>
        </w:rPr>
        <w:t>2024</w:t>
      </w:r>
      <w:r>
        <w:rPr>
          <w:rFonts w:cs="宋体" w:hint="eastAsia"/>
          <w:lang w:eastAsia="zh-CN"/>
        </w:rPr>
        <w:t>年</w:t>
      </w:r>
      <w:r>
        <w:rPr>
          <w:rFonts w:cs="宋体" w:hint="eastAsia"/>
          <w:lang w:eastAsia="zh-CN"/>
        </w:rPr>
        <w:t>1</w:t>
      </w:r>
      <w:r>
        <w:rPr>
          <w:rFonts w:cs="宋体" w:hint="eastAsia"/>
          <w:lang w:eastAsia="zh-CN"/>
        </w:rPr>
        <w:t>月</w:t>
      </w:r>
      <w:r>
        <w:rPr>
          <w:rFonts w:cs="宋体" w:hint="eastAsia"/>
          <w:lang w:eastAsia="zh-CN"/>
        </w:rPr>
        <w:t>1</w:t>
      </w:r>
      <w:r>
        <w:rPr>
          <w:rFonts w:cs="宋体" w:hint="eastAsia"/>
          <w:lang w:eastAsia="zh-CN"/>
        </w:rPr>
        <w:t>日至</w:t>
      </w:r>
      <w:r>
        <w:rPr>
          <w:rFonts w:cs="宋体" w:hint="eastAsia"/>
          <w:lang w:eastAsia="zh-CN"/>
        </w:rPr>
        <w:t>2024</w:t>
      </w:r>
      <w:r>
        <w:rPr>
          <w:rFonts w:cs="宋体" w:hint="eastAsia"/>
          <w:lang w:eastAsia="zh-CN"/>
        </w:rPr>
        <w:t>年</w:t>
      </w:r>
      <w:r>
        <w:rPr>
          <w:rFonts w:cs="宋体" w:hint="eastAsia"/>
          <w:lang w:eastAsia="zh-CN"/>
        </w:rPr>
        <w:t>12</w:t>
      </w:r>
      <w:r>
        <w:rPr>
          <w:rFonts w:cs="宋体" w:hint="eastAsia"/>
          <w:lang w:eastAsia="zh-CN"/>
        </w:rPr>
        <w:t>月</w:t>
      </w:r>
      <w:r>
        <w:rPr>
          <w:rFonts w:cs="宋体" w:hint="eastAsia"/>
          <w:lang w:eastAsia="zh-CN"/>
        </w:rPr>
        <w:t>31</w:t>
      </w:r>
      <w:r>
        <w:rPr>
          <w:rFonts w:cs="宋体" w:hint="eastAsia"/>
          <w:lang w:eastAsia="zh-CN"/>
        </w:rPr>
        <w:t>日，公司股票连续</w:t>
      </w:r>
      <w:r>
        <w:rPr>
          <w:rFonts w:cs="宋体" w:hint="eastAsia"/>
          <w:lang w:eastAsia="zh-CN"/>
        </w:rPr>
        <w:t>12</w:t>
      </w:r>
      <w:r>
        <w:rPr>
          <w:rFonts w:cs="宋体" w:hint="eastAsia"/>
          <w:lang w:eastAsia="zh-CN"/>
        </w:rPr>
        <w:t>个月每个交易日的收盘价均低于最近一个会计年度经审计的每股归属于普通股股东的净资产，即</w:t>
      </w:r>
      <w:r>
        <w:rPr>
          <w:rFonts w:cs="宋体" w:hint="eastAsia"/>
          <w:lang w:eastAsia="zh-CN"/>
        </w:rPr>
        <w:t>2024</w:t>
      </w:r>
      <w:r>
        <w:rPr>
          <w:rFonts w:cs="宋体" w:hint="eastAsia"/>
          <w:lang w:eastAsia="zh-CN"/>
        </w:rPr>
        <w:t>年</w:t>
      </w:r>
      <w:r>
        <w:rPr>
          <w:rFonts w:cs="宋体" w:hint="eastAsia"/>
          <w:lang w:eastAsia="zh-CN"/>
        </w:rPr>
        <w:t>1</w:t>
      </w:r>
      <w:r>
        <w:rPr>
          <w:rFonts w:cs="宋体" w:hint="eastAsia"/>
          <w:lang w:eastAsia="zh-CN"/>
        </w:rPr>
        <w:t>月</w:t>
      </w:r>
      <w:r>
        <w:rPr>
          <w:rFonts w:cs="宋体" w:hint="eastAsia"/>
          <w:lang w:eastAsia="zh-CN"/>
        </w:rPr>
        <w:t>1</w:t>
      </w:r>
      <w:r>
        <w:rPr>
          <w:rFonts w:cs="宋体" w:hint="eastAsia"/>
          <w:lang w:eastAsia="zh-CN"/>
        </w:rPr>
        <w:t>日至</w:t>
      </w:r>
      <w:r>
        <w:rPr>
          <w:rFonts w:cs="宋体" w:hint="eastAsia"/>
          <w:lang w:eastAsia="zh-CN"/>
        </w:rPr>
        <w:t>2024</w:t>
      </w:r>
      <w:r>
        <w:rPr>
          <w:rFonts w:cs="宋体" w:hint="eastAsia"/>
          <w:lang w:eastAsia="zh-CN"/>
        </w:rPr>
        <w:t>年</w:t>
      </w:r>
      <w:r>
        <w:rPr>
          <w:rFonts w:cs="宋体" w:hint="eastAsia"/>
          <w:lang w:eastAsia="zh-CN"/>
        </w:rPr>
        <w:t>4</w:t>
      </w:r>
      <w:r>
        <w:rPr>
          <w:rFonts w:cs="宋体" w:hint="eastAsia"/>
          <w:lang w:eastAsia="zh-CN"/>
        </w:rPr>
        <w:t>月</w:t>
      </w:r>
      <w:r>
        <w:rPr>
          <w:rFonts w:cs="宋体" w:hint="eastAsia"/>
          <w:lang w:eastAsia="zh-CN"/>
        </w:rPr>
        <w:t>25</w:t>
      </w:r>
      <w:r>
        <w:rPr>
          <w:rFonts w:cs="宋体" w:hint="eastAsia"/>
          <w:lang w:eastAsia="zh-CN"/>
        </w:rPr>
        <w:t>日每个交易日股票收盘价均低于</w:t>
      </w:r>
      <w:r>
        <w:rPr>
          <w:rFonts w:cs="宋体" w:hint="eastAsia"/>
          <w:lang w:eastAsia="zh-CN"/>
        </w:rPr>
        <w:t>2022</w:t>
      </w:r>
      <w:r>
        <w:rPr>
          <w:rFonts w:cs="宋体" w:hint="eastAsia"/>
          <w:lang w:eastAsia="zh-CN"/>
        </w:rPr>
        <w:t>年年度经审计每股净资产</w:t>
      </w:r>
      <w:r>
        <w:rPr>
          <w:rFonts w:cs="宋体" w:hint="eastAsia"/>
          <w:lang w:eastAsia="zh-CN"/>
        </w:rPr>
        <w:t>4.67</w:t>
      </w:r>
      <w:r>
        <w:rPr>
          <w:rFonts w:cs="宋体" w:hint="eastAsia"/>
          <w:lang w:eastAsia="zh-CN"/>
        </w:rPr>
        <w:t>元；</w:t>
      </w:r>
      <w:r>
        <w:rPr>
          <w:rFonts w:cs="宋体" w:hint="eastAsia"/>
          <w:lang w:eastAsia="zh-CN"/>
        </w:rPr>
        <w:t>2024</w:t>
      </w:r>
      <w:r>
        <w:rPr>
          <w:rFonts w:cs="宋体" w:hint="eastAsia"/>
          <w:lang w:eastAsia="zh-CN"/>
        </w:rPr>
        <w:t>年</w:t>
      </w:r>
      <w:r>
        <w:rPr>
          <w:rFonts w:cs="宋体" w:hint="eastAsia"/>
          <w:lang w:eastAsia="zh-CN"/>
        </w:rPr>
        <w:t>4</w:t>
      </w:r>
      <w:r>
        <w:rPr>
          <w:rFonts w:cs="宋体" w:hint="eastAsia"/>
          <w:lang w:eastAsia="zh-CN"/>
        </w:rPr>
        <w:t>月</w:t>
      </w:r>
      <w:r>
        <w:rPr>
          <w:rFonts w:cs="宋体" w:hint="eastAsia"/>
          <w:lang w:eastAsia="zh-CN"/>
        </w:rPr>
        <w:t>26</w:t>
      </w:r>
      <w:r>
        <w:rPr>
          <w:rFonts w:cs="宋体" w:hint="eastAsia"/>
          <w:lang w:eastAsia="zh-CN"/>
        </w:rPr>
        <w:t>日至</w:t>
      </w:r>
      <w:r>
        <w:rPr>
          <w:rFonts w:cs="宋体" w:hint="eastAsia"/>
          <w:lang w:eastAsia="zh-CN"/>
        </w:rPr>
        <w:t>2024</w:t>
      </w:r>
      <w:r>
        <w:rPr>
          <w:rFonts w:cs="宋体" w:hint="eastAsia"/>
          <w:lang w:eastAsia="zh-CN"/>
        </w:rPr>
        <w:t>年</w:t>
      </w:r>
      <w:r>
        <w:rPr>
          <w:rFonts w:cs="宋体" w:hint="eastAsia"/>
          <w:lang w:eastAsia="zh-CN"/>
        </w:rPr>
        <w:t>12</w:t>
      </w:r>
      <w:r>
        <w:rPr>
          <w:rFonts w:cs="宋体" w:hint="eastAsia"/>
          <w:lang w:eastAsia="zh-CN"/>
        </w:rPr>
        <w:t>月</w:t>
      </w:r>
      <w:r>
        <w:rPr>
          <w:rFonts w:cs="宋体" w:hint="eastAsia"/>
          <w:lang w:eastAsia="zh-CN"/>
        </w:rPr>
        <w:t>31</w:t>
      </w:r>
      <w:r>
        <w:rPr>
          <w:rFonts w:cs="宋体" w:hint="eastAsia"/>
          <w:lang w:eastAsia="zh-CN"/>
        </w:rPr>
        <w:t>日每个交易日股票收盘价均低于</w:t>
      </w:r>
      <w:r>
        <w:rPr>
          <w:rFonts w:cs="宋体" w:hint="eastAsia"/>
          <w:lang w:eastAsia="zh-CN"/>
        </w:rPr>
        <w:t>2023</w:t>
      </w:r>
      <w:r>
        <w:rPr>
          <w:rFonts w:cs="宋体" w:hint="eastAsia"/>
          <w:lang w:eastAsia="zh-CN"/>
        </w:rPr>
        <w:t>年年度经审计每股净资产</w:t>
      </w:r>
      <w:r>
        <w:rPr>
          <w:rFonts w:cs="宋体" w:hint="eastAsia"/>
          <w:lang w:eastAsia="zh-CN"/>
        </w:rPr>
        <w:t>5.05</w:t>
      </w:r>
      <w:r>
        <w:rPr>
          <w:rFonts w:cs="宋体" w:hint="eastAsia"/>
          <w:lang w:eastAsia="zh-CN"/>
        </w:rPr>
        <w:t>元。</w:t>
      </w:r>
    </w:p>
    <w:p w:rsidR="00162692" w:rsidRDefault="00CA7AC8">
      <w:pPr>
        <w:pStyle w:val="a3"/>
        <w:spacing w:before="0" w:line="560" w:lineRule="exact"/>
        <w:ind w:left="0" w:right="215" w:firstLineChars="200" w:firstLine="480"/>
        <w:jc w:val="both"/>
        <w:rPr>
          <w:rFonts w:cs="宋体"/>
          <w:lang w:eastAsia="zh-CN"/>
        </w:rPr>
      </w:pPr>
      <w:r>
        <w:rPr>
          <w:rFonts w:cs="宋体" w:hint="eastAsia"/>
          <w:lang w:eastAsia="zh-CN"/>
        </w:rPr>
        <w:t>（二）审议程序</w:t>
      </w:r>
    </w:p>
    <w:p w:rsidR="00162692" w:rsidRDefault="00CA7AC8">
      <w:pPr>
        <w:pStyle w:val="a3"/>
        <w:spacing w:before="0" w:line="560" w:lineRule="exact"/>
        <w:ind w:left="0" w:right="215" w:firstLineChars="200" w:firstLine="480"/>
        <w:jc w:val="both"/>
        <w:rPr>
          <w:rFonts w:cs="宋体"/>
          <w:lang w:eastAsia="zh-CN"/>
        </w:rPr>
      </w:pPr>
      <w:r>
        <w:rPr>
          <w:rFonts w:cs="宋体" w:hint="eastAsia"/>
          <w:lang w:eastAsia="zh-CN"/>
        </w:rPr>
        <w:t xml:space="preserve">2025 </w:t>
      </w:r>
      <w:r>
        <w:rPr>
          <w:rFonts w:cs="宋体" w:hint="eastAsia"/>
          <w:lang w:eastAsia="zh-CN"/>
        </w:rPr>
        <w:t>年</w:t>
      </w:r>
      <w:r>
        <w:rPr>
          <w:rFonts w:cs="宋体" w:hint="eastAsia"/>
          <w:lang w:eastAsia="zh-CN"/>
        </w:rPr>
        <w:t xml:space="preserve"> 4 </w:t>
      </w:r>
      <w:r>
        <w:rPr>
          <w:rFonts w:cs="宋体" w:hint="eastAsia"/>
          <w:lang w:eastAsia="zh-CN"/>
        </w:rPr>
        <w:t>月</w:t>
      </w:r>
      <w:r>
        <w:rPr>
          <w:rFonts w:cs="宋体" w:hint="eastAsia"/>
          <w:lang w:eastAsia="zh-CN"/>
        </w:rPr>
        <w:t xml:space="preserve"> 23 </w:t>
      </w:r>
      <w:r>
        <w:rPr>
          <w:rFonts w:cs="宋体" w:hint="eastAsia"/>
          <w:lang w:eastAsia="zh-CN"/>
        </w:rPr>
        <w:t>日，公司第四届董事会第二十五次会议审议通过了《江苏紫金农村商业银行股份有限公司估值提升计划暨“提质增效</w:t>
      </w:r>
      <w:r>
        <w:rPr>
          <w:rFonts w:cs="宋体" w:hint="eastAsia"/>
          <w:lang w:eastAsia="zh-CN"/>
        </w:rPr>
        <w:t>重回报”行动方案》，全体董事一致同意此议案。</w:t>
      </w:r>
    </w:p>
    <w:p w:rsidR="00162692" w:rsidRDefault="00CA7AC8">
      <w:pPr>
        <w:pStyle w:val="1"/>
        <w:spacing w:line="560" w:lineRule="exact"/>
        <w:ind w:left="0" w:firstLineChars="200" w:firstLine="482"/>
        <w:rPr>
          <w:rFonts w:ascii="宋体" w:eastAsia="宋体" w:hAnsi="宋体" w:cs="宋体"/>
          <w:bCs w:val="0"/>
          <w:lang w:eastAsia="zh-CN"/>
        </w:rPr>
      </w:pPr>
      <w:r>
        <w:rPr>
          <w:rFonts w:ascii="宋体" w:eastAsia="宋体" w:hAnsi="宋体" w:cs="宋体" w:hint="eastAsia"/>
          <w:bCs w:val="0"/>
          <w:lang w:eastAsia="zh-CN"/>
        </w:rPr>
        <w:t>二、估值提升计划的具体内容</w:t>
      </w:r>
    </w:p>
    <w:p w:rsidR="00162692" w:rsidRDefault="00CA7AC8">
      <w:pPr>
        <w:spacing w:line="560" w:lineRule="exact"/>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公司积极响应上海证券交易所“提质增效重回报”行动倡议，持续提升本公司投资价值和股东回报能力，推动公司投资价值合理反映公司质量，增强投资者信心、维护全体股东利益，促进公司高质量发展，公司制定估值提升计划暨“提质增效重回报”行动方案。具体内容如下：</w:t>
      </w:r>
    </w:p>
    <w:p w:rsidR="00162692" w:rsidRDefault="00CA7AC8">
      <w:pPr>
        <w:pStyle w:val="1"/>
        <w:spacing w:line="560" w:lineRule="exact"/>
        <w:ind w:left="0" w:firstLineChars="200" w:firstLine="480"/>
        <w:rPr>
          <w:rFonts w:ascii="宋体" w:eastAsia="宋体" w:hAnsi="宋体" w:cs="宋体"/>
          <w:b w:val="0"/>
          <w:bCs w:val="0"/>
          <w:lang w:eastAsia="zh-CN"/>
        </w:rPr>
      </w:pPr>
      <w:r>
        <w:rPr>
          <w:rFonts w:ascii="宋体" w:eastAsia="宋体" w:hAnsi="宋体" w:cs="宋体" w:hint="eastAsia"/>
          <w:b w:val="0"/>
          <w:bCs w:val="0"/>
          <w:lang w:eastAsia="zh-CN"/>
        </w:rPr>
        <w:t>（一）经营提升</w:t>
      </w:r>
    </w:p>
    <w:p w:rsidR="00162692" w:rsidRDefault="00CA7AC8">
      <w:pPr>
        <w:spacing w:line="560" w:lineRule="exact"/>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公司将始终高举习近平新时代中国特色社会主义思想伟大旗帜，深入贯彻党的二十大和二十届二中、三中全会精神，坚持和加强党的全面领导，牢固树立以人民为中心的发展理念，坚持稳中求进工作总</w:t>
      </w:r>
      <w:r>
        <w:rPr>
          <w:rFonts w:ascii="宋体" w:eastAsia="宋体" w:hAnsi="宋体" w:cs="宋体" w:hint="eastAsia"/>
          <w:sz w:val="24"/>
          <w:szCs w:val="24"/>
          <w:lang w:eastAsia="zh-CN"/>
        </w:rPr>
        <w:t>基调，以提升服务实体经济质效为重点，全面提升经营能力和管理水平。</w:t>
      </w:r>
    </w:p>
    <w:p w:rsidR="00162692" w:rsidRDefault="00CA7AC8">
      <w:pPr>
        <w:pStyle w:val="a3"/>
        <w:spacing w:line="560" w:lineRule="exact"/>
        <w:ind w:right="215" w:firstLineChars="200" w:firstLine="480"/>
        <w:jc w:val="both"/>
        <w:rPr>
          <w:rFonts w:cs="宋体"/>
          <w:lang w:eastAsia="zh-CN"/>
        </w:rPr>
      </w:pPr>
      <w:r>
        <w:rPr>
          <w:rFonts w:cs="宋体" w:hint="eastAsia"/>
          <w:lang w:eastAsia="zh-CN"/>
        </w:rPr>
        <w:t>1.</w:t>
      </w:r>
      <w:r>
        <w:rPr>
          <w:rFonts w:cs="宋体" w:hint="eastAsia"/>
          <w:lang w:eastAsia="zh-CN"/>
        </w:rPr>
        <w:t>强化公司治理</w:t>
      </w:r>
      <w:r>
        <w:rPr>
          <w:rFonts w:cs="宋体" w:hint="eastAsia"/>
          <w:lang w:eastAsia="zh-CN"/>
        </w:rPr>
        <w:t>,</w:t>
      </w:r>
      <w:r>
        <w:rPr>
          <w:rFonts w:cs="宋体" w:hint="eastAsia"/>
          <w:lang w:eastAsia="zh-CN"/>
        </w:rPr>
        <w:t>全面提升治理质效</w:t>
      </w:r>
    </w:p>
    <w:p w:rsidR="00162692" w:rsidRDefault="00CA7AC8">
      <w:pPr>
        <w:pStyle w:val="a3"/>
        <w:spacing w:line="560" w:lineRule="exact"/>
        <w:ind w:right="215" w:firstLineChars="200" w:firstLine="480"/>
        <w:jc w:val="both"/>
        <w:rPr>
          <w:rFonts w:cs="宋体"/>
          <w:lang w:eastAsia="zh-CN"/>
        </w:rPr>
      </w:pPr>
      <w:r>
        <w:rPr>
          <w:rFonts w:cs="宋体" w:hint="eastAsia"/>
          <w:lang w:eastAsia="zh-CN"/>
        </w:rPr>
        <w:t>一是夯实党建引领根基。坚持党的全面领导，深化党的领导与公司治理有机融合，全面落实党中央对金融工作的决策部署，增强基层党组织政治功能和组织功能。严格落实党委前置研究讨论重大经营管理事项要求，充分发挥党委把方向、</w:t>
      </w:r>
      <w:r>
        <w:rPr>
          <w:rFonts w:cs="宋体" w:hint="eastAsia"/>
          <w:lang w:eastAsia="zh-CN"/>
        </w:rPr>
        <w:lastRenderedPageBreak/>
        <w:t>管大局、</w:t>
      </w:r>
      <w:proofErr w:type="gramStart"/>
      <w:r>
        <w:rPr>
          <w:rFonts w:cs="宋体" w:hint="eastAsia"/>
          <w:lang w:eastAsia="zh-CN"/>
        </w:rPr>
        <w:t>保落实</w:t>
      </w:r>
      <w:proofErr w:type="gramEnd"/>
      <w:r>
        <w:rPr>
          <w:rFonts w:cs="宋体" w:hint="eastAsia"/>
          <w:lang w:eastAsia="zh-CN"/>
        </w:rPr>
        <w:t>的领导作用，将党的领导制度优势切实转化为金融治理效能。二是完善公司治理机制。加强公司治理制度体系建设，进一步规范公司治理运作。细化“三会一层”各主体履职重点和履职要求，持续完善董事会及各专</w:t>
      </w:r>
      <w:r>
        <w:rPr>
          <w:rFonts w:cs="宋体" w:hint="eastAsia"/>
          <w:lang w:eastAsia="zh-CN"/>
        </w:rPr>
        <w:t>门委员会工作机制，不断提升</w:t>
      </w:r>
      <w:proofErr w:type="gramStart"/>
      <w:r>
        <w:rPr>
          <w:rFonts w:cs="宋体" w:hint="eastAsia"/>
          <w:lang w:eastAsia="zh-CN"/>
        </w:rPr>
        <w:t>履</w:t>
      </w:r>
      <w:proofErr w:type="gramEnd"/>
      <w:r>
        <w:rPr>
          <w:rFonts w:cs="宋体" w:hint="eastAsia"/>
          <w:lang w:eastAsia="zh-CN"/>
        </w:rPr>
        <w:t>职能力和水平。</w:t>
      </w:r>
    </w:p>
    <w:p w:rsidR="00162692" w:rsidRDefault="00CA7AC8">
      <w:pPr>
        <w:pStyle w:val="a3"/>
        <w:spacing w:line="560" w:lineRule="exact"/>
        <w:ind w:right="215" w:firstLineChars="200" w:firstLine="480"/>
        <w:jc w:val="both"/>
        <w:rPr>
          <w:rFonts w:cs="宋体"/>
          <w:lang w:eastAsia="zh-CN"/>
        </w:rPr>
      </w:pPr>
      <w:r>
        <w:rPr>
          <w:rFonts w:cs="宋体" w:hint="eastAsia"/>
          <w:lang w:eastAsia="zh-CN"/>
        </w:rPr>
        <w:t>2.</w:t>
      </w:r>
      <w:r>
        <w:rPr>
          <w:rFonts w:cs="宋体" w:hint="eastAsia"/>
          <w:lang w:eastAsia="zh-CN"/>
        </w:rPr>
        <w:t>优化管理机制，持续强化风险管控</w:t>
      </w:r>
    </w:p>
    <w:p w:rsidR="00162692" w:rsidRDefault="00CA7AC8">
      <w:pPr>
        <w:pStyle w:val="a3"/>
        <w:spacing w:line="560" w:lineRule="exact"/>
        <w:ind w:right="215" w:firstLineChars="200" w:firstLine="480"/>
        <w:jc w:val="both"/>
        <w:rPr>
          <w:rFonts w:cs="宋体"/>
          <w:lang w:eastAsia="zh-CN"/>
        </w:rPr>
      </w:pPr>
      <w:r>
        <w:rPr>
          <w:rFonts w:cs="宋体" w:hint="eastAsia"/>
          <w:lang w:eastAsia="zh-CN"/>
        </w:rPr>
        <w:t>一是提升内控管理工作效能。坚持以效率为核心，推动财务管理精细化，做深降本增效工作，</w:t>
      </w:r>
      <w:proofErr w:type="gramStart"/>
      <w:r>
        <w:rPr>
          <w:rFonts w:cs="宋体" w:hint="eastAsia"/>
          <w:lang w:eastAsia="zh-CN"/>
        </w:rPr>
        <w:t>做优资产</w:t>
      </w:r>
      <w:proofErr w:type="gramEnd"/>
      <w:r>
        <w:rPr>
          <w:rFonts w:cs="宋体" w:hint="eastAsia"/>
          <w:lang w:eastAsia="zh-CN"/>
        </w:rPr>
        <w:t>负债结构，做强绩效考核引领。二是提高全面风险管理效能。持续加强风险管理的预见性，增强量化管理能力，推动从事后处置向事前预警、源头管控转变，强化</w:t>
      </w:r>
      <w:proofErr w:type="gramStart"/>
      <w:r>
        <w:rPr>
          <w:rFonts w:cs="宋体" w:hint="eastAsia"/>
          <w:lang w:eastAsia="zh-CN"/>
        </w:rPr>
        <w:t>数据风控能力</w:t>
      </w:r>
      <w:proofErr w:type="gramEnd"/>
      <w:r>
        <w:rPr>
          <w:rFonts w:cs="宋体" w:hint="eastAsia"/>
          <w:lang w:eastAsia="zh-CN"/>
        </w:rPr>
        <w:t>建设，切实提升风险管理的前瞻性和预见性。三是提高合</w:t>
      </w:r>
      <w:proofErr w:type="gramStart"/>
      <w:r>
        <w:rPr>
          <w:rFonts w:cs="宋体" w:hint="eastAsia"/>
          <w:lang w:eastAsia="zh-CN"/>
        </w:rPr>
        <w:t>规</w:t>
      </w:r>
      <w:proofErr w:type="gramEnd"/>
      <w:r>
        <w:rPr>
          <w:rFonts w:cs="宋体" w:hint="eastAsia"/>
          <w:lang w:eastAsia="zh-CN"/>
        </w:rPr>
        <w:t>文化建设效能。打造合</w:t>
      </w:r>
      <w:proofErr w:type="gramStart"/>
      <w:r>
        <w:rPr>
          <w:rFonts w:cs="宋体" w:hint="eastAsia"/>
          <w:lang w:eastAsia="zh-CN"/>
        </w:rPr>
        <w:t>规</w:t>
      </w:r>
      <w:proofErr w:type="gramEnd"/>
      <w:r>
        <w:rPr>
          <w:rFonts w:cs="宋体" w:hint="eastAsia"/>
          <w:lang w:eastAsia="zh-CN"/>
        </w:rPr>
        <w:t>宣导、教育培训、考核评比“三位一体”的合</w:t>
      </w:r>
      <w:proofErr w:type="gramStart"/>
      <w:r>
        <w:rPr>
          <w:rFonts w:cs="宋体" w:hint="eastAsia"/>
          <w:lang w:eastAsia="zh-CN"/>
        </w:rPr>
        <w:t>规</w:t>
      </w:r>
      <w:proofErr w:type="gramEnd"/>
      <w:r>
        <w:rPr>
          <w:rFonts w:cs="宋体" w:hint="eastAsia"/>
          <w:lang w:eastAsia="zh-CN"/>
        </w:rPr>
        <w:t>文化建设机制，完善高层引领自上而下、三道防线横向联动、全员主动合</w:t>
      </w:r>
      <w:proofErr w:type="gramStart"/>
      <w:r>
        <w:rPr>
          <w:rFonts w:cs="宋体" w:hint="eastAsia"/>
          <w:lang w:eastAsia="zh-CN"/>
        </w:rPr>
        <w:t>规</w:t>
      </w:r>
      <w:proofErr w:type="gramEnd"/>
      <w:r>
        <w:rPr>
          <w:rFonts w:cs="宋体" w:hint="eastAsia"/>
          <w:lang w:eastAsia="zh-CN"/>
        </w:rPr>
        <w:t>履职的</w:t>
      </w:r>
      <w:r>
        <w:rPr>
          <w:rFonts w:cs="宋体" w:hint="eastAsia"/>
          <w:lang w:eastAsia="zh-CN"/>
        </w:rPr>
        <w:t>良好运行机制。深化员工行为管理，</w:t>
      </w:r>
      <w:proofErr w:type="gramStart"/>
      <w:r>
        <w:rPr>
          <w:rFonts w:cs="宋体" w:hint="eastAsia"/>
          <w:lang w:eastAsia="zh-CN"/>
        </w:rPr>
        <w:t>加强案防管理</w:t>
      </w:r>
      <w:proofErr w:type="gramEnd"/>
      <w:r>
        <w:rPr>
          <w:rFonts w:cs="宋体" w:hint="eastAsia"/>
          <w:lang w:eastAsia="zh-CN"/>
        </w:rPr>
        <w:t>和预警监测排查，强化合规正向引导和负面警示，严守合</w:t>
      </w:r>
      <w:proofErr w:type="gramStart"/>
      <w:r>
        <w:rPr>
          <w:rFonts w:cs="宋体" w:hint="eastAsia"/>
          <w:lang w:eastAsia="zh-CN"/>
        </w:rPr>
        <w:t>规</w:t>
      </w:r>
      <w:proofErr w:type="gramEnd"/>
      <w:r>
        <w:rPr>
          <w:rFonts w:cs="宋体" w:hint="eastAsia"/>
          <w:lang w:eastAsia="zh-CN"/>
        </w:rPr>
        <w:t>底线。扎实开展安全培训教育、应急预案演练，为公司高质量发展提供坚实的安全保障。</w:t>
      </w:r>
    </w:p>
    <w:p w:rsidR="00162692" w:rsidRDefault="00CA7AC8">
      <w:pPr>
        <w:pStyle w:val="a3"/>
        <w:spacing w:line="560" w:lineRule="exact"/>
        <w:ind w:right="215" w:firstLineChars="200" w:firstLine="480"/>
        <w:jc w:val="both"/>
        <w:rPr>
          <w:rFonts w:cs="宋体"/>
          <w:lang w:eastAsia="zh-CN"/>
        </w:rPr>
      </w:pPr>
      <w:r>
        <w:rPr>
          <w:rFonts w:cs="宋体" w:hint="eastAsia"/>
          <w:lang w:eastAsia="zh-CN"/>
        </w:rPr>
        <w:t>3.</w:t>
      </w:r>
      <w:r>
        <w:rPr>
          <w:rFonts w:cs="宋体" w:hint="eastAsia"/>
          <w:lang w:eastAsia="zh-CN"/>
        </w:rPr>
        <w:t>服务实体经济，积极</w:t>
      </w:r>
      <w:proofErr w:type="gramStart"/>
      <w:r>
        <w:rPr>
          <w:rFonts w:cs="宋体" w:hint="eastAsia"/>
          <w:lang w:eastAsia="zh-CN"/>
        </w:rPr>
        <w:t>践行</w:t>
      </w:r>
      <w:proofErr w:type="gramEnd"/>
      <w:r>
        <w:rPr>
          <w:rFonts w:cs="宋体" w:hint="eastAsia"/>
          <w:lang w:eastAsia="zh-CN"/>
        </w:rPr>
        <w:t>责任担当</w:t>
      </w:r>
    </w:p>
    <w:p w:rsidR="00162692" w:rsidRDefault="00CA7AC8">
      <w:pPr>
        <w:pStyle w:val="a3"/>
        <w:spacing w:before="0" w:line="560" w:lineRule="exact"/>
        <w:ind w:left="0" w:right="215" w:firstLineChars="200" w:firstLine="480"/>
        <w:jc w:val="both"/>
        <w:rPr>
          <w:rFonts w:cs="宋体"/>
          <w:lang w:eastAsia="zh-CN"/>
        </w:rPr>
      </w:pPr>
      <w:r>
        <w:rPr>
          <w:rFonts w:cs="宋体" w:hint="eastAsia"/>
          <w:lang w:eastAsia="zh-CN"/>
        </w:rPr>
        <w:t>一是聚焦服务实体经济。</w:t>
      </w:r>
      <w:proofErr w:type="gramStart"/>
      <w:r>
        <w:rPr>
          <w:rFonts w:cs="宋体" w:hint="eastAsia"/>
          <w:lang w:eastAsia="zh-CN"/>
        </w:rPr>
        <w:t>塑优做小</w:t>
      </w:r>
      <w:proofErr w:type="gramEnd"/>
      <w:r>
        <w:rPr>
          <w:rFonts w:cs="宋体" w:hint="eastAsia"/>
          <w:lang w:eastAsia="zh-CN"/>
        </w:rPr>
        <w:t>做散体制机制，坚定落实省联社做小做散赋能方案，坚持以客户为中心，</w:t>
      </w:r>
      <w:proofErr w:type="gramStart"/>
      <w:r>
        <w:rPr>
          <w:rFonts w:cs="宋体" w:hint="eastAsia"/>
          <w:lang w:eastAsia="zh-CN"/>
        </w:rPr>
        <w:t>围绕全客群</w:t>
      </w:r>
      <w:proofErr w:type="gramEnd"/>
      <w:r>
        <w:rPr>
          <w:rFonts w:cs="宋体" w:hint="eastAsia"/>
          <w:lang w:eastAsia="zh-CN"/>
        </w:rPr>
        <w:t>及客群的全生命周期进行精准定位，推动由“为产品找客户”向“为客户找产品”转变。加强重点领域金融支持，科学制定信贷投放计划，合理调整信贷结构，提升实体贷款占比，全力支持乡村振兴战略，大力支持先进制造</w:t>
      </w:r>
      <w:r>
        <w:rPr>
          <w:rFonts w:cs="宋体" w:hint="eastAsia"/>
          <w:lang w:eastAsia="zh-CN"/>
        </w:rPr>
        <w:t>业集群和战略性新兴产业中的小企业发展。培育新兴领域发展潜能，优化科技贷款产品，加大科技贷款投放力度，促进“科技</w:t>
      </w:r>
      <w:r>
        <w:rPr>
          <w:rFonts w:cs="宋体" w:hint="eastAsia"/>
          <w:lang w:eastAsia="zh-CN"/>
        </w:rPr>
        <w:t>-</w:t>
      </w:r>
      <w:r>
        <w:rPr>
          <w:rFonts w:cs="宋体" w:hint="eastAsia"/>
          <w:lang w:eastAsia="zh-CN"/>
        </w:rPr>
        <w:t>产业</w:t>
      </w:r>
      <w:r>
        <w:rPr>
          <w:rFonts w:cs="宋体" w:hint="eastAsia"/>
          <w:lang w:eastAsia="zh-CN"/>
        </w:rPr>
        <w:t>-</w:t>
      </w:r>
      <w:r>
        <w:rPr>
          <w:rFonts w:cs="宋体" w:hint="eastAsia"/>
          <w:lang w:eastAsia="zh-CN"/>
        </w:rPr>
        <w:t>金融”良性循环，助力以科技创新引领现代化产业创新，促进新质生产力发展。二是积极履行社会责任。牢固树立以人民为中心的发展思想，始终把人民对美好生活的向往作为开展金融服务的工作方向，聚焦优化产品、提升服务，自觉担当</w:t>
      </w:r>
      <w:r>
        <w:rPr>
          <w:rFonts w:cs="宋体" w:hint="eastAsia"/>
          <w:lang w:eastAsia="zh-CN"/>
        </w:rPr>
        <w:lastRenderedPageBreak/>
        <w:t>惠民利民的责任和使命，加强“负责任银行”体系建设，深入贯彻</w:t>
      </w:r>
      <w:r>
        <w:rPr>
          <w:rFonts w:cs="宋体" w:hint="eastAsia"/>
          <w:lang w:eastAsia="zh-CN"/>
        </w:rPr>
        <w:t xml:space="preserve">ESG </w:t>
      </w:r>
      <w:r>
        <w:rPr>
          <w:rFonts w:cs="宋体" w:hint="eastAsia"/>
          <w:lang w:eastAsia="zh-CN"/>
        </w:rPr>
        <w:t>发展理念，积极探索适合公司特点的社会责任履行方式，持续为客户创价值，为员工谋幸福，为股东赢效益，为社会做贡献。</w:t>
      </w:r>
    </w:p>
    <w:p w:rsidR="00162692" w:rsidRDefault="00CA7AC8">
      <w:pPr>
        <w:pStyle w:val="a3"/>
        <w:spacing w:before="0" w:line="560" w:lineRule="exact"/>
        <w:ind w:left="0" w:right="215" w:firstLineChars="200" w:firstLine="480"/>
        <w:jc w:val="both"/>
        <w:rPr>
          <w:rFonts w:cs="宋体"/>
          <w:lang w:eastAsia="zh-CN"/>
        </w:rPr>
      </w:pPr>
      <w:r>
        <w:rPr>
          <w:rFonts w:cs="宋体" w:hint="eastAsia"/>
          <w:lang w:eastAsia="zh-CN"/>
        </w:rPr>
        <w:t>（二）</w:t>
      </w:r>
      <w:r>
        <w:rPr>
          <w:rFonts w:cs="宋体" w:hint="eastAsia"/>
          <w:lang w:eastAsia="zh-CN"/>
        </w:rPr>
        <w:t>现金分红</w:t>
      </w:r>
    </w:p>
    <w:p w:rsidR="00162692" w:rsidRDefault="00CA7AC8">
      <w:pPr>
        <w:pStyle w:val="a3"/>
        <w:spacing w:before="0" w:line="560" w:lineRule="exact"/>
        <w:ind w:left="0" w:right="215" w:firstLineChars="200" w:firstLine="480"/>
        <w:jc w:val="both"/>
        <w:rPr>
          <w:rFonts w:cs="宋体"/>
          <w:lang w:eastAsia="zh-CN"/>
        </w:rPr>
      </w:pPr>
      <w:r>
        <w:rPr>
          <w:rFonts w:cs="宋体" w:hint="eastAsia"/>
          <w:lang w:eastAsia="zh-CN"/>
        </w:rPr>
        <w:t>公司牢固树立回报股东意识，坚持以投资者为本，让广大投资者有回报、有获得感。公司本着重视股东合理投资回报、同时兼顾合理资金需求的原则，平衡业务持续健康发展与股东综合回报二者间的关系，公司有意愿在盈利和资本充足</w:t>
      </w:r>
      <w:proofErr w:type="gramStart"/>
      <w:r>
        <w:rPr>
          <w:rFonts w:cs="宋体" w:hint="eastAsia"/>
          <w:lang w:eastAsia="zh-CN"/>
        </w:rPr>
        <w:t>率满足</w:t>
      </w:r>
      <w:proofErr w:type="gramEnd"/>
      <w:r>
        <w:rPr>
          <w:rFonts w:cs="宋体" w:hint="eastAsia"/>
          <w:lang w:eastAsia="zh-CN"/>
        </w:rPr>
        <w:t>持续经营和长远发展的前提下，增强分红的稳定性、及时性和</w:t>
      </w:r>
      <w:proofErr w:type="gramStart"/>
      <w:r>
        <w:rPr>
          <w:rFonts w:cs="宋体" w:hint="eastAsia"/>
          <w:lang w:eastAsia="zh-CN"/>
        </w:rPr>
        <w:t>可</w:t>
      </w:r>
      <w:proofErr w:type="gramEnd"/>
      <w:r>
        <w:rPr>
          <w:rFonts w:cs="宋体" w:hint="eastAsia"/>
          <w:lang w:eastAsia="zh-CN"/>
        </w:rPr>
        <w:t>预期性，充分维护股东依法享有投资收益的权利。</w:t>
      </w:r>
    </w:p>
    <w:p w:rsidR="00162692" w:rsidRDefault="00CA7AC8">
      <w:pPr>
        <w:pStyle w:val="a3"/>
        <w:spacing w:before="0" w:line="560" w:lineRule="exact"/>
        <w:ind w:left="0" w:right="215" w:firstLineChars="200" w:firstLine="480"/>
        <w:jc w:val="both"/>
        <w:rPr>
          <w:rFonts w:cs="宋体"/>
          <w:lang w:eastAsia="zh-CN"/>
        </w:rPr>
      </w:pPr>
      <w:r>
        <w:rPr>
          <w:rFonts w:cs="宋体" w:hint="eastAsia"/>
          <w:lang w:eastAsia="zh-CN"/>
        </w:rPr>
        <w:t>（三）信息披露</w:t>
      </w:r>
    </w:p>
    <w:p w:rsidR="00162692" w:rsidRDefault="00F65C34" w:rsidP="00F65C34">
      <w:pPr>
        <w:pStyle w:val="a3"/>
        <w:spacing w:before="0" w:line="560" w:lineRule="exact"/>
        <w:ind w:left="0" w:right="215" w:firstLineChars="200" w:firstLine="480"/>
        <w:jc w:val="both"/>
        <w:rPr>
          <w:rFonts w:cs="宋体"/>
          <w:lang w:eastAsia="zh-CN"/>
        </w:rPr>
      </w:pPr>
      <w:r w:rsidRPr="00F65C34">
        <w:rPr>
          <w:rFonts w:cs="宋体" w:hint="eastAsia"/>
          <w:lang w:eastAsia="zh-CN"/>
        </w:rPr>
        <w:t>根据信息披露相关规则要求，</w:t>
      </w:r>
      <w:r w:rsidR="00CA7AC8">
        <w:rPr>
          <w:rFonts w:cs="宋体" w:hint="eastAsia"/>
          <w:lang w:eastAsia="zh-CN"/>
        </w:rPr>
        <w:t>及时准确地完成年报、半年报等定期报告及临时公告的公开披露，确保</w:t>
      </w:r>
      <w:bookmarkStart w:id="0" w:name="_GoBack"/>
      <w:bookmarkEnd w:id="0"/>
      <w:r w:rsidR="00CA7AC8">
        <w:rPr>
          <w:rFonts w:cs="宋体" w:hint="eastAsia"/>
          <w:lang w:eastAsia="zh-CN"/>
        </w:rPr>
        <w:t>投资者及时了解公司重大事项，充分保障广大投资者特别是中小投资者的合法权益。</w:t>
      </w:r>
    </w:p>
    <w:p w:rsidR="00162692" w:rsidRDefault="00CA7AC8">
      <w:pPr>
        <w:pStyle w:val="a3"/>
        <w:spacing w:before="0" w:line="560" w:lineRule="exact"/>
        <w:ind w:left="0" w:right="215" w:firstLineChars="200" w:firstLine="480"/>
        <w:jc w:val="both"/>
        <w:rPr>
          <w:rFonts w:cs="宋体"/>
          <w:lang w:eastAsia="zh-CN"/>
        </w:rPr>
      </w:pPr>
      <w:r>
        <w:rPr>
          <w:rFonts w:cs="宋体" w:hint="eastAsia"/>
          <w:lang w:eastAsia="zh-CN"/>
        </w:rPr>
        <w:t>（四）投资者关系管理</w:t>
      </w:r>
    </w:p>
    <w:p w:rsidR="00162692" w:rsidRDefault="00CA7AC8">
      <w:pPr>
        <w:pStyle w:val="a3"/>
        <w:spacing w:before="0" w:line="560" w:lineRule="exact"/>
        <w:ind w:left="0" w:right="215" w:firstLineChars="200" w:firstLine="480"/>
        <w:jc w:val="both"/>
        <w:rPr>
          <w:rFonts w:cs="宋体"/>
          <w:lang w:eastAsia="zh-CN"/>
        </w:rPr>
      </w:pPr>
      <w:r>
        <w:rPr>
          <w:rFonts w:cs="宋体" w:hint="eastAsia"/>
          <w:lang w:eastAsia="zh-CN"/>
        </w:rPr>
        <w:t>公司制定与投资者沟通交流的计划安排，积极举办业绩说明会。不断创新与投资者沟通的形式，组织开展形式多样、内容丰富的投资者交流活动，通过路演、开放日、投资者调研、分析师会议、股东大会现场交流等形式，加强与投资者的深度有效沟通；主动征集和听取投资者的意见建议，加强管理层与投资者的互动交流，助力提升公司的治理水平、经营管理和整体价值。</w:t>
      </w:r>
    </w:p>
    <w:p w:rsidR="00162692" w:rsidRDefault="00CA7AC8">
      <w:pPr>
        <w:pStyle w:val="1"/>
        <w:spacing w:line="560" w:lineRule="exact"/>
        <w:ind w:left="0" w:firstLineChars="200" w:firstLine="482"/>
        <w:rPr>
          <w:rFonts w:ascii="宋体" w:eastAsia="宋体" w:hAnsi="宋体" w:cs="宋体"/>
          <w:bCs w:val="0"/>
          <w:lang w:eastAsia="zh-CN"/>
        </w:rPr>
      </w:pPr>
      <w:r>
        <w:rPr>
          <w:rFonts w:ascii="宋体" w:eastAsia="宋体" w:hAnsi="宋体" w:cs="宋体" w:hint="eastAsia"/>
          <w:bCs w:val="0"/>
          <w:lang w:eastAsia="zh-CN"/>
        </w:rPr>
        <w:t>三、董事会对估值提升计划的说明</w:t>
      </w:r>
    </w:p>
    <w:p w:rsidR="00162692" w:rsidRDefault="00CA7AC8">
      <w:pPr>
        <w:pStyle w:val="Default"/>
        <w:spacing w:line="560" w:lineRule="exact"/>
        <w:ind w:firstLineChars="200" w:firstLine="480"/>
        <w:rPr>
          <w:rFonts w:eastAsia="宋体"/>
          <w:color w:val="auto"/>
        </w:rPr>
      </w:pPr>
      <w:r>
        <w:rPr>
          <w:rFonts w:eastAsia="宋体" w:hint="eastAsia"/>
          <w:color w:val="auto"/>
        </w:rPr>
        <w:t>董事会认为本次制定的《估值提升计划》符合法律法规和《公司章程》的有关规定，符合公司的实际情况及发展规划，具备合理性和可行性，有</w:t>
      </w:r>
      <w:r>
        <w:rPr>
          <w:rFonts w:eastAsia="宋体" w:hint="eastAsia"/>
          <w:color w:val="auto"/>
        </w:rPr>
        <w:t>助于进一步提高公司质量，提升公司投资价值，增强投资者回报，不存在损害公司及全体股东特别是中小股东利益的情形。</w:t>
      </w:r>
    </w:p>
    <w:p w:rsidR="00162692" w:rsidRDefault="00CA7AC8">
      <w:pPr>
        <w:pStyle w:val="1"/>
        <w:spacing w:line="560" w:lineRule="exact"/>
        <w:ind w:left="0" w:firstLineChars="200" w:firstLine="482"/>
        <w:rPr>
          <w:rFonts w:ascii="宋体" w:eastAsia="宋体" w:hAnsi="宋体" w:cs="宋体"/>
          <w:bCs w:val="0"/>
          <w:lang w:eastAsia="zh-CN"/>
        </w:rPr>
      </w:pPr>
      <w:r>
        <w:rPr>
          <w:rFonts w:ascii="宋体" w:eastAsia="宋体" w:hAnsi="宋体" w:cs="宋体" w:hint="eastAsia"/>
          <w:bCs w:val="0"/>
          <w:lang w:eastAsia="zh-CN"/>
        </w:rPr>
        <w:t>四、评估安排</w:t>
      </w:r>
    </w:p>
    <w:p w:rsidR="00162692" w:rsidRDefault="00CA7AC8">
      <w:pPr>
        <w:pStyle w:val="a3"/>
        <w:spacing w:before="0" w:line="560" w:lineRule="exact"/>
        <w:ind w:left="0" w:right="215" w:firstLineChars="200" w:firstLine="480"/>
        <w:jc w:val="both"/>
        <w:rPr>
          <w:rFonts w:cs="宋体"/>
          <w:lang w:eastAsia="zh-CN"/>
        </w:rPr>
      </w:pPr>
      <w:r>
        <w:rPr>
          <w:rFonts w:cs="宋体" w:hint="eastAsia"/>
          <w:lang w:eastAsia="zh-CN"/>
        </w:rPr>
        <w:lastRenderedPageBreak/>
        <w:t>公司将每年对估值提升计划的实施效果进行评估，评估后需要完善的，将在董事会审议后披露。</w:t>
      </w:r>
    </w:p>
    <w:p w:rsidR="00162692" w:rsidRDefault="00CA7AC8">
      <w:pPr>
        <w:pStyle w:val="a3"/>
        <w:spacing w:before="0" w:line="560" w:lineRule="exact"/>
        <w:ind w:left="0" w:right="215" w:firstLineChars="200" w:firstLine="482"/>
        <w:jc w:val="both"/>
        <w:rPr>
          <w:rFonts w:cs="宋体"/>
          <w:b/>
          <w:lang w:eastAsia="zh-CN"/>
        </w:rPr>
      </w:pPr>
      <w:r>
        <w:rPr>
          <w:rFonts w:cs="宋体" w:hint="eastAsia"/>
          <w:b/>
          <w:lang w:eastAsia="zh-CN"/>
        </w:rPr>
        <w:t>五、风险提示</w:t>
      </w:r>
    </w:p>
    <w:p w:rsidR="00162692" w:rsidRDefault="00CA7AC8">
      <w:pPr>
        <w:pStyle w:val="a3"/>
        <w:spacing w:before="0" w:line="560" w:lineRule="exact"/>
        <w:ind w:left="0" w:right="215" w:firstLineChars="200" w:firstLine="480"/>
        <w:jc w:val="both"/>
        <w:rPr>
          <w:rFonts w:cs="宋体" w:hint="eastAsia"/>
          <w:lang w:eastAsia="zh-CN"/>
        </w:rPr>
      </w:pPr>
      <w:r>
        <w:rPr>
          <w:rFonts w:cs="宋体" w:hint="eastAsia"/>
          <w:lang w:eastAsia="zh-CN"/>
        </w:rPr>
        <w:t>本估值提升计划仅为公司行动计划，不代表公司对业绩、股价、重大事件等任何指标或事项的承诺。公司业绩及二级市场表现受到宏观形势、行业政策、市场情况等诸多因素影响，相关目标的实现情况存在不确定性。敬请投资者理性投资，注意投资风险。</w:t>
      </w:r>
    </w:p>
    <w:p w:rsidR="00F65C34" w:rsidRDefault="00F65C34">
      <w:pPr>
        <w:pStyle w:val="a3"/>
        <w:spacing w:before="0" w:line="560" w:lineRule="exact"/>
        <w:ind w:left="0" w:right="215" w:firstLineChars="200" w:firstLine="480"/>
        <w:jc w:val="both"/>
        <w:rPr>
          <w:rFonts w:cs="宋体"/>
          <w:lang w:eastAsia="zh-CN"/>
        </w:rPr>
      </w:pPr>
      <w:r>
        <w:rPr>
          <w:rFonts w:cs="宋体" w:hint="eastAsia"/>
          <w:lang w:eastAsia="zh-CN"/>
        </w:rPr>
        <w:t>特此公告。</w:t>
      </w:r>
    </w:p>
    <w:p w:rsidR="00162692" w:rsidRDefault="00162692">
      <w:pPr>
        <w:pStyle w:val="a3"/>
        <w:spacing w:before="0" w:line="560" w:lineRule="exact"/>
        <w:ind w:left="0" w:right="216" w:firstLineChars="200" w:firstLine="480"/>
        <w:jc w:val="right"/>
        <w:rPr>
          <w:rFonts w:cs="宋体"/>
          <w:lang w:eastAsia="zh-CN"/>
        </w:rPr>
      </w:pPr>
    </w:p>
    <w:p w:rsidR="00162692" w:rsidRDefault="00CA7AC8">
      <w:pPr>
        <w:pStyle w:val="a3"/>
        <w:spacing w:before="0" w:line="560" w:lineRule="exact"/>
        <w:ind w:left="0" w:right="216" w:firstLineChars="200" w:firstLine="480"/>
        <w:jc w:val="right"/>
        <w:rPr>
          <w:rFonts w:cs="宋体"/>
          <w:lang w:eastAsia="zh-CN"/>
        </w:rPr>
      </w:pPr>
      <w:r>
        <w:rPr>
          <w:rFonts w:cs="宋体" w:hint="eastAsia"/>
          <w:lang w:eastAsia="zh-CN"/>
        </w:rPr>
        <w:t>江苏紫金农村商业银行股份有限公司董事会</w:t>
      </w:r>
    </w:p>
    <w:p w:rsidR="00162692" w:rsidRDefault="00CA7AC8">
      <w:pPr>
        <w:pStyle w:val="a3"/>
        <w:spacing w:before="0" w:line="560" w:lineRule="exact"/>
        <w:ind w:left="0" w:right="216" w:firstLineChars="200" w:firstLine="480"/>
        <w:jc w:val="right"/>
        <w:rPr>
          <w:rFonts w:cs="宋体"/>
          <w:lang w:eastAsia="zh-CN"/>
        </w:rPr>
      </w:pPr>
      <w:r>
        <w:rPr>
          <w:rFonts w:cs="宋体" w:hint="eastAsia"/>
          <w:lang w:eastAsia="zh-CN"/>
        </w:rPr>
        <w:t>2025</w:t>
      </w:r>
      <w:r>
        <w:rPr>
          <w:rFonts w:cs="宋体" w:hint="eastAsia"/>
          <w:lang w:eastAsia="zh-CN"/>
        </w:rPr>
        <w:t>年</w:t>
      </w:r>
      <w:r>
        <w:rPr>
          <w:rFonts w:cs="宋体" w:hint="eastAsia"/>
          <w:lang w:eastAsia="zh-CN"/>
        </w:rPr>
        <w:t>4</w:t>
      </w:r>
      <w:r>
        <w:rPr>
          <w:rFonts w:cs="宋体" w:hint="eastAsia"/>
          <w:lang w:eastAsia="zh-CN"/>
        </w:rPr>
        <w:t>月</w:t>
      </w:r>
      <w:r>
        <w:rPr>
          <w:rFonts w:cs="宋体" w:hint="eastAsia"/>
          <w:lang w:eastAsia="zh-CN"/>
        </w:rPr>
        <w:t>23</w:t>
      </w:r>
      <w:r>
        <w:rPr>
          <w:rFonts w:cs="宋体" w:hint="eastAsia"/>
          <w:lang w:eastAsia="zh-CN"/>
        </w:rPr>
        <w:t>日</w:t>
      </w:r>
    </w:p>
    <w:sectPr w:rsidR="00162692">
      <w:footerReference w:type="default" r:id="rId8"/>
      <w:pgSz w:w="11910" w:h="16840"/>
      <w:pgMar w:top="1460" w:right="1580" w:bottom="1160" w:left="1680" w:header="0" w:footer="97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7AC8" w:rsidRDefault="00CA7AC8">
      <w:r>
        <w:separator/>
      </w:r>
    </w:p>
  </w:endnote>
  <w:endnote w:type="continuationSeparator" w:id="0">
    <w:p w:rsidR="00CA7AC8" w:rsidRDefault="00CA7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2692" w:rsidRDefault="00CA7AC8">
    <w:pPr>
      <w:spacing w:line="14" w:lineRule="auto"/>
      <w:rPr>
        <w:sz w:val="20"/>
        <w:szCs w:val="20"/>
      </w:rPr>
    </w:pPr>
    <w:r>
      <w:rPr>
        <w:noProof/>
        <w:lang w:eastAsia="zh-CN"/>
      </w:rPr>
      <mc:AlternateContent>
        <mc:Choice Requires="wps">
          <w:drawing>
            <wp:anchor distT="0" distB="0" distL="114300" distR="114300" simplePos="0" relativeHeight="251659264" behindDoc="1" locked="0" layoutInCell="1" allowOverlap="1">
              <wp:simplePos x="0" y="0"/>
              <wp:positionH relativeFrom="page">
                <wp:posOffset>3725545</wp:posOffset>
              </wp:positionH>
              <wp:positionV relativeFrom="page">
                <wp:posOffset>9935210</wp:posOffset>
              </wp:positionV>
              <wp:extent cx="109220" cy="139700"/>
              <wp:effectExtent l="1270" t="635" r="3810" b="254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20" cy="139700"/>
                      </a:xfrm>
                      <a:prstGeom prst="rect">
                        <a:avLst/>
                      </a:prstGeom>
                      <a:noFill/>
                      <a:ln>
                        <a:noFill/>
                      </a:ln>
                    </wps:spPr>
                    <wps:txbx>
                      <w:txbxContent>
                        <w:p w:rsidR="00162692" w:rsidRDefault="00CA7AC8">
                          <w:pPr>
                            <w:spacing w:line="203" w:lineRule="exact"/>
                            <w:ind w:left="40"/>
                            <w:rPr>
                              <w:rFonts w:ascii="Calibri" w:eastAsia="Calibri" w:hAnsi="Calibri" w:cs="Calibri"/>
                              <w:sz w:val="18"/>
                              <w:szCs w:val="18"/>
                            </w:rPr>
                          </w:pPr>
                          <w:r>
                            <w:fldChar w:fldCharType="begin"/>
                          </w:r>
                          <w:r>
                            <w:rPr>
                              <w:rFonts w:ascii="Calibri"/>
                              <w:sz w:val="18"/>
                            </w:rPr>
                            <w:instrText xml:space="preserve"> PAGE </w:instrText>
                          </w:r>
                          <w:r>
                            <w:fldChar w:fldCharType="separate"/>
                          </w:r>
                          <w:r w:rsidR="00F65C34">
                            <w:rPr>
                              <w:rFonts w:ascii="Calibri"/>
                              <w:noProof/>
                              <w:sz w:val="18"/>
                            </w:rPr>
                            <w:t>4</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293.35pt;margin-top:782.3pt;width:8.6pt;height:11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" filled="f" stroked="f">
              <v:textbox inset="0,0,0,0">
                <w:txbxContent>
                  <w:p w:rsidR="00162692" w:rsidRDefault="00CA7AC8">
                    <w:pPr>
                      <w:spacing w:line="203" w:lineRule="exact"/>
                      <w:ind w:left="40"/>
                      <w:rPr>
                        <w:rFonts w:ascii="Calibri" w:eastAsia="Calibri" w:hAnsi="Calibri" w:cs="Calibri"/>
                        <w:sz w:val="18"/>
                        <w:szCs w:val="18"/>
                      </w:rPr>
                    </w:pPr>
                    <w:r>
                      <w:fldChar w:fldCharType="begin"/>
                    </w:r>
                    <w:r>
                      <w:rPr>
                        <w:rFonts w:ascii="Calibri"/>
                        <w:sz w:val="18"/>
                      </w:rPr>
                      <w:instrText xml:space="preserve"> PAGE </w:instrText>
                    </w:r>
                    <w:r>
                      <w:fldChar w:fldCharType="separate"/>
                    </w:r>
                    <w:r w:rsidR="00F65C34">
                      <w:rPr>
                        <w:rFonts w:ascii="Calibri"/>
                        <w:noProof/>
                        <w:sz w:val="18"/>
                      </w:rPr>
                      <w:t>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7AC8" w:rsidRDefault="00CA7AC8">
      <w:r>
        <w:separator/>
      </w:r>
    </w:p>
  </w:footnote>
  <w:footnote w:type="continuationSeparator" w:id="0">
    <w:p w:rsidR="00CA7AC8" w:rsidRDefault="00CA7A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0DCE"/>
    <w:rsid w:val="000061DD"/>
    <w:rsid w:val="0002391D"/>
    <w:rsid w:val="000276EF"/>
    <w:rsid w:val="000435D1"/>
    <w:rsid w:val="00083C33"/>
    <w:rsid w:val="000B2990"/>
    <w:rsid w:val="000B3A76"/>
    <w:rsid w:val="00124B76"/>
    <w:rsid w:val="00141805"/>
    <w:rsid w:val="001519F4"/>
    <w:rsid w:val="00162692"/>
    <w:rsid w:val="00163B16"/>
    <w:rsid w:val="00173367"/>
    <w:rsid w:val="001F120B"/>
    <w:rsid w:val="001F750D"/>
    <w:rsid w:val="0020169B"/>
    <w:rsid w:val="00243BFF"/>
    <w:rsid w:val="00251E29"/>
    <w:rsid w:val="002D1C5A"/>
    <w:rsid w:val="00311865"/>
    <w:rsid w:val="003B0A19"/>
    <w:rsid w:val="003B6411"/>
    <w:rsid w:val="003F30C4"/>
    <w:rsid w:val="00460D6B"/>
    <w:rsid w:val="004751BA"/>
    <w:rsid w:val="005B4689"/>
    <w:rsid w:val="005D7FF7"/>
    <w:rsid w:val="006045B9"/>
    <w:rsid w:val="0063767F"/>
    <w:rsid w:val="00680EF7"/>
    <w:rsid w:val="00756E9B"/>
    <w:rsid w:val="0076686C"/>
    <w:rsid w:val="007C0F32"/>
    <w:rsid w:val="007D28A4"/>
    <w:rsid w:val="007E3B1C"/>
    <w:rsid w:val="0084117E"/>
    <w:rsid w:val="008606D1"/>
    <w:rsid w:val="008B61FC"/>
    <w:rsid w:val="008C2293"/>
    <w:rsid w:val="008F3925"/>
    <w:rsid w:val="008F761E"/>
    <w:rsid w:val="009208AA"/>
    <w:rsid w:val="009A1607"/>
    <w:rsid w:val="009B4CB9"/>
    <w:rsid w:val="009D1D2D"/>
    <w:rsid w:val="009E376E"/>
    <w:rsid w:val="00A37502"/>
    <w:rsid w:val="00A44E59"/>
    <w:rsid w:val="00A92A78"/>
    <w:rsid w:val="00AB0DCE"/>
    <w:rsid w:val="00B10BD2"/>
    <w:rsid w:val="00B262AD"/>
    <w:rsid w:val="00B455AF"/>
    <w:rsid w:val="00B51BFB"/>
    <w:rsid w:val="00BB1ADB"/>
    <w:rsid w:val="00BB69DF"/>
    <w:rsid w:val="00BF68DE"/>
    <w:rsid w:val="00C17FA0"/>
    <w:rsid w:val="00C72A19"/>
    <w:rsid w:val="00CA7AC8"/>
    <w:rsid w:val="00DB4A81"/>
    <w:rsid w:val="00DC2DE1"/>
    <w:rsid w:val="00E17FE2"/>
    <w:rsid w:val="00E50722"/>
    <w:rsid w:val="00F10447"/>
    <w:rsid w:val="00F65C34"/>
    <w:rsid w:val="00F86098"/>
    <w:rsid w:val="139513AE"/>
    <w:rsid w:val="20DB5665"/>
    <w:rsid w:val="23F3275F"/>
    <w:rsid w:val="27BD063F"/>
    <w:rsid w:val="287E6335"/>
    <w:rsid w:val="38766CAF"/>
    <w:rsid w:val="3CE16532"/>
    <w:rsid w:val="471622FC"/>
    <w:rsid w:val="4B2B3E60"/>
    <w:rsid w:val="4D39613E"/>
    <w:rsid w:val="4F7E0A85"/>
    <w:rsid w:val="598516EC"/>
    <w:rsid w:val="5ACA0078"/>
    <w:rsid w:val="5E533842"/>
    <w:rsid w:val="64FF7A9F"/>
    <w:rsid w:val="6D157673"/>
    <w:rsid w:val="78A029F4"/>
    <w:rsid w:val="7BDF3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4"/>
    <w:uiPriority w:val="1"/>
    <w:qFormat/>
    <w:pPr>
      <w:widowControl w:val="0"/>
    </w:pPr>
    <w:rPr>
      <w:sz w:val="22"/>
      <w:szCs w:val="22"/>
      <w:lang w:eastAsia="en-US"/>
    </w:rPr>
  </w:style>
  <w:style w:type="paragraph" w:styleId="1">
    <w:name w:val="heading 1"/>
    <w:basedOn w:val="a"/>
    <w:next w:val="a"/>
    <w:link w:val="1Char"/>
    <w:uiPriority w:val="1"/>
    <w:qFormat/>
    <w:pPr>
      <w:ind w:left="600" w:firstLine="2"/>
      <w:outlineLvl w:val="0"/>
    </w:pPr>
    <w:rPr>
      <w:rFonts w:ascii="Microsoft JhengHei" w:eastAsia="Microsoft JhengHei" w:hAnsi="Microsoft JhengHei"/>
      <w:b/>
      <w:bCs/>
      <w:sz w:val="24"/>
      <w:szCs w:val="24"/>
    </w:rPr>
  </w:style>
  <w:style w:type="paragraph" w:styleId="4">
    <w:name w:val="heading 4"/>
    <w:basedOn w:val="a"/>
    <w:next w:val="a"/>
    <w:uiPriority w:val="9"/>
    <w:qFormat/>
    <w:pPr>
      <w:keepNext/>
      <w:keepLines/>
      <w:spacing w:before="60" w:after="60"/>
      <w:outlineLvl w:val="3"/>
    </w:pPr>
    <w:rPr>
      <w:rFonts w:ascii="Cambria" w:hAnsi="Cambria" w:cs="Times New Roman"/>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pPr>
      <w:spacing w:before="126"/>
      <w:ind w:left="120"/>
    </w:pPr>
    <w:rPr>
      <w:rFonts w:ascii="宋体" w:eastAsia="宋体" w:hAnsi="宋体"/>
      <w:sz w:val="24"/>
      <w:szCs w:val="24"/>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pPr>
    <w:rPr>
      <w:kern w:val="2"/>
      <w:sz w:val="18"/>
      <w:szCs w:val="18"/>
      <w:lang w:eastAsia="zh-CN"/>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kern w:val="2"/>
      <w:sz w:val="18"/>
      <w:szCs w:val="18"/>
      <w:lang w:eastAsia="zh-CN"/>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1Char">
    <w:name w:val="标题 1 Char"/>
    <w:basedOn w:val="a0"/>
    <w:link w:val="1"/>
    <w:uiPriority w:val="1"/>
    <w:qFormat/>
    <w:rPr>
      <w:rFonts w:ascii="Microsoft JhengHei" w:eastAsia="Microsoft JhengHei" w:hAnsi="Microsoft JhengHei"/>
      <w:b/>
      <w:bCs/>
      <w:kern w:val="0"/>
      <w:sz w:val="24"/>
      <w:szCs w:val="24"/>
      <w:lang w:eastAsia="en-US"/>
    </w:rPr>
  </w:style>
  <w:style w:type="table" w:customStyle="1" w:styleId="TableNormal">
    <w:name w:val="Table Normal"/>
    <w:uiPriority w:val="2"/>
    <w:semiHidden/>
    <w:unhideWhenUsed/>
    <w:qFormat/>
    <w:pPr>
      <w:widowControl w:val="0"/>
    </w:pPr>
    <w:rPr>
      <w:sz w:val="22"/>
      <w:lang w:eastAsia="en-US"/>
    </w:rPr>
    <w:tblPr>
      <w:tblCellMar>
        <w:top w:w="0" w:type="dxa"/>
        <w:left w:w="0" w:type="dxa"/>
        <w:bottom w:w="0" w:type="dxa"/>
        <w:right w:w="0" w:type="dxa"/>
      </w:tblCellMar>
    </w:tblPr>
  </w:style>
  <w:style w:type="character" w:customStyle="1" w:styleId="Char">
    <w:name w:val="正文文本 Char"/>
    <w:basedOn w:val="a0"/>
    <w:link w:val="a3"/>
    <w:uiPriority w:val="1"/>
    <w:qFormat/>
    <w:rPr>
      <w:rFonts w:ascii="宋体" w:eastAsia="宋体" w:hAnsi="宋体"/>
      <w:kern w:val="0"/>
      <w:sz w:val="24"/>
      <w:szCs w:val="24"/>
      <w:lang w:eastAsia="en-US"/>
    </w:rPr>
  </w:style>
  <w:style w:type="paragraph" w:customStyle="1" w:styleId="TableParagraph">
    <w:name w:val="Table Paragraph"/>
    <w:basedOn w:val="a"/>
    <w:uiPriority w:val="1"/>
    <w:qFormat/>
  </w:style>
  <w:style w:type="paragraph" w:styleId="a7">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宋体" w:hAnsi="宋体" w:cs="宋体"/>
      <w:color w:val="000000"/>
      <w:sz w:val="24"/>
      <w:szCs w:val="24"/>
    </w:rPr>
  </w:style>
  <w:style w:type="character" w:customStyle="1" w:styleId="Char0">
    <w:name w:val="批注框文本 Char"/>
    <w:basedOn w:val="a0"/>
    <w:link w:val="a4"/>
    <w:uiPriority w:val="99"/>
    <w:semiHidden/>
    <w:qFormat/>
    <w:rPr>
      <w:kern w:val="0"/>
      <w:sz w:val="18"/>
      <w:szCs w:val="18"/>
      <w:lang w:eastAsia="en-US"/>
    </w:rPr>
  </w:style>
  <w:style w:type="paragraph" w:customStyle="1" w:styleId="p0">
    <w:name w:val="p0"/>
    <w:basedOn w:val="a"/>
    <w:pPr>
      <w:widowControl/>
    </w:pPr>
    <w:rPr>
      <w:rFonts w:ascii="Book Antiqua" w:hAnsi="Book Antiqua" w:cs="宋体"/>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4"/>
    <w:uiPriority w:val="1"/>
    <w:qFormat/>
    <w:pPr>
      <w:widowControl w:val="0"/>
    </w:pPr>
    <w:rPr>
      <w:sz w:val="22"/>
      <w:szCs w:val="22"/>
      <w:lang w:eastAsia="en-US"/>
    </w:rPr>
  </w:style>
  <w:style w:type="paragraph" w:styleId="1">
    <w:name w:val="heading 1"/>
    <w:basedOn w:val="a"/>
    <w:next w:val="a"/>
    <w:link w:val="1Char"/>
    <w:uiPriority w:val="1"/>
    <w:qFormat/>
    <w:pPr>
      <w:ind w:left="600" w:firstLine="2"/>
      <w:outlineLvl w:val="0"/>
    </w:pPr>
    <w:rPr>
      <w:rFonts w:ascii="Microsoft JhengHei" w:eastAsia="Microsoft JhengHei" w:hAnsi="Microsoft JhengHei"/>
      <w:b/>
      <w:bCs/>
      <w:sz w:val="24"/>
      <w:szCs w:val="24"/>
    </w:rPr>
  </w:style>
  <w:style w:type="paragraph" w:styleId="4">
    <w:name w:val="heading 4"/>
    <w:basedOn w:val="a"/>
    <w:next w:val="a"/>
    <w:uiPriority w:val="9"/>
    <w:qFormat/>
    <w:pPr>
      <w:keepNext/>
      <w:keepLines/>
      <w:spacing w:before="60" w:after="60"/>
      <w:outlineLvl w:val="3"/>
    </w:pPr>
    <w:rPr>
      <w:rFonts w:ascii="Cambria" w:hAnsi="Cambria" w:cs="Times New Roman"/>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pPr>
      <w:spacing w:before="126"/>
      <w:ind w:left="120"/>
    </w:pPr>
    <w:rPr>
      <w:rFonts w:ascii="宋体" w:eastAsia="宋体" w:hAnsi="宋体"/>
      <w:sz w:val="24"/>
      <w:szCs w:val="24"/>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pPr>
    <w:rPr>
      <w:kern w:val="2"/>
      <w:sz w:val="18"/>
      <w:szCs w:val="18"/>
      <w:lang w:eastAsia="zh-CN"/>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kern w:val="2"/>
      <w:sz w:val="18"/>
      <w:szCs w:val="18"/>
      <w:lang w:eastAsia="zh-CN"/>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1Char">
    <w:name w:val="标题 1 Char"/>
    <w:basedOn w:val="a0"/>
    <w:link w:val="1"/>
    <w:uiPriority w:val="1"/>
    <w:qFormat/>
    <w:rPr>
      <w:rFonts w:ascii="Microsoft JhengHei" w:eastAsia="Microsoft JhengHei" w:hAnsi="Microsoft JhengHei"/>
      <w:b/>
      <w:bCs/>
      <w:kern w:val="0"/>
      <w:sz w:val="24"/>
      <w:szCs w:val="24"/>
      <w:lang w:eastAsia="en-US"/>
    </w:rPr>
  </w:style>
  <w:style w:type="table" w:customStyle="1" w:styleId="TableNormal">
    <w:name w:val="Table Normal"/>
    <w:uiPriority w:val="2"/>
    <w:semiHidden/>
    <w:unhideWhenUsed/>
    <w:qFormat/>
    <w:pPr>
      <w:widowControl w:val="0"/>
    </w:pPr>
    <w:rPr>
      <w:sz w:val="22"/>
      <w:lang w:eastAsia="en-US"/>
    </w:rPr>
    <w:tblPr>
      <w:tblCellMar>
        <w:top w:w="0" w:type="dxa"/>
        <w:left w:w="0" w:type="dxa"/>
        <w:bottom w:w="0" w:type="dxa"/>
        <w:right w:w="0" w:type="dxa"/>
      </w:tblCellMar>
    </w:tblPr>
  </w:style>
  <w:style w:type="character" w:customStyle="1" w:styleId="Char">
    <w:name w:val="正文文本 Char"/>
    <w:basedOn w:val="a0"/>
    <w:link w:val="a3"/>
    <w:uiPriority w:val="1"/>
    <w:qFormat/>
    <w:rPr>
      <w:rFonts w:ascii="宋体" w:eastAsia="宋体" w:hAnsi="宋体"/>
      <w:kern w:val="0"/>
      <w:sz w:val="24"/>
      <w:szCs w:val="24"/>
      <w:lang w:eastAsia="en-US"/>
    </w:rPr>
  </w:style>
  <w:style w:type="paragraph" w:customStyle="1" w:styleId="TableParagraph">
    <w:name w:val="Table Paragraph"/>
    <w:basedOn w:val="a"/>
    <w:uiPriority w:val="1"/>
    <w:qFormat/>
  </w:style>
  <w:style w:type="paragraph" w:styleId="a7">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宋体" w:hAnsi="宋体" w:cs="宋体"/>
      <w:color w:val="000000"/>
      <w:sz w:val="24"/>
      <w:szCs w:val="24"/>
    </w:rPr>
  </w:style>
  <w:style w:type="character" w:customStyle="1" w:styleId="Char0">
    <w:name w:val="批注框文本 Char"/>
    <w:basedOn w:val="a0"/>
    <w:link w:val="a4"/>
    <w:uiPriority w:val="99"/>
    <w:semiHidden/>
    <w:qFormat/>
    <w:rPr>
      <w:kern w:val="0"/>
      <w:sz w:val="18"/>
      <w:szCs w:val="18"/>
      <w:lang w:eastAsia="en-US"/>
    </w:rPr>
  </w:style>
  <w:style w:type="paragraph" w:customStyle="1" w:styleId="p0">
    <w:name w:val="p0"/>
    <w:basedOn w:val="a"/>
    <w:pPr>
      <w:widowControl/>
    </w:pPr>
    <w:rPr>
      <w:rFonts w:ascii="Book Antiqua" w:hAnsi="Book Antiqua"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446</Words>
  <Characters>2546</Characters>
  <Application>Microsoft Office Word</Application>
  <DocSecurity>0</DocSecurity>
  <Lines>21</Lines>
  <Paragraphs>5</Paragraphs>
  <ScaleCrop>false</ScaleCrop>
  <Company/>
  <LinksUpToDate>false</LinksUpToDate>
  <CharactersWithSpaces>2987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25</cp:revision>
  <cp:lastPrinted>2025-04-02T08:09:00Z</cp:lastPrinted>
  <dcterms:created xsi:type="dcterms:W3CDTF">2025-03-21T02:33:00Z</dcterms:created>
  <dcterms:modified xsi:type="dcterms:W3CDTF">2025-04-24T08:05:00Z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E699B41E59A84ACF8660D5A69CD0F027</vt:lpwstr>
  </property>
</Properties>
</file>