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恒源封闭债权17</w:t>
      </w:r>
      <w:r>
        <w:rPr>
          <w:rFonts w:hint="eastAsia" w:ascii="楷体" w:hAnsi="楷体" w:eastAsia="楷体"/>
          <w:b/>
          <w:color w:val="auto"/>
          <w:sz w:val="28"/>
          <w:szCs w:val="28"/>
          <w:lang w:val="en-US" w:eastAsia="zh-CN"/>
        </w:rPr>
        <w:t>8</w:t>
      </w:r>
      <w:r>
        <w:rPr>
          <w:rFonts w:hint="eastAsia" w:ascii="楷体" w:hAnsi="楷体" w:eastAsia="楷体"/>
          <w:b/>
          <w:color w:val="auto"/>
          <w:sz w:val="28"/>
          <w:szCs w:val="28"/>
          <w:lang w:eastAsia="zh-CN"/>
        </w:rPr>
        <w:t>期优选3年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233B6"/>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2025-12-09T04:10:48Z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