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A94D86">
      <w:pPr>
        <w:shd w:val="clear" w:color="auto" w:fill="FFFFFF"/>
        <w:spacing w:line="300" w:lineRule="exact"/>
        <w:jc w:val="center"/>
        <w:outlineLvl w:val="1"/>
        <w:rPr>
          <w:rFonts w:ascii="Times New Roman" w:hAnsi="Times New Roman" w:eastAsia="黑体" w:cs="Times New Roman"/>
          <w:b/>
          <w:bCs/>
          <w:sz w:val="22"/>
          <w:highlight w:val="none"/>
        </w:rPr>
      </w:pPr>
      <w:r>
        <w:rPr>
          <w:rFonts w:hint="eastAsia" w:ascii="Times New Roman" w:hAnsi="Times New Roman" w:eastAsia="黑体" w:cs="Times New Roman"/>
          <w:b/>
          <w:bCs/>
          <w:sz w:val="22"/>
          <w:highlight w:val="none"/>
        </w:rPr>
        <w:t>信银理财理财产品投资协议书</w:t>
      </w:r>
    </w:p>
    <w:p w14:paraId="52DE90FC">
      <w:pPr>
        <w:spacing w:line="300" w:lineRule="exact"/>
        <w:ind w:firstLine="480"/>
        <w:rPr>
          <w:rFonts w:ascii="Times New Roman" w:hAnsi="Times New Roman" w:eastAsia="楷体_GB2312" w:cs="Times New Roman"/>
          <w:sz w:val="20"/>
          <w:szCs w:val="20"/>
          <w:highlight w:val="none"/>
        </w:rPr>
      </w:pPr>
    </w:p>
    <w:p w14:paraId="79341D91">
      <w:pPr>
        <w:spacing w:line="300" w:lineRule="exact"/>
        <w:ind w:firstLine="480"/>
        <w:rPr>
          <w:rFonts w:ascii="Times New Roman" w:hAnsi="Times New Roman" w:eastAsia="楷体_GB2312" w:cs="Times New Roman"/>
          <w:b/>
          <w:sz w:val="20"/>
          <w:szCs w:val="20"/>
          <w:highlight w:val="none"/>
        </w:rPr>
      </w:pPr>
      <w:r>
        <w:rPr>
          <w:rFonts w:hint="eastAsia" w:ascii="Times New Roman" w:hAnsi="Times New Roman" w:eastAsia="楷体_GB2312" w:cs="Times New Roman"/>
          <w:b/>
          <w:sz w:val="20"/>
          <w:szCs w:val="20"/>
          <w:highlight w:val="none"/>
        </w:rPr>
        <w:t>甲方：投资者（投资者信息详见签署页）</w:t>
      </w:r>
    </w:p>
    <w:p w14:paraId="6A0D581D">
      <w:pPr>
        <w:spacing w:line="300" w:lineRule="exact"/>
        <w:ind w:firstLine="480"/>
        <w:rPr>
          <w:rFonts w:ascii="Times New Roman" w:hAnsi="Times New Roman" w:eastAsia="楷体_GB2312" w:cs="Times New Roman"/>
          <w:b/>
          <w:sz w:val="20"/>
          <w:szCs w:val="20"/>
          <w:highlight w:val="none"/>
        </w:rPr>
      </w:pPr>
      <w:r>
        <w:rPr>
          <w:rFonts w:hint="eastAsia" w:ascii="Times New Roman" w:hAnsi="Times New Roman" w:eastAsia="楷体_GB2312" w:cs="Times New Roman"/>
          <w:b/>
          <w:sz w:val="20"/>
          <w:szCs w:val="20"/>
          <w:highlight w:val="none"/>
        </w:rPr>
        <w:t>乙方：信银理财有限责任公司</w:t>
      </w:r>
    </w:p>
    <w:p w14:paraId="123DE341">
      <w:pPr>
        <w:spacing w:line="300" w:lineRule="exact"/>
        <w:ind w:firstLine="480"/>
        <w:rPr>
          <w:rFonts w:ascii="Times New Roman" w:hAnsi="Times New Roman" w:eastAsia="楷体_GB2312" w:cs="Times New Roman"/>
          <w:sz w:val="20"/>
          <w:szCs w:val="20"/>
          <w:highlight w:val="none"/>
        </w:rPr>
      </w:pPr>
      <w:r>
        <w:rPr>
          <w:rFonts w:ascii="Times New Roman" w:hAnsi="Times New Roman" w:eastAsia="楷体_GB2312" w:cs="Times New Roman"/>
          <w:sz w:val="20"/>
          <w:szCs w:val="20"/>
          <w:highlight w:val="none"/>
        </w:rPr>
        <w:t xml:space="preserve">   </w:t>
      </w:r>
    </w:p>
    <w:p w14:paraId="06049925">
      <w:pPr>
        <w:spacing w:line="300" w:lineRule="exact"/>
        <w:ind w:firstLine="480"/>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经甲方和乙方平等协商，就甲方认购</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申购乙方发行的理财产品（以下简称</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理财产品</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），达成本协议如下：</w:t>
      </w:r>
    </w:p>
    <w:p w14:paraId="48B11971">
      <w:pPr>
        <w:spacing w:line="300" w:lineRule="exact"/>
        <w:ind w:firstLine="480"/>
        <w:rPr>
          <w:rFonts w:ascii="Times New Roman" w:hAnsi="Times New Roman" w:eastAsia="楷体_GB2312" w:cs="Times New Roman"/>
          <w:sz w:val="20"/>
          <w:szCs w:val="20"/>
          <w:highlight w:val="none"/>
        </w:rPr>
      </w:pPr>
      <w:r>
        <w:rPr>
          <w:rFonts w:hint="eastAsia" w:ascii="Times New Roman" w:hAnsi="Times New Roman" w:eastAsia="楷体_GB2312" w:cs="Times New Roman"/>
          <w:b/>
          <w:bCs/>
          <w:sz w:val="20"/>
          <w:szCs w:val="20"/>
          <w:highlight w:val="none"/>
        </w:rPr>
        <w:t>一、适用范围</w:t>
      </w:r>
    </w:p>
    <w:p w14:paraId="3083C71D">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甲方在认购</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申购乙方发行的理财产品之前应签署本协议。本协议生效后，甲方认购</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申购乙方发行的理财产品的，均适用本协议。</w:t>
      </w:r>
    </w:p>
    <w:p w14:paraId="4EDAF4D1">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本协议为规范甲乙双方在理财业务中权利与义务的法律文件，与甲方认购</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申购乙方多</w:t>
      </w:r>
      <w:r>
        <w:rPr>
          <w:rFonts w:hint="eastAsia" w:ascii="Times New Roman" w:hAnsi="Times New Roman" w:eastAsia="楷体_GB2312" w:cs="Times New Roman"/>
          <w:sz w:val="20"/>
          <w:szCs w:val="20"/>
          <w:highlight w:val="none"/>
          <w:lang w:val="en-US" w:eastAsia="zh-CN"/>
        </w:rPr>
        <w:t>只</w:t>
      </w:r>
      <w:r>
        <w:rPr>
          <w:rFonts w:hint="eastAsia" w:ascii="Times New Roman" w:hAnsi="Times New Roman" w:eastAsia="楷体_GB2312" w:cs="Times New Roman"/>
          <w:sz w:val="20"/>
          <w:szCs w:val="20"/>
          <w:highlight w:val="none"/>
        </w:rPr>
        <w:t>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本协议不作为甲方认购</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申购或持有理财产品的凭证。</w:t>
      </w:r>
    </w:p>
    <w:p w14:paraId="00AD07E1">
      <w:pPr>
        <w:spacing w:line="300" w:lineRule="exact"/>
        <w:rPr>
          <w:rFonts w:ascii="Times New Roman" w:hAnsi="Times New Roman" w:eastAsia="楷体_GB2312" w:cs="Times New Roman"/>
          <w:sz w:val="20"/>
          <w:szCs w:val="20"/>
          <w:highlight w:val="none"/>
        </w:rPr>
      </w:pPr>
    </w:p>
    <w:p w14:paraId="34433425">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二、风险提示</w:t>
      </w:r>
    </w:p>
    <w:p w14:paraId="3786D10E">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本产品为</w:t>
      </w:r>
      <w:r>
        <w:rPr>
          <w:rFonts w:ascii="Times New Roman" w:hAnsi="Times New Roman" w:eastAsia="楷体_GB2312" w:cs="Times New Roman"/>
          <w:b/>
          <w:bCs/>
          <w:sz w:val="20"/>
          <w:szCs w:val="20"/>
          <w:highlight w:val="none"/>
        </w:rPr>
        <w:t>【</w:t>
      </w:r>
      <w:r>
        <w:rPr>
          <w:rFonts w:hint="eastAsia" w:ascii="Times New Roman" w:hAnsi="Times New Roman" w:eastAsia="楷体_GB2312" w:cs="Times New Roman"/>
          <w:b/>
          <w:bCs/>
          <w:sz w:val="20"/>
          <w:szCs w:val="20"/>
          <w:highlight w:val="none"/>
        </w:rPr>
        <w:t>固定收益类</w:t>
      </w:r>
      <w:r>
        <w:rPr>
          <w:rFonts w:ascii="Times New Roman" w:hAnsi="Times New Roman" w:eastAsia="楷体_GB2312" w:cs="Times New Roman"/>
          <w:b/>
          <w:bCs/>
          <w:sz w:val="20"/>
          <w:szCs w:val="20"/>
          <w:highlight w:val="none"/>
        </w:rPr>
        <w:t>】</w:t>
      </w:r>
      <w:r>
        <w:rPr>
          <w:rFonts w:hint="eastAsia" w:ascii="Times New Roman" w:hAnsi="Times New Roman" w:eastAsia="楷体_GB2312" w:cs="Times New Roman"/>
          <w:b/>
          <w:bCs/>
          <w:sz w:val="20"/>
          <w:szCs w:val="20"/>
          <w:highlight w:val="none"/>
        </w:rPr>
        <w:t>产品</w:t>
      </w:r>
      <w:r>
        <w:rPr>
          <w:rFonts w:ascii="Times New Roman" w:hAnsi="Times New Roman" w:eastAsia="楷体_GB2312" w:cs="Times New Roman"/>
          <w:b/>
          <w:bCs/>
          <w:sz w:val="20"/>
          <w:szCs w:val="20"/>
          <w:highlight w:val="none"/>
        </w:rPr>
        <w:t>，</w:t>
      </w:r>
      <w:r>
        <w:rPr>
          <w:rFonts w:hint="eastAsia" w:ascii="Times New Roman" w:hAnsi="Times New Roman" w:eastAsia="楷体_GB2312" w:cs="Times New Roman"/>
          <w:b/>
          <w:bCs/>
          <w:sz w:val="20"/>
          <w:szCs w:val="20"/>
          <w:highlight w:val="none"/>
        </w:rPr>
        <w:t>具体投资对象</w:t>
      </w:r>
      <w:r>
        <w:rPr>
          <w:rFonts w:ascii="Times New Roman" w:hAnsi="Times New Roman" w:eastAsia="楷体_GB2312" w:cs="Times New Roman"/>
          <w:b/>
          <w:bCs/>
          <w:sz w:val="20"/>
          <w:szCs w:val="20"/>
          <w:highlight w:val="none"/>
        </w:rPr>
        <w:t>投资比例如下：</w:t>
      </w:r>
    </w:p>
    <w:tbl>
      <w:tblPr>
        <w:tblStyle w:val="9"/>
        <w:tblW w:w="3778" w:type="pct"/>
        <w:tblInd w:w="7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53"/>
        <w:gridCol w:w="2191"/>
      </w:tblGrid>
      <w:tr w14:paraId="27F6A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0" w:type="pct"/>
            <w:vAlign w:val="center"/>
          </w:tcPr>
          <w:p w14:paraId="1FBCB2A0">
            <w:pPr>
              <w:ind w:right="29" w:rightChars="12"/>
              <w:jc w:val="center"/>
              <w:rPr>
                <w:rFonts w:ascii="楷体" w:hAnsi="楷体" w:eastAsia="楷体"/>
                <w:b/>
                <w:bCs/>
                <w:color w:val="000000"/>
                <w:sz w:val="20"/>
                <w:szCs w:val="20"/>
                <w:highlight w:val="none"/>
              </w:rPr>
            </w:pPr>
            <w:r>
              <w:rPr>
                <w:rFonts w:hint="eastAsia" w:ascii="楷体" w:hAnsi="楷体" w:eastAsia="楷体"/>
                <w:b/>
                <w:bCs/>
                <w:color w:val="000000"/>
                <w:sz w:val="20"/>
                <w:szCs w:val="20"/>
                <w:highlight w:val="none"/>
              </w:rPr>
              <w:t>资产种类</w:t>
            </w:r>
          </w:p>
        </w:tc>
        <w:tc>
          <w:tcPr>
            <w:tcW w:w="1699" w:type="pct"/>
            <w:vAlign w:val="center"/>
          </w:tcPr>
          <w:p w14:paraId="6AB5185B">
            <w:pPr>
              <w:ind w:right="29" w:rightChars="12"/>
              <w:jc w:val="center"/>
              <w:rPr>
                <w:rFonts w:ascii="楷体" w:hAnsi="楷体" w:eastAsia="楷体"/>
                <w:b/>
                <w:bCs/>
                <w:color w:val="000000"/>
                <w:sz w:val="20"/>
                <w:szCs w:val="20"/>
                <w:highlight w:val="none"/>
              </w:rPr>
            </w:pPr>
            <w:r>
              <w:rPr>
                <w:rFonts w:hint="eastAsia" w:ascii="楷体" w:hAnsi="楷体" w:eastAsia="楷体"/>
                <w:b/>
                <w:bCs/>
                <w:color w:val="000000"/>
                <w:sz w:val="20"/>
                <w:szCs w:val="20"/>
                <w:highlight w:val="none"/>
              </w:rPr>
              <w:t>投资比例</w:t>
            </w:r>
          </w:p>
        </w:tc>
      </w:tr>
      <w:tr w14:paraId="554C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0" w:type="pct"/>
            <w:vAlign w:val="center"/>
          </w:tcPr>
          <w:p w14:paraId="262E33C8">
            <w:pPr>
              <w:ind w:right="29" w:rightChars="12"/>
              <w:jc w:val="center"/>
              <w:rPr>
                <w:rFonts w:ascii="楷体" w:hAnsi="楷体" w:eastAsia="楷体"/>
                <w:color w:val="000000"/>
                <w:sz w:val="20"/>
                <w:szCs w:val="20"/>
                <w:highlight w:val="none"/>
              </w:rPr>
            </w:pPr>
            <w:r>
              <w:rPr>
                <w:rFonts w:hint="eastAsia" w:ascii="楷体" w:hAnsi="楷体" w:eastAsia="楷体"/>
                <w:color w:val="000000"/>
                <w:sz w:val="20"/>
                <w:szCs w:val="20"/>
                <w:highlight w:val="none"/>
              </w:rPr>
              <w:t>债权类资产</w:t>
            </w:r>
          </w:p>
        </w:tc>
        <w:tc>
          <w:tcPr>
            <w:tcW w:w="1699" w:type="pct"/>
            <w:vAlign w:val="center"/>
          </w:tcPr>
          <w:p w14:paraId="78317B48">
            <w:pPr>
              <w:ind w:right="29" w:rightChars="12"/>
              <w:jc w:val="center"/>
              <w:rPr>
                <w:rFonts w:ascii="楷体" w:hAnsi="楷体" w:eastAsia="楷体"/>
                <w:color w:val="000000"/>
                <w:sz w:val="20"/>
                <w:szCs w:val="20"/>
                <w:highlight w:val="none"/>
              </w:rPr>
            </w:pPr>
            <w:r>
              <w:rPr>
                <w:rFonts w:hint="eastAsia" w:ascii="楷体" w:hAnsi="楷体" w:eastAsia="楷体"/>
                <w:sz w:val="20"/>
                <w:szCs w:val="20"/>
                <w:highlight w:val="none"/>
              </w:rPr>
              <w:t>【80%-100%】</w:t>
            </w:r>
          </w:p>
        </w:tc>
      </w:tr>
      <w:tr w14:paraId="247B2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0" w:type="pct"/>
            <w:vAlign w:val="center"/>
          </w:tcPr>
          <w:p w14:paraId="2F42DB17">
            <w:pPr>
              <w:ind w:right="29" w:rightChars="12"/>
              <w:jc w:val="center"/>
              <w:rPr>
                <w:rFonts w:ascii="楷体" w:hAnsi="楷体" w:eastAsia="楷体"/>
                <w:color w:val="000000"/>
                <w:sz w:val="20"/>
                <w:szCs w:val="20"/>
                <w:highlight w:val="none"/>
              </w:rPr>
            </w:pPr>
            <w:r>
              <w:rPr>
                <w:rFonts w:hint="eastAsia" w:ascii="楷体" w:hAnsi="楷体" w:eastAsia="楷体"/>
                <w:color w:val="000000"/>
                <w:sz w:val="20"/>
                <w:szCs w:val="20"/>
                <w:highlight w:val="none"/>
              </w:rPr>
              <w:t>其中</w:t>
            </w:r>
            <w:r>
              <w:rPr>
                <w:rFonts w:ascii="楷体" w:hAnsi="楷体" w:eastAsia="楷体"/>
                <w:color w:val="000000"/>
                <w:sz w:val="20"/>
                <w:szCs w:val="20"/>
                <w:highlight w:val="none"/>
              </w:rPr>
              <w:t>，非标准化债权类资产</w:t>
            </w:r>
          </w:p>
        </w:tc>
        <w:tc>
          <w:tcPr>
            <w:tcW w:w="1699" w:type="pct"/>
            <w:vAlign w:val="center"/>
          </w:tcPr>
          <w:p w14:paraId="6AD097A7">
            <w:pPr>
              <w:ind w:right="29" w:rightChars="12"/>
              <w:jc w:val="center"/>
              <w:rPr>
                <w:rFonts w:ascii="楷体" w:hAnsi="楷体" w:eastAsia="楷体"/>
                <w:color w:val="000000"/>
                <w:sz w:val="20"/>
                <w:szCs w:val="20"/>
                <w:highlight w:val="none"/>
              </w:rPr>
            </w:pPr>
            <w:r>
              <w:rPr>
                <w:rFonts w:hint="eastAsia" w:ascii="楷体" w:hAnsi="楷体" w:eastAsia="楷体"/>
                <w:sz w:val="20"/>
                <w:szCs w:val="20"/>
                <w:highlight w:val="none"/>
              </w:rPr>
              <w:t>【0%-49%</w:t>
            </w:r>
            <w:r>
              <w:rPr>
                <w:rFonts w:ascii="楷体" w:hAnsi="楷体" w:eastAsia="楷体"/>
                <w:sz w:val="20"/>
                <w:szCs w:val="20"/>
                <w:highlight w:val="none"/>
              </w:rPr>
              <w:t>】</w:t>
            </w:r>
          </w:p>
        </w:tc>
      </w:tr>
      <w:tr w14:paraId="2EBA9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0" w:type="pct"/>
            <w:vAlign w:val="center"/>
          </w:tcPr>
          <w:p w14:paraId="5F654DE4">
            <w:pPr>
              <w:ind w:right="29" w:rightChars="12"/>
              <w:jc w:val="center"/>
              <w:rPr>
                <w:rFonts w:ascii="楷体" w:hAnsi="楷体" w:eastAsia="楷体"/>
                <w:color w:val="000000"/>
                <w:sz w:val="20"/>
                <w:szCs w:val="20"/>
                <w:highlight w:val="none"/>
              </w:rPr>
            </w:pPr>
            <w:r>
              <w:rPr>
                <w:rFonts w:hint="eastAsia" w:ascii="楷体" w:hAnsi="楷体" w:eastAsia="楷体"/>
                <w:color w:val="000000"/>
                <w:sz w:val="20"/>
                <w:szCs w:val="20"/>
                <w:highlight w:val="none"/>
              </w:rPr>
              <w:t>权益类资产</w:t>
            </w:r>
          </w:p>
        </w:tc>
        <w:tc>
          <w:tcPr>
            <w:tcW w:w="1699" w:type="pct"/>
            <w:vAlign w:val="center"/>
          </w:tcPr>
          <w:p w14:paraId="586ECE09">
            <w:pPr>
              <w:ind w:right="29" w:rightChars="12"/>
              <w:jc w:val="center"/>
              <w:rPr>
                <w:rFonts w:ascii="楷体" w:hAnsi="楷体" w:eastAsia="楷体"/>
                <w:color w:val="000000"/>
                <w:sz w:val="20"/>
                <w:szCs w:val="20"/>
                <w:highlight w:val="none"/>
              </w:rPr>
            </w:pPr>
            <w:r>
              <w:rPr>
                <w:rFonts w:hint="eastAsia" w:ascii="楷体" w:hAnsi="楷体" w:eastAsia="楷体"/>
                <w:sz w:val="20"/>
                <w:szCs w:val="20"/>
                <w:highlight w:val="none"/>
              </w:rPr>
              <w:t>【0%】</w:t>
            </w:r>
          </w:p>
        </w:tc>
      </w:tr>
      <w:tr w14:paraId="70367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00" w:type="pct"/>
            <w:vAlign w:val="center"/>
          </w:tcPr>
          <w:p w14:paraId="3C2B6D1B">
            <w:pPr>
              <w:ind w:right="29" w:rightChars="12"/>
              <w:jc w:val="center"/>
              <w:rPr>
                <w:rFonts w:ascii="楷体" w:hAnsi="楷体" w:eastAsia="楷体"/>
                <w:color w:val="000000"/>
                <w:sz w:val="20"/>
                <w:szCs w:val="20"/>
                <w:highlight w:val="none"/>
              </w:rPr>
            </w:pPr>
            <w:r>
              <w:rPr>
                <w:rFonts w:hint="eastAsia" w:ascii="楷体" w:hAnsi="楷体" w:eastAsia="楷体"/>
                <w:color w:val="000000"/>
                <w:sz w:val="20"/>
                <w:szCs w:val="20"/>
                <w:highlight w:val="none"/>
              </w:rPr>
              <w:t>商品</w:t>
            </w:r>
            <w:r>
              <w:rPr>
                <w:rFonts w:ascii="楷体" w:hAnsi="楷体" w:eastAsia="楷体"/>
                <w:color w:val="000000"/>
                <w:sz w:val="20"/>
                <w:szCs w:val="20"/>
                <w:highlight w:val="none"/>
              </w:rPr>
              <w:t>及</w:t>
            </w:r>
            <w:r>
              <w:rPr>
                <w:rFonts w:hint="eastAsia" w:ascii="楷体" w:hAnsi="楷体" w:eastAsia="楷体"/>
                <w:color w:val="000000"/>
                <w:sz w:val="20"/>
                <w:szCs w:val="20"/>
                <w:highlight w:val="none"/>
              </w:rPr>
              <w:t>金融</w:t>
            </w:r>
            <w:r>
              <w:rPr>
                <w:rFonts w:ascii="楷体" w:hAnsi="楷体" w:eastAsia="楷体"/>
                <w:color w:val="000000"/>
                <w:sz w:val="20"/>
                <w:szCs w:val="20"/>
                <w:highlight w:val="none"/>
              </w:rPr>
              <w:t>衍生品类</w:t>
            </w:r>
            <w:r>
              <w:rPr>
                <w:rFonts w:hint="eastAsia" w:ascii="楷体" w:hAnsi="楷体" w:eastAsia="楷体"/>
                <w:color w:val="000000"/>
                <w:sz w:val="20"/>
                <w:szCs w:val="20"/>
                <w:highlight w:val="none"/>
              </w:rPr>
              <w:t>资产：持仓合约价值</w:t>
            </w:r>
          </w:p>
        </w:tc>
        <w:tc>
          <w:tcPr>
            <w:tcW w:w="1699" w:type="pct"/>
            <w:vAlign w:val="center"/>
          </w:tcPr>
          <w:p w14:paraId="6180547C">
            <w:pPr>
              <w:ind w:right="29" w:rightChars="12"/>
              <w:jc w:val="center"/>
              <w:rPr>
                <w:rFonts w:ascii="楷体" w:hAnsi="楷体" w:eastAsia="楷体"/>
                <w:color w:val="000000"/>
                <w:sz w:val="20"/>
                <w:szCs w:val="20"/>
                <w:highlight w:val="none"/>
              </w:rPr>
            </w:pPr>
            <w:r>
              <w:rPr>
                <w:rFonts w:hint="eastAsia" w:ascii="楷体" w:hAnsi="楷体" w:eastAsia="楷体"/>
                <w:sz w:val="20"/>
                <w:szCs w:val="20"/>
                <w:highlight w:val="none"/>
              </w:rPr>
              <w:t>【0%-20%】</w:t>
            </w:r>
          </w:p>
        </w:tc>
      </w:tr>
      <w:tr w14:paraId="06005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300" w:type="pct"/>
            <w:vAlign w:val="center"/>
          </w:tcPr>
          <w:p w14:paraId="173B0FB7">
            <w:pPr>
              <w:ind w:right="29" w:rightChars="12"/>
              <w:jc w:val="center"/>
              <w:rPr>
                <w:rFonts w:ascii="楷体" w:hAnsi="楷体" w:eastAsia="楷体"/>
                <w:color w:val="000000"/>
                <w:sz w:val="20"/>
                <w:szCs w:val="20"/>
                <w:highlight w:val="none"/>
              </w:rPr>
            </w:pPr>
            <w:r>
              <w:rPr>
                <w:rFonts w:hint="eastAsia" w:ascii="楷体" w:hAnsi="楷体" w:eastAsia="楷体"/>
                <w:color w:val="000000"/>
                <w:sz w:val="20"/>
                <w:szCs w:val="20"/>
                <w:highlight w:val="none"/>
              </w:rPr>
              <w:t>商品</w:t>
            </w:r>
            <w:r>
              <w:rPr>
                <w:rFonts w:ascii="楷体" w:hAnsi="楷体" w:eastAsia="楷体"/>
                <w:color w:val="000000"/>
                <w:sz w:val="20"/>
                <w:szCs w:val="20"/>
                <w:highlight w:val="none"/>
              </w:rPr>
              <w:t>及</w:t>
            </w:r>
            <w:r>
              <w:rPr>
                <w:rFonts w:hint="eastAsia" w:ascii="楷体" w:hAnsi="楷体" w:eastAsia="楷体"/>
                <w:color w:val="000000"/>
                <w:sz w:val="20"/>
                <w:szCs w:val="20"/>
                <w:highlight w:val="none"/>
              </w:rPr>
              <w:t>金融</w:t>
            </w:r>
            <w:r>
              <w:rPr>
                <w:rFonts w:ascii="楷体" w:hAnsi="楷体" w:eastAsia="楷体"/>
                <w:color w:val="000000"/>
                <w:sz w:val="20"/>
                <w:szCs w:val="20"/>
                <w:highlight w:val="none"/>
              </w:rPr>
              <w:t>衍生品类</w:t>
            </w:r>
            <w:r>
              <w:rPr>
                <w:rFonts w:hint="eastAsia" w:ascii="楷体" w:hAnsi="楷体" w:eastAsia="楷体"/>
                <w:color w:val="000000"/>
                <w:sz w:val="20"/>
                <w:szCs w:val="20"/>
                <w:highlight w:val="none"/>
              </w:rPr>
              <w:t>资产：衍生品账户权益</w:t>
            </w:r>
          </w:p>
        </w:tc>
        <w:tc>
          <w:tcPr>
            <w:tcW w:w="1699" w:type="pct"/>
            <w:vAlign w:val="center"/>
          </w:tcPr>
          <w:p w14:paraId="6802913A">
            <w:pPr>
              <w:ind w:right="29" w:rightChars="12"/>
              <w:jc w:val="center"/>
              <w:rPr>
                <w:rFonts w:ascii="楷体" w:hAnsi="楷体" w:eastAsia="楷体"/>
                <w:color w:val="000000"/>
                <w:sz w:val="20"/>
                <w:szCs w:val="20"/>
                <w:highlight w:val="none"/>
              </w:rPr>
            </w:pPr>
            <w:r>
              <w:rPr>
                <w:rFonts w:hint="eastAsia" w:ascii="楷体" w:hAnsi="楷体" w:eastAsia="楷体"/>
                <w:sz w:val="20"/>
                <w:szCs w:val="20"/>
                <w:highlight w:val="none"/>
              </w:rPr>
              <w:t>【0%-20%】</w:t>
            </w:r>
          </w:p>
        </w:tc>
      </w:tr>
    </w:tbl>
    <w:p w14:paraId="12BA1F36">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投资者投资本产品可能面临的特定风险主要包括（但不限于）</w:t>
      </w:r>
    </w:p>
    <w:p w14:paraId="5C815FBB">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（1）投资债权类资产的风险</w:t>
      </w:r>
    </w:p>
    <w:p w14:paraId="4F1920C9">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1）投资标准化债权类资产的风险</w:t>
      </w:r>
    </w:p>
    <w:p w14:paraId="0907430D">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hAnsi="Times New Roman" w:eastAsia="楷体_GB2312" w:cs="Times New Roman"/>
          <w:b/>
          <w:bCs/>
          <w:sz w:val="20"/>
          <w:szCs w:val="20"/>
          <w:highlight w:val="none"/>
        </w:rPr>
      </w:pPr>
      <w:r>
        <w:rPr>
          <w:rFonts w:ascii="Times New Roman" w:hAnsi="Times New Roman" w:eastAsia="楷体_GB2312" w:cs="Times New Roman"/>
          <w:b/>
          <w:bCs/>
          <w:sz w:val="20"/>
          <w:szCs w:val="20"/>
          <w:highlight w:val="none"/>
        </w:rPr>
        <w:t>2</w:t>
      </w:r>
      <w:r>
        <w:rPr>
          <w:rFonts w:hint="eastAsia" w:ascii="Times New Roman" w:hAnsi="Times New Roman" w:eastAsia="楷体_GB2312" w:cs="Times New Roman"/>
          <w:b/>
          <w:bCs/>
          <w:sz w:val="20"/>
          <w:szCs w:val="20"/>
          <w:highlight w:val="none"/>
        </w:rPr>
        <w:t>）投资非标准化债权类资产的风险</w:t>
      </w:r>
    </w:p>
    <w:p w14:paraId="407FB6C8">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w:t>
      </w:r>
      <w:r>
        <w:rPr>
          <w:rFonts w:ascii="Times New Roman" w:hAnsi="Times New Roman" w:eastAsia="楷体_GB2312" w:cs="Times New Roman"/>
          <w:b/>
          <w:bCs/>
          <w:sz w:val="20"/>
          <w:szCs w:val="20"/>
          <w:highlight w:val="none"/>
        </w:rPr>
        <w:t>2</w:t>
      </w:r>
      <w:r>
        <w:rPr>
          <w:rFonts w:hint="eastAsia" w:ascii="Times New Roman" w:hAnsi="Times New Roman" w:eastAsia="楷体_GB2312" w:cs="Times New Roman"/>
          <w:b/>
          <w:bCs/>
          <w:sz w:val="20"/>
          <w:szCs w:val="20"/>
          <w:highlight w:val="none"/>
        </w:rPr>
        <w:t>）投资权益类资产的风险</w:t>
      </w:r>
    </w:p>
    <w:p w14:paraId="7DED56E1">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1）投资普通股票可能面临的风险</w:t>
      </w:r>
    </w:p>
    <w:p w14:paraId="080C1D6F">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2）投资优先股可能面临的风险</w:t>
      </w:r>
    </w:p>
    <w:p w14:paraId="08F8364A">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w:t>
      </w:r>
      <w:r>
        <w:rPr>
          <w:rFonts w:ascii="Times New Roman" w:hAnsi="Times New Roman" w:eastAsia="楷体_GB2312" w:cs="Times New Roman"/>
          <w:b/>
          <w:bCs/>
          <w:sz w:val="20"/>
          <w:szCs w:val="20"/>
          <w:highlight w:val="none"/>
        </w:rPr>
        <w:t>3</w:t>
      </w:r>
      <w:r>
        <w:rPr>
          <w:rFonts w:hint="eastAsia" w:ascii="Times New Roman" w:hAnsi="Times New Roman" w:eastAsia="楷体_GB2312" w:cs="Times New Roman"/>
          <w:b/>
          <w:bCs/>
          <w:sz w:val="20"/>
          <w:szCs w:val="20"/>
          <w:highlight w:val="none"/>
        </w:rPr>
        <w:t>）投资商品及金融衍生品类资产的风险</w:t>
      </w:r>
    </w:p>
    <w:p w14:paraId="71AD6517">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hAnsi="Times New Roman" w:eastAsia="楷体_GB2312" w:cs="Times New Roman"/>
          <w:b/>
          <w:bCs/>
          <w:sz w:val="20"/>
          <w:szCs w:val="20"/>
          <w:highlight w:val="none"/>
        </w:rPr>
      </w:pPr>
    </w:p>
    <w:p w14:paraId="0C298D9E">
      <w:pPr>
        <w:spacing w:line="300" w:lineRule="exact"/>
        <w:ind w:firstLine="480"/>
        <w:rPr>
          <w:rFonts w:ascii="Times New Roman" w:hAnsi="Times New Roman" w:eastAsia="楷体_GB2312" w:cs="Times New Roman"/>
          <w:b/>
          <w:bCs/>
          <w:i/>
          <w:szCs w:val="20"/>
          <w:highlight w:val="none"/>
          <w:u w:val="single"/>
        </w:rPr>
      </w:pPr>
      <w:r>
        <w:rPr>
          <w:rFonts w:hint="eastAsia" w:ascii="Times New Roman" w:hAnsi="Times New Roman" w:eastAsia="楷体_GB2312" w:cs="Times New Roman"/>
          <w:b/>
          <w:bCs/>
          <w:i/>
          <w:szCs w:val="20"/>
          <w:highlight w:val="none"/>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hAnsi="Times New Roman" w:eastAsia="楷体_GB2312" w:cs="Times New Roman"/>
          <w:b/>
          <w:bCs/>
          <w:sz w:val="20"/>
          <w:szCs w:val="20"/>
          <w:highlight w:val="none"/>
        </w:rPr>
      </w:pPr>
    </w:p>
    <w:p w14:paraId="3B31B268">
      <w:pPr>
        <w:spacing w:line="300" w:lineRule="exact"/>
        <w:ind w:firstLine="482"/>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理财非存款、产品有风险、投资须谨慎，理财产品过往业绩不代表其未来表现，不等于理财产品实际收益。投资者投资理财产品的，请关注产品各类</w:t>
      </w:r>
      <w:r>
        <w:rPr>
          <w:rFonts w:ascii="Times New Roman" w:hAnsi="Times New Roman" w:eastAsia="楷体_GB2312" w:cs="Times New Roman"/>
          <w:b/>
          <w:bCs/>
          <w:sz w:val="20"/>
          <w:szCs w:val="20"/>
          <w:highlight w:val="none"/>
        </w:rPr>
        <w:t>投资对象</w:t>
      </w:r>
      <w:r>
        <w:rPr>
          <w:rFonts w:hint="eastAsia" w:ascii="Times New Roman" w:hAnsi="Times New Roman" w:eastAsia="楷体_GB2312" w:cs="Times New Roman"/>
          <w:b/>
          <w:bCs/>
          <w:sz w:val="20"/>
          <w:szCs w:val="20"/>
          <w:highlight w:val="none"/>
        </w:rPr>
        <w:t>的</w:t>
      </w:r>
      <w:r>
        <w:rPr>
          <w:rFonts w:ascii="Times New Roman" w:hAnsi="Times New Roman" w:eastAsia="楷体_GB2312" w:cs="Times New Roman"/>
          <w:b/>
          <w:bCs/>
          <w:sz w:val="20"/>
          <w:szCs w:val="20"/>
          <w:highlight w:val="none"/>
        </w:rPr>
        <w:t>投资比例及相应</w:t>
      </w:r>
      <w:r>
        <w:rPr>
          <w:rFonts w:hint="eastAsia" w:ascii="Times New Roman" w:hAnsi="Times New Roman" w:eastAsia="楷体_GB2312" w:cs="Times New Roman"/>
          <w:b/>
          <w:bCs/>
          <w:sz w:val="20"/>
          <w:szCs w:val="20"/>
          <w:highlight w:val="none"/>
        </w:rPr>
        <w:t>投资</w:t>
      </w:r>
      <w:r>
        <w:rPr>
          <w:rFonts w:ascii="Times New Roman" w:hAnsi="Times New Roman" w:eastAsia="楷体_GB2312" w:cs="Times New Roman"/>
          <w:b/>
          <w:bCs/>
          <w:sz w:val="20"/>
          <w:szCs w:val="20"/>
          <w:highlight w:val="none"/>
        </w:rPr>
        <w:t>风险</w:t>
      </w:r>
      <w:r>
        <w:rPr>
          <w:rFonts w:hint="eastAsia" w:ascii="Times New Roman" w:hAnsi="Times New Roman" w:eastAsia="楷体_GB2312" w:cs="Times New Roman"/>
          <w:b/>
          <w:bCs/>
          <w:sz w:val="20"/>
          <w:szCs w:val="20"/>
          <w:highlight w:val="none"/>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highlight w:val="none"/>
        </w:rPr>
        <w:t>/</w:t>
      </w:r>
      <w:r>
        <w:rPr>
          <w:rFonts w:hint="eastAsia" w:ascii="Times New Roman" w:hAnsi="Times New Roman" w:eastAsia="楷体_GB2312" w:cs="Times New Roman"/>
          <w:b/>
          <w:bCs/>
          <w:sz w:val="20"/>
          <w:szCs w:val="20"/>
          <w:highlight w:val="none"/>
        </w:rPr>
        <w:t>申购的理财产品的《信银理财理财产品产品说明书》和《信银理财理财产品风险揭示书》中的相应条款。</w:t>
      </w:r>
    </w:p>
    <w:p w14:paraId="26F1CF61">
      <w:pPr>
        <w:spacing w:line="300" w:lineRule="exact"/>
        <w:ind w:firstLine="482"/>
        <w:rPr>
          <w:rFonts w:ascii="Times New Roman" w:hAnsi="Times New Roman" w:eastAsia="楷体_GB2312" w:cs="Times New Roman"/>
          <w:b/>
          <w:bCs/>
          <w:sz w:val="20"/>
          <w:szCs w:val="20"/>
          <w:highlight w:val="none"/>
        </w:rPr>
      </w:pPr>
    </w:p>
    <w:p w14:paraId="71C5DAF9">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三、投资条款</w:t>
      </w:r>
    </w:p>
    <w:p w14:paraId="3B4EE99C">
      <w:pPr>
        <w:spacing w:line="300" w:lineRule="exact"/>
        <w:ind w:firstLine="482"/>
        <w:rPr>
          <w:rFonts w:ascii="Times New Roman" w:hAnsi="Times New Roman" w:eastAsia="楷体_GB2312" w:cs="Times New Roman"/>
          <w:bCs/>
          <w:sz w:val="20"/>
          <w:szCs w:val="20"/>
          <w:highlight w:val="none"/>
        </w:rPr>
      </w:pPr>
      <w:r>
        <w:rPr>
          <w:rFonts w:hint="eastAsia" w:ascii="Times New Roman" w:hAnsi="Times New Roman" w:eastAsia="楷体_GB2312" w:cs="Times New Roman"/>
          <w:bCs/>
          <w:sz w:val="20"/>
          <w:szCs w:val="20"/>
          <w:highlight w:val="none"/>
        </w:rPr>
        <w:t>甲方认购</w:t>
      </w:r>
      <w:r>
        <w:rPr>
          <w:rFonts w:ascii="Times New Roman" w:hAnsi="Times New Roman" w:eastAsia="楷体_GB2312" w:cs="Times New Roman"/>
          <w:bCs/>
          <w:sz w:val="20"/>
          <w:szCs w:val="20"/>
          <w:highlight w:val="none"/>
        </w:rPr>
        <w:t>/</w:t>
      </w:r>
      <w:r>
        <w:rPr>
          <w:rFonts w:hint="eastAsia" w:ascii="Times New Roman" w:hAnsi="Times New Roman" w:eastAsia="楷体_GB2312" w:cs="Times New Roman"/>
          <w:bCs/>
          <w:sz w:val="20"/>
          <w:szCs w:val="20"/>
          <w:highlight w:val="none"/>
        </w:rPr>
        <w:t>申购理财产品的具体认购</w:t>
      </w:r>
      <w:r>
        <w:rPr>
          <w:rFonts w:ascii="Times New Roman" w:hAnsi="Times New Roman" w:eastAsia="楷体_GB2312" w:cs="Times New Roman"/>
          <w:bCs/>
          <w:sz w:val="20"/>
          <w:szCs w:val="20"/>
          <w:highlight w:val="none"/>
        </w:rPr>
        <w:t>/</w:t>
      </w:r>
      <w:r>
        <w:rPr>
          <w:rFonts w:hint="eastAsia" w:ascii="Times New Roman" w:hAnsi="Times New Roman" w:eastAsia="楷体_GB2312" w:cs="Times New Roman"/>
          <w:bCs/>
          <w:sz w:val="20"/>
          <w:szCs w:val="20"/>
          <w:highlight w:val="none"/>
        </w:rPr>
        <w:t>申购条件、流程、金额、份额、费用以及其他投资条款，由甲方实际认购</w:t>
      </w:r>
      <w:r>
        <w:rPr>
          <w:rFonts w:ascii="Times New Roman" w:hAnsi="Times New Roman" w:eastAsia="楷体_GB2312" w:cs="Times New Roman"/>
          <w:bCs/>
          <w:sz w:val="20"/>
          <w:szCs w:val="20"/>
          <w:highlight w:val="none"/>
        </w:rPr>
        <w:t>/</w:t>
      </w:r>
      <w:r>
        <w:rPr>
          <w:rFonts w:hint="eastAsia" w:ascii="Times New Roman" w:hAnsi="Times New Roman" w:eastAsia="楷体_GB2312" w:cs="Times New Roman"/>
          <w:bCs/>
          <w:sz w:val="20"/>
          <w:szCs w:val="20"/>
          <w:highlight w:val="none"/>
        </w:rPr>
        <w:t>申购的理财产品的《信银理财理财产品产品说明书》具体约定。</w:t>
      </w:r>
    </w:p>
    <w:p w14:paraId="35EA177C">
      <w:pPr>
        <w:spacing w:line="300" w:lineRule="exact"/>
        <w:ind w:firstLine="482"/>
        <w:rPr>
          <w:rFonts w:ascii="Times New Roman" w:hAnsi="Times New Roman" w:eastAsia="楷体_GB2312" w:cs="Times New Roman"/>
          <w:bCs/>
          <w:sz w:val="20"/>
          <w:szCs w:val="20"/>
          <w:highlight w:val="none"/>
        </w:rPr>
      </w:pPr>
    </w:p>
    <w:p w14:paraId="06E12BFF">
      <w:pPr>
        <w:spacing w:line="300" w:lineRule="exact"/>
        <w:ind w:firstLine="480"/>
        <w:rPr>
          <w:rFonts w:ascii="Times New Roman" w:hAnsi="Times New Roman" w:eastAsia="楷体_GB2312" w:cs="Times New Roman"/>
          <w:sz w:val="20"/>
          <w:szCs w:val="20"/>
          <w:highlight w:val="none"/>
        </w:rPr>
      </w:pPr>
      <w:r>
        <w:rPr>
          <w:rFonts w:hint="eastAsia" w:ascii="Times New Roman" w:hAnsi="Times New Roman" w:eastAsia="楷体_GB2312" w:cs="Times New Roman"/>
          <w:b/>
          <w:bCs/>
          <w:sz w:val="20"/>
          <w:szCs w:val="20"/>
          <w:highlight w:val="none"/>
        </w:rPr>
        <w:t>四、甲方的权利与义务</w:t>
      </w:r>
    </w:p>
    <w:p w14:paraId="435D2F90">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（二）甲方保证以真实身份投资本理财产品，保证提供给产品管理人</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代销机构的信息和资料均真实、准确、完整、合法。如甲方的信息和</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或资料发生变更，应当及时书面告知产品管理人或代销机构；</w:t>
      </w:r>
    </w:p>
    <w:p w14:paraId="19579FD4">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（三）甲方声明熟悉理财产品类型特征及不同销售渠道的法律法规规定；</w:t>
      </w:r>
    </w:p>
    <w:p w14:paraId="2F989945">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（四）甲方承诺：如委托他人购买本产品，代理人须出具具有法律效力的授权委托书；</w:t>
      </w:r>
    </w:p>
    <w:p w14:paraId="52EE48D1">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（五）甲方保证理财投资资金来源和用途合法，保证可向产品管理人</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代销机构提供合法筹集的证明文件；</w:t>
      </w:r>
    </w:p>
    <w:p w14:paraId="0AFEFD6D">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（六）甲方不得利用理财业务及理财产品销售文件项下理财产品从事违法活动；</w:t>
      </w:r>
    </w:p>
    <w:p w14:paraId="36BF6B79">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代销机构开展投资者身份识别、交易记录保存、投资者身份及交易背景尽职调查、大额和可疑交易报告等各项反洗钱工作，并按要求提供相关证明材料；</w:t>
      </w:r>
    </w:p>
    <w:p w14:paraId="15C81B46">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（八）甲方不属于联合国制裁名单，及中国政府部门或有权机关发布的涉恐及反洗钱相关风险名单内的企业或个人；不位于被联合国或</w:t>
      </w:r>
      <w:r>
        <w:rPr>
          <w:rFonts w:hint="eastAsia" w:ascii="Times New Roman" w:hAnsi="Times New Roman" w:eastAsia="楷体_GB2312" w:cs="Times New Roman"/>
          <w:sz w:val="20"/>
          <w:szCs w:val="20"/>
          <w:highlight w:val="none"/>
          <w:lang w:val="en-US" w:eastAsia="zh-CN"/>
        </w:rPr>
        <w:t>中</w:t>
      </w:r>
      <w:r>
        <w:rPr>
          <w:rFonts w:hint="eastAsia" w:ascii="Times New Roman" w:hAnsi="Times New Roman" w:eastAsia="楷体_GB2312" w:cs="Times New Roman"/>
          <w:sz w:val="20"/>
          <w:szCs w:val="20"/>
          <w:highlight w:val="none"/>
        </w:rPr>
        <w:t>国制裁的国家和地区；</w:t>
      </w:r>
    </w:p>
    <w:p w14:paraId="5D2B2B26">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hAnsi="Times New Roman" w:eastAsia="楷体_GB2312" w:cs="Times New Roman"/>
          <w:sz w:val="20"/>
          <w:szCs w:val="20"/>
          <w:highlight w:val="none"/>
        </w:rPr>
      </w:pPr>
    </w:p>
    <w:p w14:paraId="7E5686B6">
      <w:pPr>
        <w:spacing w:line="300" w:lineRule="exact"/>
        <w:ind w:firstLine="480"/>
        <w:rPr>
          <w:rFonts w:ascii="Times New Roman" w:hAnsi="Times New Roman" w:eastAsia="楷体_GB2312" w:cs="Times New Roman"/>
          <w:sz w:val="20"/>
          <w:szCs w:val="20"/>
          <w:highlight w:val="none"/>
        </w:rPr>
      </w:pPr>
      <w:r>
        <w:rPr>
          <w:rFonts w:hint="eastAsia" w:ascii="Times New Roman" w:hAnsi="Times New Roman" w:eastAsia="楷体_GB2312" w:cs="Times New Roman"/>
          <w:b/>
          <w:bCs/>
          <w:sz w:val="20"/>
          <w:szCs w:val="20"/>
          <w:highlight w:val="none"/>
        </w:rPr>
        <w:t>五、乙方的权利与义务</w:t>
      </w:r>
    </w:p>
    <w:p w14:paraId="4FB71CEA">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（一）乙方具有开办理财业务的经营资质，保证以诚实守信、勤勉尽职的原则管理和运用理财资金；</w:t>
      </w:r>
    </w:p>
    <w:p w14:paraId="544FA8EC">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（二）乙方具有完全适当的资格和能力订立与履行理财产品合同。</w:t>
      </w:r>
    </w:p>
    <w:p w14:paraId="1234881D">
      <w:pPr>
        <w:spacing w:line="300" w:lineRule="exact"/>
        <w:ind w:firstLine="482"/>
        <w:rPr>
          <w:rFonts w:ascii="Times New Roman" w:hAnsi="Times New Roman" w:eastAsia="楷体_GB2312" w:cs="Times New Roman"/>
          <w:sz w:val="20"/>
          <w:szCs w:val="20"/>
          <w:highlight w:val="none"/>
        </w:rPr>
      </w:pPr>
    </w:p>
    <w:p w14:paraId="4E72B39F">
      <w:pPr>
        <w:spacing w:line="300" w:lineRule="exact"/>
        <w:ind w:firstLine="480"/>
        <w:rPr>
          <w:rFonts w:ascii="Times New Roman" w:hAnsi="Times New Roman" w:eastAsia="楷体_GB2312" w:cs="Times New Roman"/>
          <w:b/>
          <w:sz w:val="20"/>
          <w:szCs w:val="20"/>
          <w:highlight w:val="none"/>
        </w:rPr>
      </w:pPr>
      <w:r>
        <w:rPr>
          <w:rFonts w:hint="eastAsia" w:ascii="Times New Roman" w:hAnsi="Times New Roman" w:eastAsia="楷体_GB2312" w:cs="Times New Roman"/>
          <w:b/>
          <w:bCs/>
          <w:sz w:val="20"/>
          <w:szCs w:val="20"/>
          <w:highlight w:val="none"/>
        </w:rPr>
        <w:t>六、违约责任</w:t>
      </w:r>
    </w:p>
    <w:p w14:paraId="47C2AF30">
      <w:pPr>
        <w:spacing w:line="300" w:lineRule="exact"/>
        <w:ind w:firstLine="482"/>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双方因违反本协议约定而给对方造成损失的，违约方应赔偿因此给对方造成的直接损失。</w:t>
      </w:r>
    </w:p>
    <w:p w14:paraId="398A78FB">
      <w:pPr>
        <w:spacing w:line="300" w:lineRule="exact"/>
        <w:ind w:firstLine="482"/>
        <w:rPr>
          <w:rFonts w:ascii="Times New Roman" w:hAnsi="Times New Roman" w:eastAsia="楷体_GB2312" w:cs="Times New Roman"/>
          <w:b/>
          <w:bCs/>
          <w:sz w:val="20"/>
          <w:szCs w:val="20"/>
          <w:highlight w:val="none"/>
        </w:rPr>
      </w:pPr>
    </w:p>
    <w:p w14:paraId="03BB3CB4">
      <w:pPr>
        <w:spacing w:line="300" w:lineRule="exact"/>
        <w:ind w:firstLine="480"/>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七、免责内容</w:t>
      </w:r>
    </w:p>
    <w:p w14:paraId="72B32606">
      <w:pPr>
        <w:spacing w:line="300" w:lineRule="exact"/>
        <w:ind w:firstLine="482"/>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hAnsi="Times New Roman" w:eastAsia="楷体_GB2312" w:cs="Times New Roman"/>
          <w:b/>
          <w:bCs/>
          <w:sz w:val="20"/>
          <w:szCs w:val="20"/>
          <w:highlight w:val="none"/>
        </w:rPr>
        <w:t>。</w:t>
      </w:r>
    </w:p>
    <w:p w14:paraId="38271711">
      <w:pPr>
        <w:spacing w:line="300" w:lineRule="exact"/>
        <w:ind w:firstLine="482"/>
        <w:rPr>
          <w:rFonts w:ascii="Times New Roman" w:hAnsi="Times New Roman" w:eastAsia="楷体_GB2312" w:cs="Times New Roman"/>
          <w:b/>
          <w:bCs/>
          <w:sz w:val="20"/>
          <w:szCs w:val="20"/>
          <w:highlight w:val="none"/>
        </w:rPr>
      </w:pPr>
    </w:p>
    <w:p w14:paraId="44611FE9">
      <w:pPr>
        <w:spacing w:line="300" w:lineRule="exact"/>
        <w:ind w:firstLine="480"/>
        <w:rPr>
          <w:rFonts w:ascii="Times New Roman" w:hAnsi="Times New Roman" w:eastAsia="楷体_GB2312" w:cs="Times New Roman"/>
          <w:b/>
          <w:sz w:val="20"/>
          <w:szCs w:val="20"/>
          <w:highlight w:val="none"/>
        </w:rPr>
      </w:pPr>
      <w:r>
        <w:rPr>
          <w:rFonts w:hint="eastAsia" w:ascii="Times New Roman" w:hAnsi="Times New Roman" w:eastAsia="楷体_GB2312" w:cs="Times New Roman"/>
          <w:b/>
          <w:bCs/>
          <w:sz w:val="20"/>
          <w:szCs w:val="20"/>
          <w:highlight w:val="none"/>
        </w:rPr>
        <w:t>八、争议解决</w:t>
      </w:r>
    </w:p>
    <w:p w14:paraId="483B028B">
      <w:pPr>
        <w:spacing w:line="300" w:lineRule="exact"/>
        <w:ind w:firstLine="482"/>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sz w:val="20"/>
          <w:szCs w:val="20"/>
          <w:highlight w:val="none"/>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（二）凡因</w:t>
      </w:r>
      <w:r>
        <w:rPr>
          <w:rFonts w:hint="eastAsia" w:ascii="Times New Roman" w:hAnsi="Times New Roman" w:eastAsia="楷体_GB2312" w:cs="Times New Roman"/>
          <w:b/>
          <w:sz w:val="20"/>
          <w:szCs w:val="20"/>
          <w:highlight w:val="none"/>
        </w:rPr>
        <w:t>本协议/</w:t>
      </w:r>
      <w:r>
        <w:rPr>
          <w:rFonts w:hint="eastAsia" w:ascii="Times New Roman" w:hAnsi="Times New Roman" w:eastAsia="楷体_GB2312" w:cs="Times New Roman"/>
          <w:b/>
          <w:bCs/>
          <w:sz w:val="20"/>
          <w:szCs w:val="20"/>
          <w:highlight w:val="none"/>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hint="eastAsia" w:ascii="Times New Roman" w:hAnsi="Times New Roman" w:eastAsia="楷体_GB2312" w:cs="Times New Roman"/>
          <w:b/>
          <w:bCs/>
          <w:sz w:val="20"/>
          <w:szCs w:val="20"/>
          <w:highlight w:val="none"/>
          <w:lang w:val="en-US" w:eastAsia="zh-CN"/>
        </w:rPr>
        <w:t>、</w:t>
      </w:r>
      <w:r>
        <w:rPr>
          <w:rFonts w:hint="eastAsia" w:ascii="Times New Roman" w:hAnsi="Times New Roman" w:eastAsia="楷体_GB2312" w:cs="Times New Roman"/>
          <w:b/>
          <w:bCs/>
          <w:sz w:val="20"/>
          <w:szCs w:val="20"/>
          <w:highlight w:val="none"/>
        </w:rPr>
        <w:t>律师费</w:t>
      </w:r>
      <w:r>
        <w:rPr>
          <w:rFonts w:hint="eastAsia" w:ascii="Times New Roman" w:hAnsi="Times New Roman" w:eastAsia="楷体_GB2312" w:cs="Times New Roman"/>
          <w:b/>
          <w:bCs/>
          <w:sz w:val="20"/>
          <w:szCs w:val="20"/>
          <w:highlight w:val="none"/>
          <w:lang w:eastAsia="zh-CN"/>
        </w:rPr>
        <w:t>、</w:t>
      </w:r>
      <w:r>
        <w:rPr>
          <w:rFonts w:hint="eastAsia" w:ascii="Times New Roman" w:hAnsi="Times New Roman" w:eastAsia="楷体_GB2312" w:cs="Times New Roman"/>
          <w:b/>
          <w:bCs/>
          <w:sz w:val="20"/>
          <w:szCs w:val="20"/>
          <w:highlight w:val="none"/>
          <w:lang w:val="en-US" w:eastAsia="zh-CN"/>
        </w:rPr>
        <w:t>保全担保费等</w:t>
      </w:r>
      <w:r>
        <w:rPr>
          <w:rFonts w:hint="eastAsia" w:ascii="Times New Roman" w:hAnsi="Times New Roman" w:eastAsia="楷体_GB2312" w:cs="Times New Roman"/>
          <w:b/>
          <w:bCs/>
          <w:sz w:val="20"/>
          <w:szCs w:val="20"/>
          <w:highlight w:val="none"/>
        </w:rPr>
        <w:t>）由败诉方承担。</w:t>
      </w:r>
    </w:p>
    <w:p w14:paraId="6BE7B647">
      <w:pPr>
        <w:spacing w:line="300" w:lineRule="exact"/>
        <w:ind w:firstLine="482"/>
        <w:rPr>
          <w:rFonts w:ascii="Times New Roman" w:hAnsi="Times New Roman" w:eastAsia="楷体_GB2312" w:cs="Times New Roman"/>
          <w:b/>
          <w:bCs/>
          <w:sz w:val="20"/>
          <w:szCs w:val="20"/>
          <w:highlight w:val="none"/>
        </w:rPr>
      </w:pPr>
      <w:r>
        <w:rPr>
          <w:rFonts w:hint="eastAsia" w:ascii="Times New Roman" w:hAnsi="Times New Roman" w:eastAsia="楷体_GB2312" w:cs="Times New Roman"/>
          <w:b/>
          <w:bCs/>
          <w:sz w:val="20"/>
          <w:szCs w:val="20"/>
          <w:highlight w:val="none"/>
        </w:rPr>
        <w:t>（三）在协商或仲裁期间，对于本协议/理财产品合同不涉及争议部分的条款，双方仍须履行。</w:t>
      </w:r>
    </w:p>
    <w:p w14:paraId="66D3F2FE">
      <w:pPr>
        <w:spacing w:line="300" w:lineRule="exact"/>
        <w:ind w:firstLine="482"/>
        <w:rPr>
          <w:rFonts w:ascii="Times New Roman" w:hAnsi="Times New Roman" w:eastAsia="楷体_GB2312" w:cs="Times New Roman"/>
          <w:b/>
          <w:bCs/>
          <w:sz w:val="20"/>
          <w:szCs w:val="20"/>
          <w:highlight w:val="none"/>
        </w:rPr>
      </w:pPr>
    </w:p>
    <w:p w14:paraId="33DC896E">
      <w:pPr>
        <w:spacing w:line="300" w:lineRule="exact"/>
        <w:ind w:firstLine="480"/>
        <w:rPr>
          <w:rFonts w:ascii="Times New Roman" w:hAnsi="Times New Roman" w:eastAsia="楷体_GB2312" w:cs="Times New Roman"/>
          <w:b/>
          <w:sz w:val="20"/>
          <w:szCs w:val="20"/>
          <w:highlight w:val="none"/>
        </w:rPr>
      </w:pPr>
      <w:r>
        <w:rPr>
          <w:rFonts w:hint="eastAsia" w:ascii="Times New Roman" w:hAnsi="Times New Roman" w:eastAsia="楷体_GB2312" w:cs="Times New Roman"/>
          <w:b/>
          <w:sz w:val="20"/>
          <w:szCs w:val="20"/>
          <w:highlight w:val="none"/>
        </w:rPr>
        <w:t>九、附则</w:t>
      </w:r>
    </w:p>
    <w:p w14:paraId="43D5C269">
      <w:pPr>
        <w:spacing w:line="300" w:lineRule="exact"/>
        <w:ind w:firstLine="482"/>
        <w:rPr>
          <w:rFonts w:ascii="Times New Roman" w:hAnsi="Times New Roman" w:eastAsia="楷体_GB2312" w:cs="Times New Roman"/>
          <w:b/>
          <w:sz w:val="20"/>
          <w:szCs w:val="20"/>
          <w:highlight w:val="none"/>
        </w:rPr>
      </w:pPr>
      <w:r>
        <w:rPr>
          <w:rFonts w:hint="eastAsia" w:ascii="Times New Roman" w:hAnsi="Times New Roman" w:eastAsia="楷体_GB2312" w:cs="Times New Roman"/>
          <w:b/>
          <w:sz w:val="20"/>
          <w:szCs w:val="20"/>
          <w:highlight w:val="none"/>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highlight w:val="none"/>
        </w:rPr>
        <w:t>/</w:t>
      </w:r>
      <w:r>
        <w:rPr>
          <w:rFonts w:hint="eastAsia" w:ascii="Times New Roman" w:hAnsi="Times New Roman" w:eastAsia="楷体_GB2312" w:cs="Times New Roman"/>
          <w:b/>
          <w:sz w:val="20"/>
          <w:szCs w:val="20"/>
          <w:highlight w:val="none"/>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highlight w:val="none"/>
        </w:rPr>
        <w:t>/</w:t>
      </w:r>
      <w:r>
        <w:rPr>
          <w:rFonts w:hint="eastAsia" w:ascii="Times New Roman" w:hAnsi="Times New Roman" w:eastAsia="楷体_GB2312" w:cs="Times New Roman"/>
          <w:b/>
          <w:sz w:val="20"/>
          <w:szCs w:val="20"/>
          <w:highlight w:val="none"/>
        </w:rPr>
        <w:t>申购份额经乙方确认后生效。甲方知悉并确认，乙方对于甲方认购</w:t>
      </w:r>
      <w:r>
        <w:rPr>
          <w:rFonts w:ascii="Times New Roman" w:hAnsi="Times New Roman" w:eastAsia="楷体_GB2312" w:cs="Times New Roman"/>
          <w:b/>
          <w:sz w:val="20"/>
          <w:szCs w:val="20"/>
          <w:highlight w:val="none"/>
        </w:rPr>
        <w:t>/</w:t>
      </w:r>
      <w:r>
        <w:rPr>
          <w:rFonts w:hint="eastAsia" w:ascii="Times New Roman" w:hAnsi="Times New Roman" w:eastAsia="楷体_GB2312" w:cs="Times New Roman"/>
          <w:b/>
          <w:sz w:val="20"/>
          <w:szCs w:val="20"/>
          <w:highlight w:val="none"/>
        </w:rPr>
        <w:t>申购份额的确认即视为乙方对于本协议的签署和认可，甲方不得以乙方未在本协议上盖章为由主张本协议无效。</w:t>
      </w:r>
    </w:p>
    <w:p w14:paraId="4F35098E">
      <w:pPr>
        <w:spacing w:line="300" w:lineRule="exact"/>
        <w:ind w:firstLine="482"/>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（二）本协议条款与《信银理财理财产品产品说明书》条款不一致的，以《信银理财理财产品产品说明书》的约定为准。</w:t>
      </w:r>
    </w:p>
    <w:p w14:paraId="487B8F4D">
      <w:pPr>
        <w:spacing w:line="300" w:lineRule="exact"/>
        <w:ind w:firstLine="482"/>
        <w:rPr>
          <w:rFonts w:ascii="Times New Roman" w:hAnsi="Times New Roman" w:eastAsia="楷体_GB2312" w:cs="Times New Roman"/>
          <w:b/>
          <w:sz w:val="20"/>
          <w:szCs w:val="20"/>
          <w:highlight w:val="none"/>
        </w:rPr>
      </w:pPr>
      <w:r>
        <w:rPr>
          <w:rFonts w:hint="eastAsia" w:ascii="Times New Roman" w:hAnsi="Times New Roman" w:eastAsia="楷体_GB2312" w:cs="Times New Roman"/>
          <w:b/>
          <w:sz w:val="20"/>
          <w:szCs w:val="20"/>
          <w:highlight w:val="none"/>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hAnsi="Times New Roman" w:eastAsia="楷体_GB2312" w:cs="Times New Roman"/>
          <w:sz w:val="20"/>
          <w:szCs w:val="20"/>
          <w:highlight w:val="none"/>
        </w:rPr>
      </w:pPr>
    </w:p>
    <w:p w14:paraId="382E40CA">
      <w:pPr>
        <w:spacing w:line="300" w:lineRule="exact"/>
        <w:rPr>
          <w:rFonts w:ascii="Times New Roman" w:hAnsi="Times New Roman" w:eastAsia="楷体_GB2312" w:cs="Times New Roman"/>
          <w:sz w:val="20"/>
          <w:szCs w:val="20"/>
          <w:highlight w:val="none"/>
        </w:rPr>
      </w:pPr>
    </w:p>
    <w:p w14:paraId="684DC015">
      <w:pPr>
        <w:spacing w:line="300" w:lineRule="exact"/>
        <w:rPr>
          <w:rFonts w:ascii="Times New Roman" w:hAnsi="Times New Roman" w:eastAsia="楷体_GB2312" w:cs="Times New Roman"/>
          <w:sz w:val="20"/>
          <w:szCs w:val="20"/>
          <w:highlight w:val="none"/>
        </w:rPr>
      </w:pPr>
      <w:r>
        <w:rPr>
          <w:rFonts w:ascii="Times New Roman" w:hAnsi="Times New Roman" w:eastAsia="楷体_GB2312" w:cs="Times New Roman"/>
          <w:b/>
          <w:sz w:val="20"/>
          <w:szCs w:val="20"/>
          <w:highlight w:val="none"/>
        </w:rPr>
        <w:t>甲方</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个人投资者（签字）</w:t>
      </w:r>
      <w:r>
        <w:rPr>
          <w:rFonts w:ascii="Times New Roman" w:hAnsi="Times New Roman" w:eastAsia="楷体_GB2312" w:cs="Times New Roman"/>
          <w:sz w:val="20"/>
          <w:szCs w:val="20"/>
          <w:highlight w:val="none"/>
        </w:rPr>
        <w:t xml:space="preserve">:               </w:t>
      </w:r>
    </w:p>
    <w:p w14:paraId="75E89A50">
      <w:pPr>
        <w:spacing w:line="300" w:lineRule="exact"/>
        <w:ind w:firstLine="600" w:firstLineChars="300"/>
        <w:rPr>
          <w:rFonts w:ascii="Times New Roman" w:hAnsi="Times New Roman" w:eastAsia="楷体_GB2312" w:cs="Times New Roman"/>
          <w:sz w:val="20"/>
          <w:szCs w:val="20"/>
          <w:highlight w:val="none"/>
        </w:rPr>
      </w:pPr>
    </w:p>
    <w:p w14:paraId="4799ED60">
      <w:pPr>
        <w:spacing w:line="300" w:lineRule="exact"/>
        <w:ind w:firstLine="600" w:firstLineChars="300"/>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机构投资者（公章）</w:t>
      </w:r>
      <w:r>
        <w:rPr>
          <w:rFonts w:ascii="Times New Roman" w:hAnsi="Times New Roman" w:eastAsia="楷体_GB2312" w:cs="Times New Roman"/>
          <w:sz w:val="20"/>
          <w:szCs w:val="20"/>
          <w:highlight w:val="none"/>
        </w:rPr>
        <w:t xml:space="preserve">:               </w:t>
      </w:r>
    </w:p>
    <w:p w14:paraId="285D1965">
      <w:pPr>
        <w:spacing w:line="300" w:lineRule="exact"/>
        <w:ind w:firstLine="600" w:firstLineChars="300"/>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法定代表人</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负责人</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授权代表（签字</w:t>
      </w:r>
      <w:r>
        <w:rPr>
          <w:rFonts w:ascii="Times New Roman" w:hAnsi="Times New Roman" w:eastAsia="楷体_GB2312" w:cs="Times New Roman"/>
          <w:sz w:val="20"/>
          <w:szCs w:val="20"/>
          <w:highlight w:val="none"/>
        </w:rPr>
        <w:t>/</w:t>
      </w:r>
      <w:r>
        <w:rPr>
          <w:rFonts w:hint="eastAsia" w:ascii="Times New Roman" w:hAnsi="Times New Roman" w:eastAsia="楷体_GB2312" w:cs="Times New Roman"/>
          <w:sz w:val="20"/>
          <w:szCs w:val="20"/>
          <w:highlight w:val="none"/>
        </w:rPr>
        <w:t>盖章）：</w:t>
      </w:r>
    </w:p>
    <w:p w14:paraId="6742F1FA">
      <w:pPr>
        <w:spacing w:line="300" w:lineRule="exact"/>
        <w:ind w:firstLine="600" w:firstLineChars="300"/>
        <w:rPr>
          <w:rFonts w:ascii="Times New Roman" w:hAnsi="Times New Roman" w:eastAsia="楷体_GB2312" w:cs="Times New Roman"/>
          <w:sz w:val="20"/>
          <w:szCs w:val="20"/>
          <w:highlight w:val="none"/>
        </w:rPr>
      </w:pPr>
    </w:p>
    <w:p w14:paraId="4912DB02">
      <w:pPr>
        <w:spacing w:line="300" w:lineRule="exact"/>
        <w:ind w:firstLine="600" w:firstLineChars="300"/>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证件类别（个人投资者）：</w:t>
      </w:r>
      <w:r>
        <w:rPr>
          <w:rFonts w:ascii="Times New Roman" w:hAnsi="Times New Roman" w:eastAsia="楷体_GB2312" w:cs="Times New Roman"/>
          <w:sz w:val="20"/>
          <w:szCs w:val="20"/>
          <w:highlight w:val="none"/>
        </w:rPr>
        <w:t xml:space="preserve">             </w:t>
      </w:r>
    </w:p>
    <w:p w14:paraId="06AC3C35">
      <w:pPr>
        <w:spacing w:line="300" w:lineRule="exact"/>
        <w:ind w:firstLine="600" w:firstLineChars="300"/>
        <w:rPr>
          <w:rFonts w:ascii="Times New Roman" w:hAnsi="Times New Roman" w:eastAsia="楷体_GB2312" w:cs="Times New Roman"/>
          <w:sz w:val="20"/>
          <w:szCs w:val="20"/>
          <w:highlight w:val="none"/>
        </w:rPr>
      </w:pPr>
    </w:p>
    <w:p w14:paraId="3FAF2438">
      <w:pPr>
        <w:spacing w:line="300" w:lineRule="exact"/>
        <w:ind w:firstLine="600" w:firstLineChars="300"/>
        <w:rPr>
          <w:rFonts w:ascii="Times New Roman" w:hAnsi="Times New Roman" w:eastAsia="楷体_GB2312" w:cs="Times New Roman"/>
          <w:sz w:val="20"/>
          <w:szCs w:val="20"/>
          <w:highlight w:val="none"/>
        </w:rPr>
      </w:pPr>
      <w:r>
        <w:rPr>
          <w:rFonts w:hint="eastAsia" w:ascii="Times New Roman" w:hAnsi="Times New Roman" w:eastAsia="楷体_GB2312" w:cs="Times New Roman"/>
          <w:sz w:val="20"/>
          <w:szCs w:val="20"/>
          <w:highlight w:val="none"/>
        </w:rPr>
        <w:t>证件号（个人投资者）：</w:t>
      </w:r>
      <w:r>
        <w:rPr>
          <w:rFonts w:ascii="Times New Roman" w:hAnsi="Times New Roman" w:eastAsia="楷体_GB2312" w:cs="Times New Roman"/>
          <w:sz w:val="20"/>
          <w:szCs w:val="20"/>
          <w:highlight w:val="none"/>
        </w:rPr>
        <w:t xml:space="preserve">                </w:t>
      </w:r>
    </w:p>
    <w:p w14:paraId="074060FC">
      <w:pPr>
        <w:spacing w:line="300" w:lineRule="exact"/>
        <w:ind w:firstLine="600" w:firstLineChars="300"/>
        <w:rPr>
          <w:rFonts w:ascii="Times New Roman" w:hAnsi="Times New Roman" w:eastAsia="楷体_GB2312" w:cs="Times New Roman"/>
          <w:sz w:val="20"/>
          <w:szCs w:val="20"/>
          <w:highlight w:val="none"/>
        </w:rPr>
        <w:sectPr>
          <w:headerReference r:id="rId3" w:type="default"/>
          <w:footerReference r:id="rId4" w:type="default"/>
          <w:pgSz w:w="11906" w:h="16838"/>
          <w:pgMar w:top="1440" w:right="1797" w:bottom="1440" w:left="1797" w:header="851" w:footer="992" w:gutter="0"/>
          <w:pgNumType w:start="1"/>
          <w:cols w:space="720" w:num="1"/>
          <w:docGrid w:linePitch="326" w:charSpace="0"/>
        </w:sectPr>
      </w:pPr>
      <w:r>
        <w:rPr>
          <w:rFonts w:ascii="Times New Roman" w:hAnsi="Times New Roman" w:eastAsia="楷体_GB2312" w:cs="Times New Roman"/>
          <w:sz w:val="20"/>
          <w:szCs w:val="20"/>
          <w:highlight w:val="none"/>
        </w:rPr>
        <w:t xml:space="preserve">             </w:t>
      </w:r>
    </w:p>
    <w:p w14:paraId="547FBD6A">
      <w:pPr>
        <w:spacing w:line="300" w:lineRule="exact"/>
        <w:ind w:left="-821" w:leftChars="-342" w:right="-792" w:rightChars="-330"/>
        <w:jc w:val="center"/>
        <w:rPr>
          <w:rFonts w:ascii="黑体" w:hAnsi="楷体_GB2312" w:eastAsia="黑体" w:cs="黑体"/>
          <w:b/>
          <w:bCs/>
          <w:color w:val="000000" w:themeColor="text1"/>
          <w:highlight w:val="none"/>
          <w14:textFill>
            <w14:solidFill>
              <w14:schemeClr w14:val="tx1"/>
            </w14:solidFill>
          </w14:textFill>
        </w:rPr>
      </w:pPr>
      <w:bookmarkStart w:id="0" w:name="_Hlk142658372"/>
      <w:r>
        <w:rPr>
          <w:rFonts w:hint="eastAsia" w:ascii="黑体" w:hAnsi="楷体_GB2312" w:eastAsia="黑体" w:cs="黑体"/>
          <w:b/>
          <w:bCs/>
          <w:color w:val="000000" w:themeColor="text1"/>
          <w:highlight w:val="none"/>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val="000000" w:themeColor="text1"/>
          <w:highlight w:val="none"/>
          <w14:textFill>
            <w14:solidFill>
              <w14:schemeClr w14:val="tx1"/>
            </w14:solidFill>
          </w14:textFill>
        </w:rPr>
      </w:pPr>
      <w:r>
        <w:rPr>
          <w:rFonts w:ascii="黑体" w:eastAsia="黑体"/>
          <w:b/>
          <w:bCs/>
          <w:color w:val="000000" w:themeColor="text1"/>
          <w:highlight w:val="none"/>
          <w14:textFill>
            <w14:solidFill>
              <w14:schemeClr w14:val="tx1"/>
            </w14:solidFill>
          </w14:textFill>
        </w:rPr>
        <w:t> </w:t>
      </w:r>
    </w:p>
    <w:p w14:paraId="520BC4F8">
      <w:pPr>
        <w:rPr>
          <w:rFonts w:ascii="楷体_GB2312" w:eastAsia="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尊敬的客户：</w:t>
      </w:r>
      <w:r>
        <w:rPr>
          <w:rFonts w:ascii="楷体_GB2312" w:hAnsi="Arial" w:eastAsia="楷体_GB2312" w:cs="楷体_GB2312"/>
          <w:color w:val="000000" w:themeColor="text1"/>
          <w:highlight w:val="none"/>
          <w14:textFill>
            <w14:solidFill>
              <w14:schemeClr w14:val="tx1"/>
            </w14:solidFill>
          </w14:textFill>
        </w:rPr>
        <w:t xml:space="preserve"> </w:t>
      </w:r>
    </w:p>
    <w:p w14:paraId="2828AEF3">
      <w:pPr>
        <w:ind w:firstLine="482" w:firstLineChars="200"/>
        <w:jc w:val="both"/>
        <w:rPr>
          <w:b/>
          <w:color w:val="000000" w:themeColor="text1"/>
          <w:highlight w:val="none"/>
          <w14:textFill>
            <w14:solidFill>
              <w14:schemeClr w14:val="tx1"/>
            </w14:solidFill>
          </w14:textFill>
        </w:rPr>
      </w:pPr>
      <w:r>
        <w:rPr>
          <w:rFonts w:ascii="楷体_GB2312" w:hAnsi="Arial" w:eastAsia="楷体_GB2312" w:cs="楷体_GB2312"/>
          <w:b/>
          <w:color w:val="000000" w:themeColor="text1"/>
          <w:highlight w:val="none"/>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hint="eastAsia" w:ascii="楷体_GB2312" w:hAnsi="Arial" w:eastAsia="楷体_GB2312" w:cs="楷体_GB2312"/>
          <w:b/>
          <w:color w:val="000000" w:themeColor="text1"/>
          <w:highlight w:val="none"/>
          <w14:textFill>
            <w14:solidFill>
              <w14:schemeClr w14:val="tx1"/>
            </w14:solidFill>
          </w14:textFill>
        </w:rPr>
        <w:t>理财本金全部损失风险</w:t>
      </w:r>
      <w:r>
        <w:rPr>
          <w:rFonts w:ascii="楷体_GB2312" w:hAnsi="Arial" w:eastAsia="楷体_GB2312" w:cs="楷体_GB2312"/>
          <w:b/>
          <w:color w:val="000000" w:themeColor="text1"/>
          <w:highlight w:val="none"/>
          <w14:textFill>
            <w14:solidFill>
              <w14:schemeClr w14:val="tx1"/>
            </w14:solidFill>
          </w14:textFill>
        </w:rPr>
        <w:t>、合作销售机构</w:t>
      </w:r>
      <w:r>
        <w:rPr>
          <w:rFonts w:hint="eastAsia" w:ascii="楷体_GB2312" w:hAnsi="Arial" w:eastAsia="楷体_GB2312" w:cs="楷体_GB2312"/>
          <w:b/>
          <w:color w:val="000000" w:themeColor="text1"/>
          <w:highlight w:val="none"/>
          <w14:textFill>
            <w14:solidFill>
              <w14:schemeClr w14:val="tx1"/>
            </w14:solidFill>
          </w14:textFill>
        </w:rPr>
        <w:t>（代销机构）</w:t>
      </w:r>
      <w:r>
        <w:rPr>
          <w:rFonts w:ascii="楷体_GB2312" w:hAnsi="Arial" w:eastAsia="楷体_GB2312" w:cs="楷体_GB2312"/>
          <w:b/>
          <w:color w:val="000000" w:themeColor="text1"/>
          <w:highlight w:val="none"/>
          <w14:textFill>
            <w14:solidFill>
              <w14:schemeClr w14:val="tx1"/>
            </w14:solidFill>
          </w14:textFill>
        </w:rPr>
        <w:t>风险、操作风险</w:t>
      </w:r>
      <w:r>
        <w:rPr>
          <w:rFonts w:hint="eastAsia" w:ascii="楷体_GB2312" w:hAnsi="Arial" w:eastAsia="楷体_GB2312" w:cs="楷体_GB2312"/>
          <w:b/>
          <w:color w:val="000000" w:themeColor="text1"/>
          <w:highlight w:val="none"/>
          <w14:textFill>
            <w14:solidFill>
              <w14:schemeClr w14:val="tx1"/>
            </w14:solidFill>
          </w14:textFill>
        </w:rPr>
        <w:t>、关联交易风险</w:t>
      </w:r>
      <w:r>
        <w:rPr>
          <w:rFonts w:ascii="楷体_GB2312" w:hAnsi="Arial" w:eastAsia="楷体_GB2312" w:cs="楷体_GB2312"/>
          <w:b/>
          <w:color w:val="000000" w:themeColor="text1"/>
          <w:highlight w:val="none"/>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val="000000" w:themeColor="text1"/>
          <w:highlight w:val="none"/>
          <w14:textFill>
            <w14:solidFill>
              <w14:schemeClr w14:val="tx1"/>
            </w14:solidFill>
          </w14:textFill>
        </w:rPr>
      </w:pPr>
      <w:r>
        <w:rPr>
          <w:rFonts w:ascii="楷体_GB2312" w:hAnsi="Arial" w:eastAsia="楷体_GB2312" w:cs="楷体_GB2312"/>
          <w:b/>
          <w:color w:val="000000" w:themeColor="text1"/>
          <w:highlight w:val="none"/>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highlight w:val="none"/>
          <w14:textFill>
            <w14:solidFill>
              <w14:schemeClr w14:val="tx1"/>
            </w14:solidFill>
          </w14:textFill>
        </w:rPr>
        <w:t>。</w:t>
      </w:r>
    </w:p>
    <w:p w14:paraId="26EAF464">
      <w:pPr>
        <w:ind w:firstLine="480" w:firstLineChars="200"/>
        <w:jc w:val="both"/>
        <w:rPr>
          <w:rFonts w:ascii="楷体_GB2312" w:eastAsia="楷体_GB2312"/>
          <w:color w:val="000000" w:themeColor="text1"/>
          <w:highlight w:val="none"/>
          <w14:textFill>
            <w14:solidFill>
              <w14:schemeClr w14:val="tx1"/>
            </w14:solidFill>
          </w14:textFill>
        </w:rPr>
      </w:pPr>
    </w:p>
    <w:p w14:paraId="5F6FEF9B">
      <w:pPr>
        <w:ind w:firstLine="480" w:firstLineChars="200"/>
        <w:jc w:val="both"/>
        <w:rPr>
          <w:rFonts w:ascii="楷体_GB2312" w:hAnsi="Arial" w:eastAsia="楷体_GB2312" w:cs="楷体_GB2312"/>
          <w:color w:val="000000"/>
          <w:highlight w:val="none"/>
        </w:rPr>
      </w:pPr>
      <w:r>
        <w:rPr>
          <w:rFonts w:hint="eastAsia" w:ascii="Arial" w:hAnsi="Arial" w:eastAsia="楷体_GB2312" w:cs="楷体_GB2312"/>
          <w:color w:val="000000" w:themeColor="text1"/>
          <w:highlight w:val="none"/>
          <w14:textFill>
            <w14:solidFill>
              <w14:schemeClr w14:val="tx1"/>
            </w14:solidFill>
          </w14:textFill>
        </w:rPr>
        <w:t>本理财产品名称为</w:t>
      </w:r>
      <w:r>
        <w:rPr>
          <w:rFonts w:hint="eastAsia" w:ascii="楷体_GB2312" w:hAnsi="楷体_GB2312" w:eastAsia="楷体_GB2312" w:cs="楷体_GB2312"/>
          <w:b/>
          <w:bCs/>
          <w:color w:val="000000" w:themeColor="text1"/>
          <w:highlight w:val="none"/>
          <w14:textFill>
            <w14:solidFill>
              <w14:schemeClr w14:val="tx1"/>
            </w14:solidFill>
          </w14:textFill>
        </w:rPr>
        <w:t>【</w:t>
      </w:r>
      <w:r>
        <w:rPr>
          <w:rFonts w:hint="eastAsia" w:ascii="楷体_GB2312" w:hAnsi="楷体_GB2312" w:eastAsia="楷体_GB2312" w:cs="楷体_GB2312"/>
          <w:b/>
          <w:bCs/>
          <w:color w:val="000000"/>
          <w:highlight w:val="none"/>
        </w:rPr>
        <w:t>信银理财安盈象固收稳利封闭式1223号理财产品</w:t>
      </w:r>
      <w:r>
        <w:rPr>
          <w:rFonts w:ascii="楷体_GB2312" w:hAnsi="楷体_GB2312" w:eastAsia="楷体_GB2312" w:cs="楷体_GB2312"/>
          <w:b/>
          <w:bCs/>
          <w:color w:val="000000" w:themeColor="text1"/>
          <w:highlight w:val="none"/>
          <w14:textFill>
            <w14:solidFill>
              <w14:schemeClr w14:val="tx1"/>
            </w14:solidFill>
          </w14:textFill>
        </w:rPr>
        <w:t>】</w:t>
      </w:r>
      <w:r>
        <w:rPr>
          <w:rFonts w:hint="eastAsia" w:ascii="楷体_GB2312" w:hAnsi="Arial" w:eastAsia="楷体_GB2312" w:cs="楷体_GB2312"/>
          <w:color w:val="000000" w:themeColor="text1"/>
          <w:highlight w:val="none"/>
          <w14:textFill>
            <w14:solidFill>
              <w14:schemeClr w14:val="tx1"/>
            </w14:solidFill>
          </w14:textFill>
        </w:rPr>
        <w:t>，产品代码为【</w:t>
      </w:r>
      <w:r>
        <w:rPr>
          <w:rFonts w:ascii="楷体_GB2312" w:hAnsi="Arial" w:eastAsia="楷体_GB2312" w:cs="楷体_GB2312"/>
          <w:color w:val="000000"/>
          <w:highlight w:val="none"/>
        </w:rPr>
        <w:t>AF266319</w:t>
      </w:r>
      <w:r>
        <w:rPr>
          <w:rFonts w:hint="eastAsia" w:ascii="楷体_GB2312" w:hAnsi="Arial" w:eastAsia="楷体_GB2312" w:cs="楷体_GB2312"/>
          <w:color w:val="000000" w:themeColor="text1"/>
          <w:highlight w:val="none"/>
          <w14:textFill>
            <w14:solidFill>
              <w14:schemeClr w14:val="tx1"/>
            </w14:solidFill>
          </w14:textFill>
        </w:rPr>
        <w:t>】，类型为公募、【固定收益类</w:t>
      </w:r>
      <w:r>
        <w:rPr>
          <w:rFonts w:ascii="楷体_GB2312" w:hAnsi="Arial" w:eastAsia="楷体_GB2312" w:cs="楷体_GB2312"/>
          <w:color w:val="000000" w:themeColor="text1"/>
          <w:highlight w:val="none"/>
          <w14:textFill>
            <w14:solidFill>
              <w14:schemeClr w14:val="tx1"/>
            </w14:solidFill>
          </w14:textFill>
        </w:rPr>
        <w:t>】</w:t>
      </w:r>
      <w:r>
        <w:rPr>
          <w:rFonts w:hint="eastAsia" w:ascii="楷体_GB2312" w:hAnsi="Arial" w:eastAsia="楷体_GB2312" w:cs="楷体_GB2312"/>
          <w:color w:val="000000" w:themeColor="text1"/>
          <w:highlight w:val="none"/>
          <w14:textFill>
            <w14:solidFill>
              <w14:schemeClr w14:val="tx1"/>
            </w14:solidFill>
          </w14:textFill>
        </w:rPr>
        <w:t>、</w:t>
      </w:r>
      <w:r>
        <w:rPr>
          <w:rFonts w:ascii="楷体_GB2312" w:hAnsi="Arial" w:eastAsia="楷体_GB2312" w:cs="楷体_GB2312"/>
          <w:color w:val="000000" w:themeColor="text1"/>
          <w:highlight w:val="none"/>
          <w14:textFill>
            <w14:solidFill>
              <w14:schemeClr w14:val="tx1"/>
            </w14:solidFill>
          </w14:textFill>
        </w:rPr>
        <w:t>封闭式</w:t>
      </w:r>
      <w:r>
        <w:rPr>
          <w:rFonts w:hint="eastAsia" w:ascii="楷体_GB2312" w:hAnsi="Arial" w:eastAsia="楷体_GB2312" w:cs="楷体_GB2312"/>
          <w:color w:val="000000" w:themeColor="text1"/>
          <w:highlight w:val="none"/>
          <w14:textFill>
            <w14:solidFill>
              <w14:schemeClr w14:val="tx1"/>
            </w14:solidFill>
          </w14:textFill>
        </w:rPr>
        <w:t>产品，期限为【</w:t>
      </w:r>
      <w:r>
        <w:rPr>
          <w:rFonts w:ascii="楷体_GB2312" w:hAnsi="Arial" w:eastAsia="楷体_GB2312" w:cs="楷体_GB2312"/>
          <w:color w:val="000000" w:themeColor="text1"/>
          <w:highlight w:val="none"/>
          <w14:textFill>
            <w14:solidFill>
              <w14:schemeClr w14:val="tx1"/>
            </w14:solidFill>
          </w14:textFill>
        </w:rPr>
        <w:t>197</w:t>
      </w:r>
      <w:r>
        <w:rPr>
          <w:rFonts w:hint="eastAsia" w:ascii="楷体_GB2312" w:hAnsi="Arial" w:eastAsia="楷体_GB2312" w:cs="楷体_GB2312"/>
          <w:color w:val="000000" w:themeColor="text1"/>
          <w:highlight w:val="none"/>
          <w14:textFill>
            <w14:solidFill>
              <w14:schemeClr w14:val="tx1"/>
            </w14:solidFill>
          </w14:textFill>
        </w:rPr>
        <w:t>】天，</w:t>
      </w:r>
      <w:r>
        <w:rPr>
          <w:rFonts w:hint="eastAsia" w:ascii="楷体_GB2312" w:hAnsi="Arial" w:eastAsia="楷体_GB2312" w:cs="楷体_GB2312"/>
          <w:color w:val="000000"/>
          <w:highlight w:val="none"/>
        </w:rPr>
        <w:t>风险评级为【</w:t>
      </w:r>
      <w:r>
        <w:rPr>
          <w:rFonts w:hint="eastAsia" w:ascii="楷体_GB2312" w:hAnsi="Arial" w:eastAsia="楷体_GB2312" w:cs="楷体_GB2312"/>
          <w:highlight w:val="none"/>
        </w:rPr>
        <w:t>PR2</w:t>
      </w:r>
      <w:r>
        <w:rPr>
          <w:rFonts w:hint="eastAsia" w:ascii="楷体_GB2312" w:hAnsi="Arial" w:eastAsia="楷体_GB2312" w:cs="楷体_GB2312"/>
          <w:color w:val="000000"/>
          <w:highlight w:val="none"/>
        </w:rPr>
        <w:t>】，适合购买客户为风险承受能力为【</w:t>
      </w:r>
      <w:r>
        <w:rPr>
          <w:rFonts w:ascii="楷体_GB2312" w:hAnsi="Arial" w:eastAsia="楷体_GB2312" w:cs="楷体_GB2312"/>
          <w:highlight w:val="none"/>
        </w:rPr>
        <w:t>稳健型</w:t>
      </w:r>
      <w:r>
        <w:rPr>
          <w:rFonts w:hint="eastAsia" w:ascii="楷体_GB2312" w:hAnsi="Arial" w:eastAsia="楷体_GB2312" w:cs="楷体_GB2312"/>
          <w:color w:val="000000"/>
          <w:highlight w:val="none"/>
        </w:rPr>
        <w:t>】及以上的客户。【固定收益类产品仅是按照投资性质分类，并非指收益固定或保本。】</w:t>
      </w:r>
    </w:p>
    <w:p w14:paraId="48CC1CE5">
      <w:pPr>
        <w:ind w:firstLine="480" w:firstLineChars="200"/>
        <w:jc w:val="both"/>
        <w:rPr>
          <w:rFonts w:hint="default" w:ascii="Arial" w:hAnsi="Arial" w:eastAsia="楷体_GB2312" w:cs="楷体_GB2312"/>
          <w:color w:val="000000" w:themeColor="text1"/>
          <w:highlight w:val="none"/>
          <w:lang w:val="en-US" w:eastAsia="zh-CN"/>
          <w14:textFill>
            <w14:solidFill>
              <w14:schemeClr w14:val="tx1"/>
            </w14:solidFill>
          </w14:textFill>
        </w:rPr>
      </w:pPr>
      <w:r>
        <w:rPr>
          <w:rFonts w:hint="eastAsia" w:ascii="Arial" w:hAnsi="Arial" w:eastAsia="楷体_GB2312" w:cs="楷体_GB2312"/>
          <w:color w:val="000000" w:themeColor="text1"/>
          <w:highlight w:val="none"/>
          <w:lang w:val="en-US" w:eastAsia="zh-CN"/>
          <w14:textFill>
            <w14:solidFill>
              <w14:schemeClr w14:val="tx1"/>
            </w14:solidFill>
          </w14:textFill>
        </w:rPr>
        <w:t>信银理财有权根据市场变化对产品风险等级进行调整，</w:t>
      </w:r>
      <w:r>
        <w:rPr>
          <w:rFonts w:hint="eastAsia" w:ascii="Arial" w:hAnsi="Arial" w:eastAsia="楷体_GB2312" w:cs="楷体_GB2312"/>
          <w:color w:val="000000" w:themeColor="text1"/>
          <w:highlight w:val="none"/>
          <w14:textFill>
            <w14:solidFill>
              <w14:schemeClr w14:val="tx1"/>
            </w14:solidFill>
          </w14:textFill>
        </w:rPr>
        <w:t>并最迟于调整生效前【2】个工作日以本说明书约定的方式向投资者发布相关信息。</w:t>
      </w:r>
    </w:p>
    <w:p w14:paraId="092BC0C8">
      <w:pPr>
        <w:jc w:val="both"/>
        <w:rPr>
          <w:rFonts w:ascii="楷体_GB2312" w:hAnsi="Arial" w:eastAsia="楷体_GB2312" w:cs="楷体_GB2312"/>
          <w:color w:val="000000" w:themeColor="text1"/>
          <w:highlight w:val="none"/>
          <w14:textFill>
            <w14:solidFill>
              <w14:schemeClr w14:val="tx1"/>
            </w14:solidFill>
          </w14:textFill>
        </w:rPr>
      </w:pPr>
    </w:p>
    <w:p w14:paraId="5F0247FB">
      <w:pPr>
        <w:ind w:firstLine="480" w:firstLineChars="200"/>
        <w:jc w:val="both"/>
        <w:rPr>
          <w:rFonts w:hint="eastAsia" w:ascii="楷体_GB2312" w:hAnsi="Arial" w:eastAsia="楷体_GB2312" w:cs="楷体_GB2312"/>
          <w:color w:val="000000" w:themeColor="text1"/>
          <w:highlight w:val="none"/>
          <w14:textFill>
            <w14:solidFill>
              <w14:schemeClr w14:val="tx1"/>
            </w14:solidFill>
          </w14:textFill>
        </w:rPr>
      </w:pPr>
      <w:r>
        <w:rPr>
          <w:rFonts w:hint="eastAsia" w:ascii="黑体" w:hAnsi="Times New Roman" w:eastAsia="黑体" w:cs="黑体"/>
          <w:color w:val="000000" w:themeColor="text1"/>
          <w:highlight w:val="none"/>
          <w14:textFill>
            <w14:solidFill>
              <w14:schemeClr w14:val="tx1"/>
            </w14:solidFill>
          </w14:textFill>
        </w:rPr>
        <w:t>重要提示</w:t>
      </w:r>
      <w:r>
        <w:rPr>
          <w:rFonts w:hint="eastAsia" w:ascii="楷体_GB2312" w:hAnsi="Arial" w:eastAsia="楷体_GB2312" w:cs="楷体_GB2312"/>
          <w:color w:val="000000" w:themeColor="text1"/>
          <w:highlight w:val="none"/>
          <w14:textFill>
            <w14:solidFill>
              <w14:schemeClr w14:val="tx1"/>
            </w14:solidFill>
          </w14:textFill>
        </w:rPr>
        <w:t>：信银理财</w:t>
      </w:r>
      <w:r>
        <w:rPr>
          <w:rFonts w:ascii="楷体_GB2312" w:hAnsi="Arial" w:eastAsia="楷体_GB2312" w:cs="楷体_GB2312"/>
          <w:color w:val="000000" w:themeColor="text1"/>
          <w:highlight w:val="none"/>
          <w14:textFill>
            <w14:solidFill>
              <w14:schemeClr w14:val="tx1"/>
            </w14:solidFill>
          </w14:textFill>
        </w:rPr>
        <w:t>作为本理财</w:t>
      </w:r>
      <w:r>
        <w:rPr>
          <w:rFonts w:hint="eastAsia" w:ascii="楷体_GB2312" w:hAnsi="Arial" w:eastAsia="楷体_GB2312" w:cs="楷体_GB2312"/>
          <w:color w:val="000000" w:themeColor="text1"/>
          <w:highlight w:val="none"/>
          <w14:textFill>
            <w14:solidFill>
              <w14:schemeClr w14:val="tx1"/>
            </w14:solidFill>
          </w14:textFill>
        </w:rPr>
        <w:t>产品</w:t>
      </w:r>
      <w:r>
        <w:rPr>
          <w:rFonts w:ascii="楷体_GB2312" w:hAnsi="Arial" w:eastAsia="楷体_GB2312" w:cs="楷体_GB2312"/>
          <w:color w:val="000000" w:themeColor="text1"/>
          <w:highlight w:val="none"/>
          <w14:textFill>
            <w14:solidFill>
              <w14:schemeClr w14:val="tx1"/>
            </w14:solidFill>
          </w14:textFill>
        </w:rPr>
        <w:t>管理人承诺以诚实守信、</w:t>
      </w:r>
      <w:r>
        <w:rPr>
          <w:rFonts w:hint="eastAsia" w:ascii="楷体_GB2312" w:hAnsi="Arial" w:eastAsia="楷体_GB2312" w:cs="楷体_GB2312"/>
          <w:color w:val="000000" w:themeColor="text1"/>
          <w:highlight w:val="none"/>
          <w14:textFill>
            <w14:solidFill>
              <w14:schemeClr w14:val="tx1"/>
            </w14:solidFill>
          </w14:textFill>
        </w:rPr>
        <w:t>勤勉</w:t>
      </w:r>
      <w:r>
        <w:rPr>
          <w:rFonts w:ascii="楷体_GB2312" w:hAnsi="Arial" w:eastAsia="楷体_GB2312" w:cs="楷体_GB2312"/>
          <w:color w:val="000000" w:themeColor="text1"/>
          <w:highlight w:val="none"/>
          <w14:textFill>
            <w14:solidFill>
              <w14:schemeClr w14:val="tx1"/>
            </w14:solidFill>
          </w14:textFill>
        </w:rPr>
        <w:t>尽职的原则管理和运用理财产品</w:t>
      </w:r>
      <w:r>
        <w:rPr>
          <w:rFonts w:hint="eastAsia" w:ascii="楷体_GB2312" w:hAnsi="Arial" w:eastAsia="楷体_GB2312" w:cs="楷体_GB2312"/>
          <w:color w:val="000000" w:themeColor="text1"/>
          <w:highlight w:val="none"/>
          <w14:textFill>
            <w14:solidFill>
              <w14:schemeClr w14:val="tx1"/>
            </w14:solidFill>
          </w14:textFill>
        </w:rPr>
        <w:t>资金</w:t>
      </w:r>
      <w:r>
        <w:rPr>
          <w:rFonts w:ascii="楷体_GB2312" w:hAnsi="Arial" w:eastAsia="楷体_GB2312" w:cs="楷体_GB2312"/>
          <w:color w:val="000000" w:themeColor="text1"/>
          <w:highlight w:val="none"/>
          <w14:textFill>
            <w14:solidFill>
              <w14:schemeClr w14:val="tx1"/>
            </w14:solidFill>
          </w14:textFill>
        </w:rPr>
        <w:t>，</w:t>
      </w:r>
      <w:r>
        <w:rPr>
          <w:rFonts w:hint="eastAsia" w:ascii="楷体_GB2312" w:hAnsi="Arial" w:eastAsia="楷体_GB2312" w:cs="楷体_GB2312"/>
          <w:color w:val="000000" w:themeColor="text1"/>
          <w:highlight w:val="none"/>
          <w14:textFill>
            <w14:solidFill>
              <w14:schemeClr w14:val="tx1"/>
            </w14:solidFill>
          </w14:textFill>
        </w:rPr>
        <w:t>但</w:t>
      </w:r>
      <w:r>
        <w:rPr>
          <w:rFonts w:ascii="楷体_GB2312" w:hAnsi="Arial" w:eastAsia="楷体_GB2312" w:cs="楷体_GB2312"/>
          <w:b/>
          <w:color w:val="000000" w:themeColor="text1"/>
          <w:highlight w:val="none"/>
          <w14:textFill>
            <w14:solidFill>
              <w14:schemeClr w14:val="tx1"/>
            </w14:solidFill>
          </w14:textFill>
        </w:rPr>
        <w:t>不保证</w:t>
      </w:r>
      <w:r>
        <w:rPr>
          <w:rFonts w:hint="eastAsia" w:ascii="楷体_GB2312" w:hAnsi="Arial" w:eastAsia="楷体_GB2312" w:cs="楷体_GB2312"/>
          <w:b/>
          <w:color w:val="000000" w:themeColor="text1"/>
          <w:highlight w:val="none"/>
          <w14:textFill>
            <w14:solidFill>
              <w14:schemeClr w14:val="tx1"/>
            </w14:solidFill>
          </w14:textFill>
        </w:rPr>
        <w:t>本金和</w:t>
      </w:r>
      <w:r>
        <w:rPr>
          <w:rFonts w:ascii="楷体_GB2312" w:hAnsi="Arial" w:eastAsia="楷体_GB2312" w:cs="楷体_GB2312"/>
          <w:b/>
          <w:color w:val="000000" w:themeColor="text1"/>
          <w:highlight w:val="none"/>
          <w14:textFill>
            <w14:solidFill>
              <w14:schemeClr w14:val="tx1"/>
            </w14:solidFill>
          </w14:textFill>
        </w:rPr>
        <w:t>收益，您可能因市场变动</w:t>
      </w:r>
      <w:r>
        <w:rPr>
          <w:rFonts w:hint="eastAsia" w:ascii="楷体_GB2312" w:hAnsi="Arial" w:eastAsia="楷体_GB2312" w:cs="楷体_GB2312"/>
          <w:b/>
          <w:color w:val="000000" w:themeColor="text1"/>
          <w:highlight w:val="none"/>
          <w14:textFill>
            <w14:solidFill>
              <w14:schemeClr w14:val="tx1"/>
            </w14:solidFill>
          </w14:textFill>
        </w:rPr>
        <w:t>而</w:t>
      </w:r>
      <w:r>
        <w:rPr>
          <w:rFonts w:ascii="楷体_GB2312" w:hAnsi="Arial" w:eastAsia="楷体_GB2312" w:cs="楷体_GB2312"/>
          <w:b/>
          <w:color w:val="000000" w:themeColor="text1"/>
          <w:highlight w:val="none"/>
          <w14:textFill>
            <w14:solidFill>
              <w14:schemeClr w14:val="tx1"/>
            </w14:solidFill>
          </w14:textFill>
        </w:rPr>
        <w:t>损失全部本金</w:t>
      </w:r>
      <w:r>
        <w:rPr>
          <w:rFonts w:hint="eastAsia" w:ascii="楷体_GB2312" w:hAnsi="Arial" w:eastAsia="楷体_GB2312" w:cs="楷体_GB2312"/>
          <w:b/>
          <w:color w:val="000000" w:themeColor="text1"/>
          <w:highlight w:val="none"/>
          <w14:textFill>
            <w14:solidFill>
              <w14:schemeClr w14:val="tx1"/>
            </w14:solidFill>
          </w14:textFill>
        </w:rPr>
        <w:t>且</w:t>
      </w:r>
      <w:r>
        <w:rPr>
          <w:rFonts w:ascii="楷体_GB2312" w:hAnsi="Arial" w:eastAsia="楷体_GB2312" w:cs="楷体_GB2312"/>
          <w:b/>
          <w:color w:val="000000" w:themeColor="text1"/>
          <w:highlight w:val="none"/>
          <w14:textFill>
            <w14:solidFill>
              <w14:schemeClr w14:val="tx1"/>
            </w14:solidFill>
          </w14:textFill>
        </w:rPr>
        <w:t>无法取得任何收益</w:t>
      </w:r>
      <w:r>
        <w:rPr>
          <w:rFonts w:hint="eastAsia" w:ascii="楷体_GB2312" w:hAnsi="Arial" w:eastAsia="楷体_GB2312" w:cs="楷体_GB2312"/>
          <w:color w:val="000000" w:themeColor="text1"/>
          <w:highlight w:val="none"/>
          <w14:textFill>
            <w14:solidFill>
              <w14:schemeClr w14:val="tx1"/>
            </w14:solidFill>
          </w14:textFill>
        </w:rPr>
        <w:t>。</w:t>
      </w:r>
      <w:r>
        <w:rPr>
          <w:rFonts w:hint="eastAsia" w:ascii="楷体" w:hAnsi="楷体" w:eastAsia="楷体"/>
          <w:b/>
          <w:highlight w:val="none"/>
        </w:rPr>
        <w:t>理财产品过往业绩不代表其未来表现，不等于理财产品实际收益，投资须谨慎。</w:t>
      </w:r>
      <w:r>
        <w:rPr>
          <w:rFonts w:ascii="楷体_GB2312" w:hAnsi="Arial" w:eastAsia="楷体_GB2312" w:cs="楷体_GB2312"/>
          <w:color w:val="000000" w:themeColor="text1"/>
          <w:highlight w:val="none"/>
          <w14:textFill>
            <w14:solidFill>
              <w14:schemeClr w14:val="tx1"/>
            </w14:solidFill>
          </w14:textFill>
        </w:rPr>
        <w:t>信银理财</w:t>
      </w:r>
      <w:r>
        <w:rPr>
          <w:rFonts w:hint="eastAsia" w:ascii="楷体_GB2312" w:hAnsi="Arial" w:eastAsia="楷体_GB2312" w:cs="楷体_GB2312"/>
          <w:color w:val="000000" w:themeColor="text1"/>
          <w:highlight w:val="none"/>
          <w14:textFill>
            <w14:solidFill>
              <w14:schemeClr w14:val="tx1"/>
            </w14:solidFill>
          </w14:textFill>
        </w:rPr>
        <w:t>提醒您</w:t>
      </w:r>
      <w:r>
        <w:rPr>
          <w:rFonts w:ascii="楷体_GB2312" w:hAnsi="Arial" w:eastAsia="楷体_GB2312" w:cs="楷体_GB2312"/>
          <w:color w:val="000000" w:themeColor="text1"/>
          <w:highlight w:val="none"/>
          <w14:textFill>
            <w14:solidFill>
              <w14:schemeClr w14:val="tx1"/>
            </w14:solidFill>
          </w14:textFill>
        </w:rPr>
        <w:t>理财</w:t>
      </w:r>
      <w:r>
        <w:rPr>
          <w:rFonts w:hint="eastAsia" w:ascii="楷体_GB2312" w:hAnsi="Arial" w:eastAsia="楷体_GB2312" w:cs="楷体_GB2312"/>
          <w:color w:val="000000" w:themeColor="text1"/>
          <w:highlight w:val="none"/>
          <w14:textFill>
            <w14:solidFill>
              <w14:schemeClr w14:val="tx1"/>
            </w14:solidFill>
          </w14:textFill>
        </w:rPr>
        <w:t>产品</w:t>
      </w:r>
      <w:r>
        <w:rPr>
          <w:rFonts w:ascii="楷体_GB2312" w:hAnsi="Arial" w:eastAsia="楷体_GB2312" w:cs="楷体_GB2312"/>
          <w:color w:val="000000" w:themeColor="text1"/>
          <w:highlight w:val="none"/>
          <w14:textFill>
            <w14:solidFill>
              <w14:schemeClr w14:val="tx1"/>
            </w14:solidFill>
          </w14:textFill>
        </w:rPr>
        <w:t>投资</w:t>
      </w:r>
      <w:r>
        <w:rPr>
          <w:rFonts w:hint="eastAsia" w:ascii="楷体_GB2312" w:hAnsi="Arial" w:eastAsia="楷体_GB2312" w:cs="楷体_GB2312"/>
          <w:color w:val="000000" w:themeColor="text1"/>
          <w:highlight w:val="none"/>
          <w14:textFill>
            <w14:solidFill>
              <w14:schemeClr w14:val="tx1"/>
            </w14:solidFill>
          </w14:textFill>
        </w:rPr>
        <w:t>风险</w:t>
      </w:r>
      <w:r>
        <w:rPr>
          <w:rFonts w:ascii="楷体_GB2312" w:hAnsi="Arial" w:eastAsia="楷体_GB2312" w:cs="楷体_GB2312"/>
          <w:color w:val="000000" w:themeColor="text1"/>
          <w:highlight w:val="none"/>
          <w14:textFill>
            <w14:solidFill>
              <w14:schemeClr w14:val="tx1"/>
            </w14:solidFill>
          </w14:textFill>
        </w:rPr>
        <w:t>由</w:t>
      </w:r>
      <w:r>
        <w:rPr>
          <w:rFonts w:hint="eastAsia" w:ascii="楷体_GB2312" w:hAnsi="Arial" w:eastAsia="楷体_GB2312" w:cs="楷体_GB2312"/>
          <w:color w:val="000000" w:themeColor="text1"/>
          <w:highlight w:val="none"/>
          <w14:textFill>
            <w14:solidFill>
              <w14:schemeClr w14:val="tx1"/>
            </w14:solidFill>
          </w14:textFill>
        </w:rPr>
        <w:t>买者自负</w:t>
      </w:r>
      <w:r>
        <w:rPr>
          <w:rFonts w:ascii="楷体_GB2312" w:hAnsi="Arial" w:eastAsia="楷体_GB2312" w:cs="楷体_GB2312"/>
          <w:color w:val="000000" w:themeColor="text1"/>
          <w:highlight w:val="none"/>
          <w14:textFill>
            <w14:solidFill>
              <w14:schemeClr w14:val="tx1"/>
            </w14:solidFill>
          </w14:textFill>
        </w:rPr>
        <w:t>，</w:t>
      </w:r>
      <w:r>
        <w:rPr>
          <w:rFonts w:hint="eastAsia" w:ascii="楷体_GB2312" w:hAnsi="Arial" w:eastAsia="楷体_GB2312" w:cs="楷体_GB2312"/>
          <w:color w:val="000000" w:themeColor="text1"/>
          <w:highlight w:val="none"/>
          <w14:textFill>
            <w14:solidFill>
              <w14:schemeClr w14:val="tx1"/>
            </w14:solidFill>
          </w14:textFill>
        </w:rPr>
        <w:t>您应充分认识投资风险，谨慎投资！</w:t>
      </w:r>
    </w:p>
    <w:p w14:paraId="3E5A27E4">
      <w:pPr>
        <w:ind w:firstLine="480" w:firstLineChars="200"/>
        <w:jc w:val="both"/>
        <w:rPr>
          <w:rFonts w:hint="eastAsia" w:ascii="楷体_GB2312" w:hAnsi="Arial" w:eastAsia="楷体_GB2312" w:cs="楷体_GB2312"/>
          <w:color w:val="000000" w:themeColor="text1"/>
          <w:highlight w:val="none"/>
          <w14:textFill>
            <w14:solidFill>
              <w14:schemeClr w14:val="tx1"/>
            </w14:solidFill>
          </w14:textFill>
        </w:rPr>
      </w:pPr>
    </w:p>
    <w:p w14:paraId="4E6B2A47">
      <w:pPr>
        <w:ind w:firstLine="482" w:firstLineChars="200"/>
        <w:jc w:val="both"/>
        <w:rPr>
          <w:rFonts w:ascii="楷体_GB2312" w:hAnsi="楷体_GB2312" w:eastAsia="楷体_GB2312" w:cs="楷体_GB2312"/>
          <w:b/>
          <w:bCs/>
          <w:color w:val="000000" w:themeColor="text1"/>
          <w:highlight w:val="none"/>
          <w14:textFill>
            <w14:solidFill>
              <w14:schemeClr w14:val="tx1"/>
            </w14:solidFill>
          </w14:textFill>
        </w:rPr>
      </w:pPr>
      <w:r>
        <w:rPr>
          <w:rFonts w:hint="eastAsia" w:ascii="楷体_GB2312" w:hAnsi="楷体_GB2312" w:eastAsia="楷体_GB2312" w:cs="楷体_GB2312"/>
          <w:b/>
          <w:bCs/>
          <w:color w:val="000000" w:themeColor="text1"/>
          <w:highlight w:val="none"/>
          <w14:textFill>
            <w14:solidFill>
              <w14:schemeClr w14:val="tx1"/>
            </w14:solidFill>
          </w14:textFill>
        </w:rPr>
        <w:t>【</w:t>
      </w:r>
      <w:r>
        <w:rPr>
          <w:rFonts w:hint="eastAsia" w:ascii="楷体_GB2312" w:hAnsi="楷体_GB2312" w:eastAsia="楷体_GB2312" w:cs="楷体_GB2312"/>
          <w:b/>
          <w:bCs/>
          <w:color w:val="000000" w:themeColor="text1"/>
          <w:highlight w:val="none"/>
          <w:lang w:val="en-US" w:eastAsia="zh-CN"/>
          <w14:textFill>
            <w14:solidFill>
              <w14:schemeClr w14:val="tx1"/>
            </w14:solidFill>
          </w14:textFill>
        </w:rPr>
        <w:t>最不利投资情形</w:t>
      </w:r>
      <w:r>
        <w:rPr>
          <w:rFonts w:hint="eastAsia" w:ascii="楷体_GB2312" w:hAnsi="楷体_GB2312" w:eastAsia="楷体_GB2312" w:cs="楷体_GB2312"/>
          <w:b/>
          <w:bCs/>
          <w:color w:val="000000" w:themeColor="text1"/>
          <w:highlight w:val="none"/>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highlight w:val="none"/>
          <w14:textFill>
            <w14:solidFill>
              <w14:schemeClr w14:val="tx1"/>
            </w14:solidFill>
          </w14:textFill>
        </w:rPr>
        <w:t>1</w:t>
      </w:r>
      <w:r>
        <w:rPr>
          <w:rFonts w:hint="eastAsia" w:ascii="楷体_GB2312" w:hAnsi="楷体_GB2312" w:eastAsia="楷体_GB2312" w:cs="楷体_GB2312"/>
          <w:b/>
          <w:bCs/>
          <w:color w:val="000000" w:themeColor="text1"/>
          <w:highlight w:val="none"/>
          <w14:textFill>
            <w14:solidFill>
              <w14:schemeClr w14:val="tx1"/>
            </w14:solidFill>
          </w14:textFill>
        </w:rPr>
        <w:t>.00亿元，在最不利情况下，理财本金及收益全部损失。</w:t>
      </w:r>
    </w:p>
    <w:p w14:paraId="1FF2D2D5">
      <w:pPr>
        <w:jc w:val="both"/>
        <w:rPr>
          <w:rFonts w:ascii="楷体_GB2312" w:hAnsi="楷体_GB2312" w:eastAsia="楷体_GB2312" w:cs="楷体_GB2312"/>
          <w:b/>
          <w:bCs/>
          <w:color w:val="000000" w:themeColor="text1"/>
          <w:highlight w:val="none"/>
          <w14:textFill>
            <w14:solidFill>
              <w14:schemeClr w14:val="tx1"/>
            </w14:solidFill>
          </w14:textFill>
        </w:rPr>
      </w:pPr>
    </w:p>
    <w:p w14:paraId="3F62ABD2">
      <w:pPr>
        <w:ind w:firstLine="482" w:firstLineChars="200"/>
        <w:jc w:val="both"/>
        <w:rPr>
          <w:rFonts w:ascii="黑体" w:hAnsi="黑体" w:eastAsia="黑体"/>
          <w:b/>
          <w:color w:val="000000" w:themeColor="text1"/>
          <w:highlight w:val="none"/>
          <w14:textFill>
            <w14:solidFill>
              <w14:schemeClr w14:val="tx1"/>
            </w14:solidFill>
          </w14:textFill>
        </w:rPr>
      </w:pPr>
      <w:r>
        <w:rPr>
          <w:rFonts w:hint="eastAsia" w:ascii="黑体" w:hAnsi="黑体" w:eastAsia="黑体"/>
          <w:b/>
          <w:color w:val="000000" w:themeColor="text1"/>
          <w:highlight w:val="none"/>
          <w14:textFill>
            <w14:solidFill>
              <w14:schemeClr w14:val="tx1"/>
            </w14:solidFill>
          </w14:textFill>
        </w:rPr>
        <w:t>理财非存款</w:t>
      </w:r>
      <w:r>
        <w:rPr>
          <w:rFonts w:ascii="黑体" w:hAnsi="黑体" w:eastAsia="黑体"/>
          <w:b/>
          <w:color w:val="000000" w:themeColor="text1"/>
          <w:highlight w:val="none"/>
          <w14:textFill>
            <w14:solidFill>
              <w14:schemeClr w14:val="tx1"/>
            </w14:solidFill>
          </w14:textFill>
        </w:rPr>
        <w:t>、产品</w:t>
      </w:r>
      <w:r>
        <w:rPr>
          <w:rFonts w:hint="eastAsia" w:ascii="黑体" w:hAnsi="黑体" w:eastAsia="黑体"/>
          <w:b/>
          <w:color w:val="000000" w:themeColor="text1"/>
          <w:highlight w:val="none"/>
          <w14:textFill>
            <w14:solidFill>
              <w14:schemeClr w14:val="tx1"/>
            </w14:solidFill>
          </w14:textFill>
        </w:rPr>
        <w:t>有</w:t>
      </w:r>
      <w:r>
        <w:rPr>
          <w:rFonts w:ascii="黑体" w:hAnsi="黑体" w:eastAsia="黑体"/>
          <w:b/>
          <w:color w:val="000000" w:themeColor="text1"/>
          <w:highlight w:val="none"/>
          <w14:textFill>
            <w14:solidFill>
              <w14:schemeClr w14:val="tx1"/>
            </w14:solidFill>
          </w14:textFill>
        </w:rPr>
        <w:t>风险、投资须谨慎</w:t>
      </w:r>
      <w:r>
        <w:rPr>
          <w:rFonts w:hint="eastAsia" w:ascii="黑体" w:hAnsi="黑体" w:eastAsia="黑体"/>
          <w:b/>
          <w:color w:val="000000" w:themeColor="text1"/>
          <w:highlight w:val="none"/>
          <w14:textFill>
            <w14:solidFill>
              <w14:schemeClr w14:val="tx1"/>
            </w14:solidFill>
          </w14:textFill>
        </w:rPr>
        <w:t>！</w:t>
      </w:r>
    </w:p>
    <w:p w14:paraId="1CDE6969">
      <w:pPr>
        <w:ind w:firstLine="482" w:firstLineChars="200"/>
        <w:jc w:val="both"/>
        <w:rPr>
          <w:rFonts w:ascii="黑体" w:hAnsi="黑体" w:eastAsia="黑体"/>
          <w:b/>
          <w:color w:val="000000" w:themeColor="text1"/>
          <w:highlight w:val="none"/>
          <w14:textFill>
            <w14:solidFill>
              <w14:schemeClr w14:val="tx1"/>
            </w14:solidFill>
          </w14:textFill>
        </w:rPr>
      </w:pPr>
    </w:p>
    <w:p w14:paraId="6131B3EA">
      <w:pPr>
        <w:ind w:firstLine="480" w:firstLineChars="200"/>
        <w:jc w:val="both"/>
        <w:rPr>
          <w:rFonts w:ascii="楷体_GB2312" w:eastAsia="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如影响您风险承受能力的因素发生变化，请及时完成风险承受能力评估。</w:t>
      </w:r>
      <w:r>
        <w:rPr>
          <w:rFonts w:ascii="楷体_GB2312" w:hAnsi="Arial" w:eastAsia="楷体_GB2312" w:cs="楷体_GB2312"/>
          <w:color w:val="000000" w:themeColor="text1"/>
          <w:highlight w:val="none"/>
          <w14:textFill>
            <w14:solidFill>
              <w14:schemeClr w14:val="tx1"/>
            </w14:solidFill>
          </w14:textFill>
        </w:rPr>
        <w:t xml:space="preserve"> </w:t>
      </w:r>
    </w:p>
    <w:p w14:paraId="0EB74BAF">
      <w:pPr>
        <w:jc w:val="right"/>
        <w:rPr>
          <w:rFonts w:ascii="楷体_GB2312" w:eastAsia="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风险揭示方：信银理财有限责任公司</w:t>
      </w:r>
    </w:p>
    <w:p w14:paraId="7D9DAD70">
      <w:pPr>
        <w:jc w:val="center"/>
        <w:rPr>
          <w:rFonts w:ascii="楷体_GB2312" w:hAnsi="Arial" w:eastAsia="楷体_GB2312" w:cs="楷体_GB2312"/>
          <w:b/>
          <w:bCs/>
          <w:color w:val="000000" w:themeColor="text1"/>
          <w:highlight w:val="none"/>
          <w:u w:val="single"/>
          <w14:textFill>
            <w14:solidFill>
              <w14:schemeClr w14:val="tx1"/>
            </w14:solidFill>
          </w14:textFill>
        </w:rPr>
      </w:pPr>
    </w:p>
    <w:p w14:paraId="27025074">
      <w:pPr>
        <w:jc w:val="center"/>
        <w:rPr>
          <w:rFonts w:ascii="楷体_GB2312" w:hAnsi="Arial" w:eastAsia="楷体_GB2312" w:cs="楷体_GB2312"/>
          <w:b/>
          <w:bCs/>
          <w:color w:val="000000" w:themeColor="text1"/>
          <w:highlight w:val="none"/>
          <w:u w:val="single"/>
          <w14:textFill>
            <w14:solidFill>
              <w14:schemeClr w14:val="tx1"/>
            </w14:solidFill>
          </w14:textFill>
        </w:rPr>
      </w:pPr>
    </w:p>
    <w:p w14:paraId="6FF55B5C">
      <w:pPr>
        <w:jc w:val="center"/>
        <w:rPr>
          <w:rFonts w:ascii="楷体_GB2312" w:hAnsi="Arial" w:eastAsia="楷体_GB2312" w:cs="楷体_GB2312"/>
          <w:b/>
          <w:bCs/>
          <w:color w:val="000000" w:themeColor="text1"/>
          <w:highlight w:val="none"/>
          <w:u w:val="single"/>
          <w14:textFill>
            <w14:solidFill>
              <w14:schemeClr w14:val="tx1"/>
            </w14:solidFill>
          </w14:textFill>
        </w:rPr>
      </w:pPr>
    </w:p>
    <w:p w14:paraId="3EA580B0">
      <w:pPr>
        <w:jc w:val="center"/>
        <w:rPr>
          <w:rFonts w:ascii="楷体_GB2312" w:hAnsi="Arial" w:eastAsia="楷体_GB2312" w:cs="楷体_GB2312"/>
          <w:b/>
          <w:bCs/>
          <w:color w:val="000000" w:themeColor="text1"/>
          <w:highlight w:val="none"/>
          <w:u w:val="single"/>
          <w14:textFill>
            <w14:solidFill>
              <w14:schemeClr w14:val="tx1"/>
            </w14:solidFill>
          </w14:textFill>
        </w:rPr>
      </w:pPr>
    </w:p>
    <w:p w14:paraId="3CA64456">
      <w:pPr>
        <w:jc w:val="center"/>
        <w:rPr>
          <w:rFonts w:ascii="楷体_GB2312" w:eastAsia="楷体_GB2312"/>
          <w:color w:val="000000" w:themeColor="text1"/>
          <w:highlight w:val="none"/>
          <w14:textFill>
            <w14:solidFill>
              <w14:schemeClr w14:val="tx1"/>
            </w14:solidFill>
          </w14:textFill>
        </w:rPr>
      </w:pPr>
      <w:r>
        <w:rPr>
          <w:rFonts w:hint="eastAsia" w:ascii="楷体_GB2312" w:hAnsi="Arial" w:eastAsia="楷体_GB2312" w:cs="楷体_GB2312"/>
          <w:b/>
          <w:bCs/>
          <w:color w:val="000000" w:themeColor="text1"/>
          <w:highlight w:val="none"/>
          <w:u w:val="single"/>
          <w14:textFill>
            <w14:solidFill>
              <w14:schemeClr w14:val="tx1"/>
            </w14:solidFill>
          </w14:textFill>
        </w:rPr>
        <w:t>客</w:t>
      </w:r>
      <w:r>
        <w:rPr>
          <w:rFonts w:ascii="楷体_GB2312" w:hAnsi="Arial" w:eastAsia="楷体_GB2312" w:cs="楷体_GB2312"/>
          <w:b/>
          <w:bCs/>
          <w:color w:val="000000" w:themeColor="text1"/>
          <w:highlight w:val="none"/>
          <w:u w:val="single"/>
          <w14:textFill>
            <w14:solidFill>
              <w14:schemeClr w14:val="tx1"/>
            </w14:solidFill>
          </w14:textFill>
        </w:rPr>
        <w:t xml:space="preserve"> </w:t>
      </w:r>
      <w:r>
        <w:rPr>
          <w:rFonts w:hint="eastAsia" w:ascii="楷体_GB2312" w:hAnsi="Arial" w:eastAsia="楷体_GB2312" w:cs="楷体_GB2312"/>
          <w:b/>
          <w:bCs/>
          <w:color w:val="000000" w:themeColor="text1"/>
          <w:highlight w:val="none"/>
          <w:u w:val="single"/>
          <w14:textFill>
            <w14:solidFill>
              <w14:schemeClr w14:val="tx1"/>
            </w14:solidFill>
          </w14:textFill>
        </w:rPr>
        <w:t>户</w:t>
      </w:r>
      <w:r>
        <w:rPr>
          <w:rFonts w:ascii="楷体_GB2312" w:hAnsi="Arial" w:eastAsia="楷体_GB2312" w:cs="楷体_GB2312"/>
          <w:b/>
          <w:bCs/>
          <w:color w:val="000000" w:themeColor="text1"/>
          <w:highlight w:val="none"/>
          <w:u w:val="single"/>
          <w14:textFill>
            <w14:solidFill>
              <w14:schemeClr w14:val="tx1"/>
            </w14:solidFill>
          </w14:textFill>
        </w:rPr>
        <w:t xml:space="preserve"> </w:t>
      </w:r>
      <w:r>
        <w:rPr>
          <w:rFonts w:hint="eastAsia" w:ascii="楷体_GB2312" w:hAnsi="Arial" w:eastAsia="楷体_GB2312" w:cs="楷体_GB2312"/>
          <w:b/>
          <w:bCs/>
          <w:color w:val="000000" w:themeColor="text1"/>
          <w:highlight w:val="none"/>
          <w:u w:val="single"/>
          <w14:textFill>
            <w14:solidFill>
              <w14:schemeClr w14:val="tx1"/>
            </w14:solidFill>
          </w14:textFill>
        </w:rPr>
        <w:t>确</w:t>
      </w:r>
      <w:r>
        <w:rPr>
          <w:rFonts w:ascii="楷体_GB2312" w:hAnsi="Arial" w:eastAsia="楷体_GB2312" w:cs="楷体_GB2312"/>
          <w:b/>
          <w:bCs/>
          <w:color w:val="000000" w:themeColor="text1"/>
          <w:highlight w:val="none"/>
          <w:u w:val="single"/>
          <w14:textFill>
            <w14:solidFill>
              <w14:schemeClr w14:val="tx1"/>
            </w14:solidFill>
          </w14:textFill>
        </w:rPr>
        <w:t xml:space="preserve"> </w:t>
      </w:r>
      <w:r>
        <w:rPr>
          <w:rFonts w:hint="eastAsia" w:ascii="楷体_GB2312" w:hAnsi="Arial" w:eastAsia="楷体_GB2312" w:cs="楷体_GB2312"/>
          <w:b/>
          <w:bCs/>
          <w:color w:val="000000" w:themeColor="text1"/>
          <w:highlight w:val="none"/>
          <w:u w:val="single"/>
          <w14:textFill>
            <w14:solidFill>
              <w14:schemeClr w14:val="tx1"/>
            </w14:solidFill>
          </w14:textFill>
        </w:rPr>
        <w:t>认</w:t>
      </w:r>
      <w:r>
        <w:rPr>
          <w:rFonts w:ascii="楷体_GB2312" w:hAnsi="Arial" w:eastAsia="楷体_GB2312" w:cs="楷体_GB2312"/>
          <w:b/>
          <w:bCs/>
          <w:color w:val="000000" w:themeColor="text1"/>
          <w:highlight w:val="none"/>
          <w:u w:val="single"/>
          <w14:textFill>
            <w14:solidFill>
              <w14:schemeClr w14:val="tx1"/>
            </w14:solidFill>
          </w14:textFill>
        </w:rPr>
        <w:t xml:space="preserve"> </w:t>
      </w:r>
      <w:r>
        <w:rPr>
          <w:rFonts w:hint="eastAsia" w:ascii="楷体_GB2312" w:hAnsi="Arial" w:eastAsia="楷体_GB2312" w:cs="楷体_GB2312"/>
          <w:b/>
          <w:bCs/>
          <w:color w:val="000000" w:themeColor="text1"/>
          <w:highlight w:val="none"/>
          <w:u w:val="single"/>
          <w14:textFill>
            <w14:solidFill>
              <w14:schemeClr w14:val="tx1"/>
            </w14:solidFill>
          </w14:textFill>
        </w:rPr>
        <w:t>栏</w:t>
      </w:r>
    </w:p>
    <w:p w14:paraId="045B8D76">
      <w:pPr>
        <w:ind w:firstLine="480" w:firstLineChars="200"/>
        <w:jc w:val="both"/>
        <w:rPr>
          <w:rFonts w:ascii="楷体_GB2312" w:eastAsia="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highlight w:val="none"/>
          <w14:textFill>
            <w14:solidFill>
              <w14:schemeClr w14:val="tx1"/>
            </w14:solidFill>
          </w14:textFill>
        </w:rPr>
        <w:t>,</w:t>
      </w:r>
      <w:r>
        <w:rPr>
          <w:rFonts w:hint="eastAsia" w:ascii="楷体_GB2312" w:hAnsi="Arial" w:eastAsia="楷体_GB2312" w:cs="楷体_GB2312"/>
          <w:color w:val="000000" w:themeColor="text1"/>
          <w:highlight w:val="none"/>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hAnsi="Arial" w:eastAsia="楷体_GB2312" w:cs="楷体_GB2312"/>
          <w:color w:val="000000" w:themeColor="text1"/>
          <w:highlight w:val="none"/>
          <w14:textFill>
            <w14:solidFill>
              <w14:schemeClr w14:val="tx1"/>
            </w14:solidFill>
          </w14:textFill>
        </w:rPr>
        <w:t>代销机构</w:t>
      </w:r>
      <w:r>
        <w:rPr>
          <w:rFonts w:hint="eastAsia" w:ascii="楷体_GB2312" w:hAnsi="Arial" w:eastAsia="楷体_GB2312" w:cs="楷体_GB2312"/>
          <w:color w:val="000000" w:themeColor="text1"/>
          <w:highlight w:val="none"/>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hAnsi="Arial" w:eastAsia="楷体_GB2312" w:cs="楷体_GB2312"/>
          <w:color w:val="000000" w:themeColor="text1"/>
          <w:highlight w:val="none"/>
          <w14:textFill>
            <w14:solidFill>
              <w14:schemeClr w14:val="tx1"/>
            </w14:solidFill>
          </w14:textFill>
        </w:rPr>
        <w:t>单位</w:t>
      </w:r>
      <w:r>
        <w:rPr>
          <w:rFonts w:hint="eastAsia" w:ascii="楷体_GB2312" w:hAnsi="Arial" w:eastAsia="楷体_GB2312" w:cs="楷体_GB2312"/>
          <w:color w:val="000000" w:themeColor="text1"/>
          <w:highlight w:val="none"/>
          <w14:textFill>
            <w14:solidFill>
              <w14:schemeClr w14:val="tx1"/>
            </w14:solidFill>
          </w14:textFill>
        </w:rPr>
        <w:t>予以说明，本人/本单位已完全理解并自愿接受。</w:t>
      </w:r>
      <w:r>
        <w:rPr>
          <w:rFonts w:ascii="楷体_GB2312" w:hAnsi="Arial" w:eastAsia="楷体_GB2312" w:cs="楷体_GB2312"/>
          <w:color w:val="000000" w:themeColor="text1"/>
          <w:highlight w:val="none"/>
          <w14:textFill>
            <w14:solidFill>
              <w14:schemeClr w14:val="tx1"/>
            </w14:solidFill>
          </w14:textFill>
        </w:rPr>
        <w:t xml:space="preserve"> </w:t>
      </w:r>
    </w:p>
    <w:p w14:paraId="59F21140">
      <w:pPr>
        <w:pStyle w:val="20"/>
        <w:ind w:firstLine="480" w:firstLineChars="0"/>
        <w:jc w:val="both"/>
        <w:rPr>
          <w:rFonts w:ascii="楷体_GB2312" w:eastAsia="楷体_GB2312"/>
          <w:color w:val="000000" w:themeColor="text1"/>
          <w:highlight w:val="none"/>
          <w14:textFill>
            <w14:solidFill>
              <w14:schemeClr w14:val="tx1"/>
            </w14:solidFill>
          </w14:textFill>
        </w:rPr>
      </w:pPr>
    </w:p>
    <w:p w14:paraId="45A516E4">
      <w:pPr>
        <w:pStyle w:val="20"/>
        <w:ind w:firstLine="480" w:firstLineChars="0"/>
        <w:jc w:val="both"/>
        <w:rPr>
          <w:rFonts w:ascii="楷体_GB2312" w:eastAsia="楷体_GB2312"/>
          <w:b/>
          <w:color w:val="000000" w:themeColor="text1"/>
          <w:highlight w:val="none"/>
          <w14:textFill>
            <w14:solidFill>
              <w14:schemeClr w14:val="tx1"/>
            </w14:solidFill>
          </w14:textFill>
        </w:rPr>
      </w:pPr>
      <w:r>
        <w:rPr>
          <w:rFonts w:hint="eastAsia" w:ascii="楷体_GB2312" w:eastAsia="楷体_GB2312"/>
          <w:b/>
          <w:color w:val="000000" w:themeColor="text1"/>
          <w:highlight w:val="none"/>
          <w14:textFill>
            <w14:solidFill>
              <w14:schemeClr w14:val="tx1"/>
            </w14:solidFill>
          </w14:textFill>
        </w:rPr>
        <w:t>本人</w:t>
      </w:r>
      <w:r>
        <w:rPr>
          <w:rFonts w:hint="eastAsia" w:ascii="楷体_GB2312" w:hAnsi="Arial" w:eastAsia="楷体_GB2312" w:cs="楷体_GB2312"/>
          <w:b/>
          <w:color w:val="000000" w:themeColor="text1"/>
          <w:highlight w:val="none"/>
          <w14:textFill>
            <w14:solidFill>
              <w14:schemeClr w14:val="tx1"/>
            </w14:solidFill>
          </w14:textFill>
        </w:rPr>
        <w:t>/本单位</w:t>
      </w:r>
      <w:r>
        <w:rPr>
          <w:rFonts w:hint="eastAsia" w:ascii="楷体_GB2312" w:eastAsia="楷体_GB2312"/>
          <w:b/>
          <w:color w:val="000000" w:themeColor="text1"/>
          <w:highlight w:val="none"/>
          <w14:textFill>
            <w14:solidFill>
              <w14:schemeClr w14:val="tx1"/>
            </w14:solidFill>
          </w14:textFill>
        </w:rPr>
        <w:t>确认，将向本理财产品销售机构真实提供信息，自主作出认购等决定，独立对销售文件进行签字</w:t>
      </w:r>
      <w:r>
        <w:rPr>
          <w:rFonts w:ascii="楷体_GB2312" w:eastAsia="楷体_GB2312"/>
          <w:b/>
          <w:color w:val="000000" w:themeColor="text1"/>
          <w:highlight w:val="none"/>
          <w14:textFill>
            <w14:solidFill>
              <w14:schemeClr w14:val="tx1"/>
            </w14:solidFill>
          </w14:textFill>
        </w:rPr>
        <w:t>/盖章确认，自主承担投资风险。本人</w:t>
      </w:r>
      <w:r>
        <w:rPr>
          <w:rFonts w:hint="eastAsia" w:ascii="楷体_GB2312" w:eastAsia="楷体_GB2312"/>
          <w:b/>
          <w:color w:val="000000" w:themeColor="text1"/>
          <w:highlight w:val="none"/>
          <w14:textFill>
            <w14:solidFill>
              <w14:schemeClr w14:val="tx1"/>
            </w14:solidFill>
          </w14:textFill>
        </w:rPr>
        <w:t>/本单位</w:t>
      </w:r>
      <w:r>
        <w:rPr>
          <w:rFonts w:ascii="楷体_GB2312" w:eastAsia="楷体_GB2312"/>
          <w:b/>
          <w:color w:val="000000" w:themeColor="text1"/>
          <w:highlight w:val="none"/>
          <w14:textFill>
            <w14:solidFill>
              <w14:schemeClr w14:val="tx1"/>
            </w14:solidFill>
          </w14:textFill>
        </w:rPr>
        <w:t>拒绝向销售机构提供或者未按照要求提供信息的，销售机构有权告知本人</w:t>
      </w:r>
      <w:r>
        <w:rPr>
          <w:rFonts w:hint="eastAsia" w:ascii="楷体_GB2312" w:eastAsia="楷体_GB2312"/>
          <w:b/>
          <w:color w:val="000000" w:themeColor="text1"/>
          <w:highlight w:val="none"/>
          <w14:textFill>
            <w14:solidFill>
              <w14:schemeClr w14:val="tx1"/>
            </w14:solidFill>
          </w14:textFill>
        </w:rPr>
        <w:t>/本单位</w:t>
      </w:r>
      <w:r>
        <w:rPr>
          <w:rFonts w:ascii="楷体_GB2312" w:eastAsia="楷体_GB2312"/>
          <w:b/>
          <w:color w:val="000000" w:themeColor="text1"/>
          <w:highlight w:val="none"/>
          <w14:textFill>
            <w14:solidFill>
              <w14:schemeClr w14:val="tx1"/>
            </w14:solidFill>
          </w14:textFill>
        </w:rPr>
        <w:t>相应的后果和责任，并有权拒绝向本人</w:t>
      </w:r>
      <w:r>
        <w:rPr>
          <w:rFonts w:hint="eastAsia" w:ascii="楷体_GB2312" w:eastAsia="楷体_GB2312"/>
          <w:b/>
          <w:color w:val="000000" w:themeColor="text1"/>
          <w:highlight w:val="none"/>
          <w14:textFill>
            <w14:solidFill>
              <w14:schemeClr w14:val="tx1"/>
            </w14:solidFill>
          </w14:textFill>
        </w:rPr>
        <w:t>/本单位</w:t>
      </w:r>
      <w:r>
        <w:rPr>
          <w:rFonts w:ascii="楷体_GB2312" w:eastAsia="楷体_GB2312"/>
          <w:b/>
          <w:color w:val="000000" w:themeColor="text1"/>
          <w:highlight w:val="none"/>
          <w14:textFill>
            <w14:solidFill>
              <w14:schemeClr w14:val="tx1"/>
            </w14:solidFill>
          </w14:textFill>
        </w:rPr>
        <w:t>提供销售服务。</w:t>
      </w:r>
    </w:p>
    <w:p w14:paraId="452C132D">
      <w:pPr>
        <w:pStyle w:val="20"/>
        <w:ind w:firstLine="480" w:firstLineChars="0"/>
        <w:jc w:val="both"/>
        <w:rPr>
          <w:rFonts w:ascii="楷体_GB2312" w:eastAsia="楷体_GB2312"/>
          <w:color w:val="000000" w:themeColor="text1"/>
          <w:highlight w:val="none"/>
          <w14:textFill>
            <w14:solidFill>
              <w14:schemeClr w14:val="tx1"/>
            </w14:solidFill>
          </w14:textFill>
        </w:rPr>
      </w:pPr>
      <w:r>
        <w:rPr>
          <w:rFonts w:hint="eastAsia" w:ascii="楷体_GB2312" w:eastAsia="楷体_GB2312"/>
          <w:color w:val="000000" w:themeColor="text1"/>
          <w:highlight w:val="none"/>
          <w14:textFill>
            <w14:solidFill>
              <w14:schemeClr w14:val="tx1"/>
            </w14:solidFill>
          </w14:textFill>
        </w:rPr>
        <w:t>本人</w:t>
      </w:r>
      <w:r>
        <w:rPr>
          <w:rFonts w:hint="eastAsia" w:ascii="楷体_GB2312" w:hAnsi="Arial" w:eastAsia="楷体_GB2312" w:cs="楷体_GB2312"/>
          <w:color w:val="000000" w:themeColor="text1"/>
          <w:highlight w:val="none"/>
          <w14:textFill>
            <w14:solidFill>
              <w14:schemeClr w14:val="tx1"/>
            </w14:solidFill>
          </w14:textFill>
        </w:rPr>
        <w:t>/本单位</w:t>
      </w:r>
      <w:r>
        <w:rPr>
          <w:rFonts w:hint="eastAsia" w:ascii="楷体_GB2312" w:eastAsia="楷体_GB2312"/>
          <w:color w:val="000000" w:themeColor="text1"/>
          <w:highlight w:val="none"/>
          <w14:textFill>
            <w14:solidFill>
              <w14:schemeClr w14:val="tx1"/>
            </w14:solidFill>
          </w14:textFill>
        </w:rPr>
        <w:t>确认</w:t>
      </w:r>
      <w:r>
        <w:rPr>
          <w:rFonts w:ascii="楷体_GB2312" w:eastAsia="楷体_GB2312"/>
          <w:color w:val="000000" w:themeColor="text1"/>
          <w:highlight w:val="none"/>
          <w14:textFill>
            <w14:solidFill>
              <w14:schemeClr w14:val="tx1"/>
            </w14:solidFill>
          </w14:textFill>
        </w:rPr>
        <w:t>，</w:t>
      </w:r>
      <w:r>
        <w:rPr>
          <w:rFonts w:hint="eastAsia" w:ascii="楷体_GB2312" w:eastAsia="楷体_GB2312"/>
          <w:color w:val="000000" w:themeColor="text1"/>
          <w:highlight w:val="none"/>
          <w14:textFill>
            <w14:solidFill>
              <w14:schemeClr w14:val="tx1"/>
            </w14:solidFill>
          </w14:textFill>
        </w:rPr>
        <w:t>投资</w:t>
      </w:r>
      <w:r>
        <w:rPr>
          <w:rFonts w:ascii="楷体_GB2312" w:eastAsia="楷体_GB2312"/>
          <w:color w:val="000000" w:themeColor="text1"/>
          <w:highlight w:val="none"/>
          <w14:textFill>
            <w14:solidFill>
              <w14:schemeClr w14:val="tx1"/>
            </w14:solidFill>
          </w14:textFill>
        </w:rPr>
        <w:t>本理财产品的</w:t>
      </w:r>
      <w:r>
        <w:rPr>
          <w:rFonts w:hint="eastAsia" w:ascii="楷体_GB2312" w:eastAsia="楷体_GB2312"/>
          <w:color w:val="000000" w:themeColor="text1"/>
          <w:highlight w:val="none"/>
          <w14:textFill>
            <w14:solidFill>
              <w14:schemeClr w14:val="tx1"/>
            </w14:solidFill>
          </w14:textFill>
        </w:rPr>
        <w:t>资金非贷款</w:t>
      </w:r>
      <w:r>
        <w:rPr>
          <w:rFonts w:ascii="楷体_GB2312" w:eastAsia="楷体_GB2312"/>
          <w:color w:val="000000" w:themeColor="text1"/>
          <w:highlight w:val="none"/>
          <w14:textFill>
            <w14:solidFill>
              <w14:schemeClr w14:val="tx1"/>
            </w14:solidFill>
          </w14:textFill>
        </w:rPr>
        <w:t>、发行债券等募集的非自有资金。</w:t>
      </w:r>
    </w:p>
    <w:p w14:paraId="3CFFB98C">
      <w:pPr>
        <w:ind w:firstLine="480" w:firstLineChars="200"/>
        <w:jc w:val="both"/>
        <w:rPr>
          <w:rFonts w:ascii="楷体_GB2312" w:hAnsi="Arial" w:eastAsia="楷体_GB2312" w:cs="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本人/本单位确认已阅知客户权益须知，完全清楚理财产品购买流程、风险评估、产品评级含义、信息披露方式及渠道、信银</w:t>
      </w:r>
      <w:r>
        <w:rPr>
          <w:rFonts w:ascii="楷体_GB2312" w:hAnsi="Arial" w:eastAsia="楷体_GB2312" w:cs="楷体_GB2312"/>
          <w:color w:val="000000" w:themeColor="text1"/>
          <w:highlight w:val="none"/>
          <w14:textFill>
            <w14:solidFill>
              <w14:schemeClr w14:val="tx1"/>
            </w14:solidFill>
          </w14:textFill>
        </w:rPr>
        <w:t>理财及代销机构</w:t>
      </w:r>
      <w:r>
        <w:rPr>
          <w:rFonts w:hint="eastAsia" w:ascii="楷体_GB2312" w:hAnsi="Arial" w:eastAsia="楷体_GB2312" w:cs="楷体_GB2312"/>
          <w:color w:val="000000" w:themeColor="text1"/>
          <w:highlight w:val="none"/>
          <w14:textFill>
            <w14:solidFill>
              <w14:schemeClr w14:val="tx1"/>
            </w14:solidFill>
          </w14:textFill>
        </w:rPr>
        <w:t>联系方式及投诉程序等内容。</w:t>
      </w:r>
    </w:p>
    <w:p w14:paraId="63C2AE0C">
      <w:pPr>
        <w:ind w:firstLine="480" w:firstLineChars="200"/>
        <w:jc w:val="both"/>
        <w:rPr>
          <w:rFonts w:ascii="楷体_GB2312" w:hAnsi="Arial" w:eastAsia="楷体_GB2312" w:cs="楷体_GB2312"/>
          <w:color w:val="000000" w:themeColor="text1"/>
          <w:highlight w:val="none"/>
          <w14:textFill>
            <w14:solidFill>
              <w14:schemeClr w14:val="tx1"/>
            </w14:solidFill>
          </w14:textFill>
        </w:rPr>
      </w:pPr>
    </w:p>
    <w:p w14:paraId="56A3E1B8">
      <w:pPr>
        <w:ind w:firstLine="480" w:firstLineChars="200"/>
        <w:jc w:val="both"/>
        <w:rPr>
          <w:color w:val="000000" w:themeColor="text1"/>
          <w:highlight w:val="none"/>
          <w14:textFill>
            <w14:solidFill>
              <w14:schemeClr w14:val="tx1"/>
            </w14:solidFill>
          </w14:textFill>
        </w:rPr>
      </w:pPr>
    </w:p>
    <w:p w14:paraId="17873AF1">
      <w:pPr>
        <w:ind w:firstLine="480" w:firstLineChars="200"/>
        <w:rPr>
          <w:rFonts w:ascii="楷体_GB2312" w:hAnsi="Arial" w:eastAsia="楷体_GB2312" w:cs="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本人/本单位确认如下：</w:t>
      </w:r>
      <w:r>
        <w:rPr>
          <w:rFonts w:ascii="楷体_GB2312" w:hAnsi="Arial" w:eastAsia="楷体_GB2312" w:cs="楷体_GB2312"/>
          <w:color w:val="000000" w:themeColor="text1"/>
          <w:highlight w:val="none"/>
          <w14:textFill>
            <w14:solidFill>
              <w14:schemeClr w14:val="tx1"/>
            </w14:solidFill>
          </w14:textFill>
        </w:rPr>
        <w:t xml:space="preserve"> </w:t>
      </w:r>
    </w:p>
    <w:p w14:paraId="4E19D756">
      <w:pPr>
        <w:ind w:firstLine="480" w:firstLineChars="200"/>
        <w:jc w:val="both"/>
        <w:rPr>
          <w:rFonts w:ascii="楷体_GB2312" w:hAnsi="Arial" w:eastAsia="楷体_GB2312" w:cs="楷体_GB2312"/>
          <w:color w:val="000000" w:themeColor="text1"/>
          <w:highlight w:val="none"/>
          <w14:textFill>
            <w14:solidFill>
              <w14:schemeClr w14:val="tx1"/>
            </w14:solidFill>
          </w14:textFill>
        </w:rPr>
      </w:pPr>
    </w:p>
    <w:p w14:paraId="21546DCB">
      <w:pPr>
        <w:ind w:firstLine="482" w:firstLineChars="200"/>
        <w:jc w:val="both"/>
        <w:rPr>
          <w:rFonts w:ascii="楷体_GB2312" w:hAnsi="Arial" w:eastAsia="楷体_GB2312" w:cs="楷体_GB2312"/>
          <w:b/>
          <w:bCs/>
          <w:color w:val="000000" w:themeColor="text1"/>
          <w:highlight w:val="none"/>
          <w14:textFill>
            <w14:solidFill>
              <w14:schemeClr w14:val="tx1"/>
            </w14:solidFill>
          </w14:textFill>
        </w:rPr>
      </w:pPr>
      <w:r>
        <w:rPr>
          <w:rFonts w:hint="eastAsia" w:ascii="楷体_GB2312" w:hAnsi="Arial" w:eastAsia="楷体_GB2312" w:cs="楷体_GB2312"/>
          <w:b/>
          <w:bCs/>
          <w:color w:val="000000" w:themeColor="text1"/>
          <w:highlight w:val="none"/>
          <w14:textFill>
            <w14:solidFill>
              <w14:schemeClr w14:val="tx1"/>
            </w14:solidFill>
          </w14:textFill>
        </w:rPr>
        <w:t>本理财产品可能委托信银理财的关联方</w:t>
      </w:r>
      <w:r>
        <w:rPr>
          <w:rFonts w:hint="eastAsia" w:ascii="楷体_GB2312" w:hAnsi="Arial" w:eastAsia="楷体_GB2312" w:cs="楷体_GB2312"/>
          <w:b/>
          <w:bCs/>
          <w:color w:val="000000" w:themeColor="text1"/>
          <w:highlight w:val="none"/>
          <w:lang w:val="en-US" w:eastAsia="zh-CN"/>
          <w14:textFill>
            <w14:solidFill>
              <w14:schemeClr w14:val="tx1"/>
            </w14:solidFill>
          </w14:textFill>
        </w:rPr>
        <w:t>托管或</w:t>
      </w:r>
      <w:r>
        <w:rPr>
          <w:rFonts w:hint="eastAsia" w:ascii="楷体_GB2312" w:hAnsi="Arial" w:eastAsia="楷体_GB2312" w:cs="楷体_GB2312"/>
          <w:b/>
          <w:bCs/>
          <w:color w:val="000000" w:themeColor="text1"/>
          <w:highlight w:val="none"/>
          <w14:textFill>
            <w14:solidFill>
              <w14:schemeClr w14:val="tx1"/>
            </w14:solidFill>
          </w14:textFill>
        </w:rPr>
        <w:t>销售</w:t>
      </w:r>
      <w:r>
        <w:rPr>
          <w:rFonts w:hint="eastAsia" w:ascii="楷体_GB2312" w:hAnsi="Arial" w:eastAsia="楷体_GB2312" w:cs="楷体_GB2312"/>
          <w:b/>
          <w:bCs/>
          <w:color w:val="000000" w:themeColor="text1"/>
          <w:highlight w:val="none"/>
          <w:lang w:eastAsia="zh-CN"/>
          <w14:textFill>
            <w14:solidFill>
              <w14:schemeClr w14:val="tx1"/>
            </w14:solidFill>
          </w14:textFill>
        </w:rPr>
        <w:t>。</w:t>
      </w:r>
      <w:r>
        <w:rPr>
          <w:rFonts w:hint="eastAsia" w:ascii="楷体_GB2312" w:hAnsi="Arial" w:eastAsia="楷体_GB2312" w:cs="楷体_GB2312"/>
          <w:b/>
          <w:bCs/>
          <w:color w:val="000000" w:themeColor="text1"/>
          <w:highlight w:val="none"/>
          <w14:textFill>
            <w14:solidFill>
              <w14:schemeClr w14:val="tx1"/>
            </w14:solidFill>
          </w14:textFill>
        </w:rPr>
        <w:t>信银理财委托</w:t>
      </w:r>
      <w:r>
        <w:rPr>
          <w:rFonts w:hint="eastAsia" w:ascii="楷体_GB2312" w:hAnsi="Arial" w:eastAsia="楷体_GB2312" w:cs="楷体_GB2312"/>
          <w:b/>
          <w:bCs/>
          <w:color w:val="000000" w:themeColor="text1"/>
          <w:highlight w:val="none"/>
          <w:lang w:val="en-US" w:eastAsia="zh-CN"/>
          <w14:textFill>
            <w14:solidFill>
              <w14:schemeClr w14:val="tx1"/>
            </w14:solidFill>
          </w14:textFill>
        </w:rPr>
        <w:t>关联方托管或</w:t>
      </w:r>
      <w:r>
        <w:rPr>
          <w:rFonts w:hint="eastAsia" w:ascii="楷体_GB2312" w:hAnsi="Arial" w:eastAsia="楷体_GB2312" w:cs="楷体_GB2312"/>
          <w:b/>
          <w:bCs/>
          <w:color w:val="000000" w:themeColor="text1"/>
          <w:highlight w:val="none"/>
          <w14:textFill>
            <w14:solidFill>
              <w14:schemeClr w14:val="tx1"/>
            </w14:solidFill>
          </w14:textFill>
        </w:rPr>
        <w:t>销售本理财产品的，存在关联交易风险，请投资者仔细阅读</w:t>
      </w:r>
      <w:r>
        <w:rPr>
          <w:rFonts w:hint="eastAsia" w:ascii="楷体_GB2312" w:hAnsi="Arial" w:eastAsia="楷体_GB2312" w:cs="楷体_GB2312"/>
          <w:b/>
          <w:color w:val="000000" w:themeColor="text1"/>
          <w:highlight w:val="none"/>
          <w14:textFill>
            <w14:solidFill>
              <w14:schemeClr w14:val="tx1"/>
            </w14:solidFill>
          </w14:textFill>
        </w:rPr>
        <w:t>理财产品说明书中相应风险揭示部分</w:t>
      </w:r>
      <w:r>
        <w:rPr>
          <w:rFonts w:hint="eastAsia" w:ascii="楷体_GB2312" w:hAnsi="Arial" w:eastAsia="楷体_GB2312" w:cs="楷体_GB2312"/>
          <w:b/>
          <w:color w:val="000000" w:themeColor="text1"/>
          <w:highlight w:val="none"/>
          <w:lang w:val="en-US" w:eastAsia="zh-CN"/>
          <w14:textFill>
            <w14:solidFill>
              <w14:schemeClr w14:val="tx1"/>
            </w14:solidFill>
          </w14:textFill>
        </w:rPr>
        <w:t>以及本理财产品披露的销售机构及托管人</w:t>
      </w:r>
      <w:r>
        <w:rPr>
          <w:rFonts w:hint="eastAsia" w:ascii="楷体_GB2312" w:hAnsi="Arial" w:eastAsia="楷体_GB2312" w:cs="楷体_GB2312"/>
          <w:b/>
          <w:bCs/>
          <w:color w:val="000000" w:themeColor="text1"/>
          <w:highlight w:val="none"/>
          <w14:textFill>
            <w14:solidFill>
              <w14:schemeClr w14:val="tx1"/>
            </w14:solidFill>
          </w14:textFill>
        </w:rPr>
        <w:t>。</w:t>
      </w:r>
    </w:p>
    <w:p w14:paraId="012CD0F3">
      <w:pPr>
        <w:ind w:firstLine="482" w:firstLineChars="200"/>
        <w:jc w:val="both"/>
        <w:rPr>
          <w:rFonts w:ascii="楷体_GB2312" w:hAnsi="Arial" w:eastAsia="楷体_GB2312" w:cs="楷体_GB2312"/>
          <w:b/>
          <w:bCs/>
          <w:color w:val="000000" w:themeColor="text1"/>
          <w:highlight w:val="none"/>
          <w14:textFill>
            <w14:solidFill>
              <w14:schemeClr w14:val="tx1"/>
            </w14:solidFill>
          </w14:textFill>
        </w:rPr>
      </w:pPr>
      <w:r>
        <w:rPr>
          <w:rFonts w:hint="eastAsia" w:ascii="楷体_GB2312" w:hAnsi="Arial" w:eastAsia="楷体_GB2312" w:cs="楷体_GB2312"/>
          <w:b/>
          <w:bCs/>
          <w:color w:val="000000" w:themeColor="text1"/>
          <w:highlight w:val="none"/>
          <w14:textFill>
            <w14:solidFill>
              <w14:schemeClr w14:val="tx1"/>
            </w14:solidFill>
          </w14:textFill>
        </w:rPr>
        <w:t>本人/本单位确认，已知悉上述关联交易，愿意承担相应投资风险。</w:t>
      </w:r>
    </w:p>
    <w:p w14:paraId="566B1FB3">
      <w:pPr>
        <w:rPr>
          <w:rFonts w:ascii="楷体_GB2312" w:eastAsia="楷体_GB2312"/>
          <w:color w:val="000000" w:themeColor="text1"/>
          <w:highlight w:val="none"/>
          <w14:textFill>
            <w14:solidFill>
              <w14:schemeClr w14:val="tx1"/>
            </w14:solidFill>
          </w14:textFill>
        </w:rPr>
      </w:pPr>
    </w:p>
    <w:p w14:paraId="57B32EB0">
      <w:pPr>
        <w:ind w:firstLine="480" w:firstLineChars="200"/>
        <w:jc w:val="both"/>
        <w:rPr>
          <w:rFonts w:ascii="楷体_GB2312" w:eastAsia="楷体_GB2312"/>
          <w:color w:val="000000" w:themeColor="text1"/>
          <w:highlight w:val="none"/>
          <w14:textFill>
            <w14:solidFill>
              <w14:schemeClr w14:val="tx1"/>
            </w14:solidFill>
          </w14:textFill>
        </w:rPr>
      </w:pPr>
      <w:r>
        <w:rPr>
          <w:rFonts w:hint="eastAsia" w:ascii="楷体_GB2312" w:hAnsi="Arial" w:eastAsia="楷体_GB2312" w:cs="楷体_GB2312"/>
          <w:color w:val="000000" w:themeColor="text1"/>
          <w:highlight w:val="none"/>
          <w14:textFill>
            <w14:solidFill>
              <w14:schemeClr w14:val="tx1"/>
            </w14:solidFill>
          </w14:textFill>
        </w:rPr>
        <w:t>本人/本单位风险承受能力评级为（由个人客户本人/机构客户授权经办人填写）：</w:t>
      </w:r>
      <w:r>
        <w:rPr>
          <w:rFonts w:ascii="楷体_GB2312" w:hAnsi="Arial" w:eastAsia="楷体_GB2312"/>
          <w:color w:val="000000" w:themeColor="text1"/>
          <w:highlight w:val="none"/>
          <w14:textFill>
            <w14:solidFill>
              <w14:schemeClr w14:val="tx1"/>
            </w14:solidFill>
          </w14:textFill>
        </w:rPr>
        <w:t> </w:t>
      </w:r>
      <w:r>
        <w:rPr>
          <w:rFonts w:ascii="Arial" w:hAnsi="Arial" w:cs="Arial"/>
          <w:color w:val="000000" w:themeColor="text1"/>
          <w:sz w:val="18"/>
          <w:szCs w:val="18"/>
          <w:highlight w:val="none"/>
          <w14:textFill>
            <w14:solidFill>
              <w14:schemeClr w14:val="tx1"/>
            </w14:solidFill>
          </w14:textFill>
        </w:rPr>
        <w:t> </w:t>
      </w:r>
    </w:p>
    <w:p w14:paraId="2C680FE1">
      <w:pPr>
        <w:snapToGrid w:val="0"/>
        <w:jc w:val="both"/>
        <w:rPr>
          <w:rFonts w:ascii="楷体_GB2312" w:eastAsia="楷体_GB2312"/>
          <w:color w:val="000000" w:themeColor="text1"/>
          <w:highlight w:val="none"/>
          <w14:textFill>
            <w14:solidFill>
              <w14:schemeClr w14:val="tx1"/>
            </w14:solidFill>
          </w14:textFill>
        </w:rPr>
      </w:pPr>
      <w:r>
        <w:rPr>
          <w:rFonts w:hint="eastAsia" w:ascii="楷体_GB2312" w:eastAsia="楷体_GB2312" w:cs="楷体_GB2312"/>
          <w:color w:val="000000" w:themeColor="text1"/>
          <w:highlight w:val="none"/>
          <w14:textFill>
            <w14:solidFill>
              <w14:schemeClr w14:val="tx1"/>
            </w14:solidFill>
          </w14:textFill>
        </w:rPr>
        <w:t>（</w:t>
      </w:r>
      <w:r>
        <w:rPr>
          <w:rFonts w:hint="eastAsia" w:ascii="楷体_GB2312" w:hAnsi="Arial" w:eastAsia="楷体_GB2312" w:cs="楷体_GB2312"/>
          <w:color w:val="000000" w:themeColor="text1"/>
          <w:highlight w:val="none"/>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highlight w:val="none"/>
          <w14:textFill>
            <w14:solidFill>
              <w14:schemeClr w14:val="tx1"/>
            </w14:solidFill>
          </w14:textFill>
        </w:rPr>
        <w:t>：</w:t>
      </w:r>
      <w:r>
        <w:rPr>
          <w:rFonts w:hint="eastAsia" w:ascii="楷体_GB2312" w:eastAsia="楷体_GB2312" w:cs="楷体_GB2312"/>
          <w:b/>
          <w:bCs/>
          <w:color w:val="000000" w:themeColor="text1"/>
          <w:highlight w:val="none"/>
          <w14:textFill>
            <w14:solidFill>
              <w14:schemeClr w14:val="tx1"/>
            </w14:solidFill>
          </w14:textFill>
        </w:rPr>
        <w:t>本人/本单位已经阅读风险揭示，愿意承担投资风险</w:t>
      </w:r>
      <w:r>
        <w:rPr>
          <w:rFonts w:hint="eastAsia" w:ascii="楷体_GB2312" w:eastAsia="楷体_GB2312" w:cs="楷体_GB2312"/>
          <w:color w:val="000000" w:themeColor="text1"/>
          <w:highlight w:val="none"/>
          <w14:textFill>
            <w14:solidFill>
              <w14:schemeClr w14:val="tx1"/>
            </w14:solidFill>
          </w14:textFill>
        </w:rPr>
        <w:t>。）</w:t>
      </w:r>
    </w:p>
    <w:p w14:paraId="49D6EBD1">
      <w:pPr>
        <w:snapToGrid w:val="0"/>
        <w:rPr>
          <w:rFonts w:ascii="楷体_GB2312" w:eastAsia="楷体_GB2312"/>
          <w:color w:val="000000" w:themeColor="text1"/>
          <w:highlight w:val="none"/>
          <w:u w:val="single"/>
          <w14:textFill>
            <w14:solidFill>
              <w14:schemeClr w14:val="tx1"/>
            </w14:solidFill>
          </w14:textFill>
        </w:rPr>
      </w:pPr>
      <w:r>
        <w:rPr>
          <w:rFonts w:ascii="楷体_GB2312" w:eastAsia="楷体_GB2312"/>
          <w:color w:val="000000" w:themeColor="text1"/>
          <w:highlight w:val="none"/>
          <w:u w:val="single"/>
          <w14:textFill>
            <w14:solidFill>
              <w14:schemeClr w14:val="tx1"/>
            </w14:solidFill>
          </w14:textFill>
        </w:rPr>
        <w:t>                      </w:t>
      </w:r>
      <w:r>
        <w:rPr>
          <w:rFonts w:hint="eastAsia" w:ascii="楷体_GB2312" w:eastAsia="楷体_GB2312"/>
          <w:color w:val="000000" w:themeColor="text1"/>
          <w:highlight w:val="none"/>
          <w:u w:val="single"/>
          <w:lang w:val="en-US" w:eastAsia="zh-CN"/>
          <w14:textFill>
            <w14:solidFill>
              <w14:schemeClr w14:val="tx1"/>
            </w14:solidFill>
          </w14:textFill>
        </w:rPr>
        <w:t xml:space="preserve">                   </w:t>
      </w:r>
      <w:r>
        <w:rPr>
          <w:rFonts w:ascii="楷体_GB2312" w:eastAsia="楷体_GB2312"/>
          <w:color w:val="000000" w:themeColor="text1"/>
          <w:highlight w:val="none"/>
          <w:u w:val="single"/>
          <w14:textFill>
            <w14:solidFill>
              <w14:schemeClr w14:val="tx1"/>
            </w14:solidFill>
          </w14:textFill>
        </w:rPr>
        <w:t>      </w:t>
      </w:r>
      <w:r>
        <w:rPr>
          <w:rFonts w:hint="eastAsia" w:ascii="楷体_GB2312" w:eastAsia="楷体_GB2312"/>
          <w:color w:val="000000" w:themeColor="text1"/>
          <w:highlight w:val="none"/>
          <w:u w:val="single"/>
          <w:lang w:val="en-US" w:eastAsia="zh-CN"/>
          <w14:textFill>
            <w14:solidFill>
              <w14:schemeClr w14:val="tx1"/>
            </w14:solidFill>
          </w14:textFill>
        </w:rPr>
        <w:t xml:space="preserve">                                                                </w:t>
      </w:r>
      <w:r>
        <w:rPr>
          <w:rFonts w:ascii="楷体_GB2312" w:eastAsia="楷体_GB2312"/>
          <w:color w:val="000000" w:themeColor="text1"/>
          <w:highlight w:val="none"/>
          <w:u w:val="single"/>
          <w14:textFill>
            <w14:solidFill>
              <w14:schemeClr w14:val="tx1"/>
            </w14:solidFill>
          </w14:textFill>
        </w:rPr>
        <w:t> </w:t>
      </w:r>
      <w:r>
        <w:rPr>
          <w:rFonts w:hint="eastAsia" w:ascii="楷体_GB2312" w:eastAsia="楷体_GB2312"/>
          <w:color w:val="000000" w:themeColor="text1"/>
          <w:highlight w:val="none"/>
          <w:u w:val="single"/>
          <w:lang w:val="en-US" w:eastAsia="zh-CN"/>
          <w14:textFill>
            <w14:solidFill>
              <w14:schemeClr w14:val="tx1"/>
            </w14:solidFill>
          </w14:textFill>
        </w:rPr>
        <w:t xml:space="preserve">                                                          </w:t>
      </w:r>
      <w:r>
        <w:rPr>
          <w:rFonts w:ascii="楷体_GB2312" w:eastAsia="楷体_GB2312"/>
          <w:color w:val="000000" w:themeColor="text1"/>
          <w:highlight w:val="none"/>
          <w:u w:val="single"/>
          <w14:textFill>
            <w14:solidFill>
              <w14:schemeClr w14:val="tx1"/>
            </w14:solidFill>
          </w14:textFill>
        </w:rPr>
        <w:t>    </w:t>
      </w:r>
    </w:p>
    <w:p w14:paraId="767C37E0">
      <w:pPr>
        <w:snapToGrid w:val="0"/>
        <w:rPr>
          <w:rFonts w:ascii="楷体_GB2312" w:eastAsia="楷体_GB2312"/>
          <w:color w:val="000000" w:themeColor="text1"/>
          <w:highlight w:val="none"/>
          <w:u w:val="single"/>
          <w14:textFill>
            <w14:solidFill>
              <w14:schemeClr w14:val="tx1"/>
            </w14:solidFill>
          </w14:textFill>
        </w:rPr>
      </w:pPr>
    </w:p>
    <w:p w14:paraId="3283F598">
      <w:pPr>
        <w:snapToGrid w:val="0"/>
        <w:ind w:right="440"/>
        <w:rPr>
          <w:rFonts w:ascii="楷体_GB2312" w:eastAsia="楷体_GB2312" w:cs="楷体_GB2312"/>
          <w:color w:val="000000" w:themeColor="text1"/>
          <w:highlight w:val="none"/>
          <w14:textFill>
            <w14:solidFill>
              <w14:schemeClr w14:val="tx1"/>
            </w14:solidFill>
          </w14:textFill>
        </w:rPr>
      </w:pPr>
      <w:r>
        <w:rPr>
          <w:rFonts w:hint="eastAsia" w:ascii="黑体" w:hAnsi="Times New Roman" w:eastAsia="黑体" w:cs="Arial"/>
          <w:color w:val="000000" w:themeColor="text1"/>
          <w:highlight w:val="none"/>
          <w14:textFill>
            <w14:solidFill>
              <w14:schemeClr w14:val="tx1"/>
            </w14:solidFill>
          </w14:textFill>
        </w:rPr>
        <w:t>个人客户（签字）：                机构客户（盖章）：</w:t>
      </w:r>
    </w:p>
    <w:p w14:paraId="090DF99D">
      <w:pPr>
        <w:snapToGrid w:val="0"/>
        <w:ind w:left="-426" w:right="440"/>
        <w:rPr>
          <w:color w:val="000000" w:themeColor="text1"/>
          <w:highlight w:val="none"/>
          <w14:textFill>
            <w14:solidFill>
              <w14:schemeClr w14:val="tx1"/>
            </w14:solidFill>
          </w14:textFill>
        </w:rPr>
      </w:pPr>
      <w:r>
        <w:rPr>
          <w:rFonts w:hint="eastAsia" w:ascii="黑体" w:hAnsi="Times New Roman" w:eastAsia="黑体" w:cs="Arial"/>
          <w:color w:val="000000" w:themeColor="text1"/>
          <w:highlight w:val="none"/>
          <w14:textFill>
            <w14:solidFill>
              <w14:schemeClr w14:val="tx1"/>
            </w14:solidFill>
          </w14:textFill>
        </w:rPr>
        <w:t xml:space="preserve">                               法定代表人或负责人（签字或签章）：</w:t>
      </w:r>
    </w:p>
    <w:p w14:paraId="37549A0E">
      <w:pPr>
        <w:snapToGrid w:val="0"/>
        <w:ind w:right="44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w:t>
      </w:r>
    </w:p>
    <w:p w14:paraId="4602A6ED">
      <w:pPr>
        <w:snapToGrid w:val="0"/>
        <w:ind w:right="440"/>
        <w:rPr>
          <w:rFonts w:ascii="黑体" w:hAnsi="Times New Roman" w:eastAsia="黑体" w:cs="Arial"/>
          <w:color w:val="000000" w:themeColor="text1"/>
          <w:highlight w:val="none"/>
          <w14:textFill>
            <w14:solidFill>
              <w14:schemeClr w14:val="tx1"/>
            </w14:solidFill>
          </w14:textFill>
        </w:rPr>
      </w:pPr>
      <w:r>
        <w:rPr>
          <w:rFonts w:hint="eastAsia" w:ascii="黑体" w:hAnsi="Times New Roman" w:eastAsia="黑体" w:cs="Arial"/>
          <w:color w:val="000000" w:themeColor="text1"/>
          <w:highlight w:val="none"/>
          <w14:textFill>
            <w14:solidFill>
              <w14:schemeClr w14:val="tx1"/>
            </w14:solidFill>
          </w14:textFill>
        </w:rPr>
        <w:t>日期：年 月 日                    日期：年 月 日</w:t>
      </w:r>
    </w:p>
    <w:bookmarkEnd w:id="0"/>
    <w:p w14:paraId="44EB9DE1">
      <w:pPr>
        <w:snapToGrid w:val="0"/>
        <w:ind w:right="440"/>
        <w:rPr>
          <w:rFonts w:ascii="黑体" w:hAnsi="Times New Roman" w:eastAsia="黑体" w:cs="Arial"/>
          <w:highlight w:val="none"/>
        </w:rPr>
      </w:pPr>
    </w:p>
    <w:p w14:paraId="3976278E">
      <w:pPr>
        <w:snapToGrid w:val="0"/>
        <w:ind w:right="440"/>
        <w:rPr>
          <w:rFonts w:ascii="黑体" w:hAnsi="Times New Roman" w:eastAsia="黑体" w:cs="Arial"/>
          <w:highlight w:val="none"/>
        </w:rPr>
        <w:sectPr>
          <w:headerReference r:id="rId5" w:type="default"/>
          <w:pgSz w:w="11906" w:h="16838"/>
          <w:pgMar w:top="1440" w:right="1797" w:bottom="1440" w:left="1797" w:header="851" w:footer="992" w:gutter="0"/>
          <w:pgNumType w:start="1"/>
          <w:cols w:space="720" w:num="1"/>
          <w:docGrid w:linePitch="326" w:charSpace="0"/>
        </w:sectPr>
      </w:pPr>
    </w:p>
    <w:p w14:paraId="06C40A91">
      <w:pPr>
        <w:spacing w:line="300" w:lineRule="exact"/>
        <w:jc w:val="both"/>
        <w:rPr>
          <w:color w:val="000000" w:themeColor="text1"/>
          <w:highlight w:val="none"/>
          <w14:textFill>
            <w14:solidFill>
              <w14:schemeClr w14:val="tx1"/>
            </w14:solidFill>
          </w14:textFill>
        </w:rPr>
      </w:pPr>
      <w:r>
        <w:rPr>
          <w:rFonts w:hint="eastAsia" w:ascii="黑体" w:eastAsia="黑体" w:cs="黑体"/>
          <w:b/>
          <w:bCs/>
          <w:color w:val="000000" w:themeColor="text1"/>
          <w:highlight w:val="none"/>
          <w14:textFill>
            <w14:solidFill>
              <w14:schemeClr w14:val="tx1"/>
            </w14:solidFill>
          </w14:textFill>
        </w:rPr>
        <w:t>理财产品登记编码:</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Z7002626002303】</w:t>
      </w:r>
    </w:p>
    <w:p w14:paraId="14894ADD">
      <w:pPr>
        <w:spacing w:line="300" w:lineRule="exact"/>
        <w:ind w:right="89" w:rightChars="37"/>
        <w:rPr>
          <w:rFonts w:ascii="黑体" w:hAnsi="黑体" w:eastAsia="黑体"/>
          <w:sz w:val="21"/>
          <w:szCs w:val="21"/>
          <w:highlight w:val="none"/>
        </w:rPr>
      </w:pPr>
      <w:r>
        <w:rPr>
          <w:rFonts w:hint="eastAsia" w:ascii="黑体" w:hAnsi="黑体" w:eastAsia="黑体"/>
          <w:sz w:val="21"/>
          <w:szCs w:val="21"/>
          <w:highlight w:val="none"/>
        </w:rPr>
        <w:t>理财产品登记编码为本产品在全国银行业理财信息登记系统取得的理财产品登记编码，投资者可以依据该理财产品登记编码在金融产品查询平台（www.jrcpcx.cn）或中国理财网（</w:t>
      </w:r>
      <w:r>
        <w:rPr>
          <w:rFonts w:ascii="黑体" w:hAnsi="黑体" w:eastAsia="黑体"/>
          <w:sz w:val="21"/>
          <w:szCs w:val="21"/>
          <w:highlight w:val="none"/>
        </w:rPr>
        <w:t>www.chinawealth.com.cn）上查询本产品相关信息。</w:t>
      </w:r>
    </w:p>
    <w:p w14:paraId="11882F74">
      <w:pPr>
        <w:spacing w:line="300" w:lineRule="exact"/>
        <w:ind w:right="89" w:rightChars="37"/>
        <w:rPr>
          <w:rFonts w:ascii="黑体" w:hAnsi="黑体" w:eastAsia="黑体"/>
          <w:sz w:val="21"/>
          <w:szCs w:val="21"/>
          <w:highlight w:val="none"/>
        </w:rPr>
      </w:pPr>
    </w:p>
    <w:p w14:paraId="60039533">
      <w:pPr>
        <w:spacing w:line="300" w:lineRule="exact"/>
        <w:ind w:right="89" w:rightChars="37"/>
        <w:rPr>
          <w:rFonts w:ascii="黑体" w:hAnsi="黑体" w:eastAsia="黑体"/>
          <w:b/>
          <w:sz w:val="28"/>
          <w:szCs w:val="28"/>
          <w:highlight w:val="none"/>
        </w:rPr>
      </w:pPr>
      <w:r>
        <w:rPr>
          <w:rFonts w:hint="eastAsia" w:ascii="黑体" w:hAnsi="黑体" w:eastAsia="黑体"/>
          <w:b/>
          <w:sz w:val="28"/>
          <w:szCs w:val="28"/>
          <w:highlight w:val="none"/>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hAnsi="黑体" w:eastAsia="黑体"/>
          <w:b/>
          <w:sz w:val="28"/>
          <w:szCs w:val="28"/>
          <w:highlight w:val="none"/>
        </w:rPr>
        <w:t>www.chinawealth.com.cn）上查询到产品相关信息，则该产品非信银理财发行产品。</w:t>
      </w:r>
    </w:p>
    <w:p w14:paraId="6AFAA48A">
      <w:pPr>
        <w:spacing w:line="300" w:lineRule="exact"/>
        <w:ind w:right="-792" w:rightChars="-330"/>
        <w:rPr>
          <w:rFonts w:ascii="黑体" w:hAnsi="黑体" w:eastAsia="黑体"/>
          <w:color w:val="000000" w:themeColor="text1"/>
          <w:sz w:val="21"/>
          <w:szCs w:val="21"/>
          <w:highlight w:val="none"/>
          <w14:textFill>
            <w14:solidFill>
              <w14:schemeClr w14:val="tx1"/>
            </w14:solidFill>
          </w14:textFill>
        </w:rPr>
      </w:pPr>
    </w:p>
    <w:p w14:paraId="2006040B">
      <w:pPr>
        <w:spacing w:line="300" w:lineRule="exact"/>
        <w:ind w:right="-792" w:rightChars="-330"/>
        <w:jc w:val="center"/>
        <w:rPr>
          <w:rFonts w:ascii="黑体" w:eastAsia="黑体" w:cs="黑体"/>
          <w:b/>
          <w:bCs/>
          <w:color w:val="000000" w:themeColor="text1"/>
          <w:sz w:val="28"/>
          <w:szCs w:val="28"/>
          <w:highlight w:val="none"/>
          <w14:textFill>
            <w14:solidFill>
              <w14:schemeClr w14:val="tx1"/>
            </w14:solidFill>
          </w14:textFill>
        </w:rPr>
      </w:pPr>
      <w:r>
        <w:rPr>
          <w:rFonts w:hint="eastAsia" w:ascii="黑体" w:eastAsia="黑体" w:cs="黑体"/>
          <w:b/>
          <w:bCs/>
          <w:color w:val="000000" w:themeColor="text1"/>
          <w:sz w:val="28"/>
          <w:szCs w:val="28"/>
          <w:highlight w:val="none"/>
          <w14:textFill>
            <w14:solidFill>
              <w14:schemeClr w14:val="tx1"/>
            </w14:solidFill>
          </w14:textFill>
        </w:rPr>
        <w:t>信银理财理财产品说明书</w:t>
      </w:r>
    </w:p>
    <w:p w14:paraId="0D7ED81A">
      <w:pPr>
        <w:widowControl w:val="0"/>
        <w:spacing w:line="300" w:lineRule="exact"/>
        <w:ind w:right="-792" w:rightChars="-330"/>
        <w:jc w:val="center"/>
        <w:rPr>
          <w:rFonts w:ascii="黑体" w:hAnsi="Calibri" w:eastAsia="黑体" w:cs="黑体"/>
          <w:b/>
          <w:bCs/>
          <w:color w:val="000000" w:themeColor="text1"/>
          <w:sz w:val="28"/>
          <w:szCs w:val="28"/>
          <w:highlight w:val="none"/>
          <w14:textFill>
            <w14:solidFill>
              <w14:schemeClr w14:val="tx1"/>
            </w14:solidFill>
          </w14:textFill>
        </w:rPr>
      </w:pPr>
      <w:r>
        <w:rPr>
          <w:rFonts w:hint="eastAsia" w:ascii="黑体" w:hAnsi="Calibri" w:eastAsia="黑体" w:cs="黑体"/>
          <w:b/>
          <w:bCs/>
          <w:color w:val="000000" w:themeColor="text1"/>
          <w:sz w:val="28"/>
          <w:szCs w:val="28"/>
          <w:highlight w:val="none"/>
          <w14:textFill>
            <w14:solidFill>
              <w14:schemeClr w14:val="tx1"/>
            </w14:solidFill>
          </w14:textFill>
        </w:rPr>
        <w:t>产品</w:t>
      </w:r>
      <w:r>
        <w:rPr>
          <w:rFonts w:hint="eastAsia" w:ascii="黑体" w:hAnsi="Times New Roman" w:eastAsia="黑体" w:cs="黑体"/>
          <w:b/>
          <w:bCs/>
          <w:color w:val="000000" w:themeColor="text1"/>
          <w:sz w:val="28"/>
          <w:szCs w:val="28"/>
          <w:highlight w:val="none"/>
          <w14:textFill>
            <w14:solidFill>
              <w14:schemeClr w14:val="tx1"/>
            </w14:solidFill>
          </w14:textFill>
        </w:rPr>
        <w:t>名称：</w:t>
      </w:r>
      <w:r>
        <w:rPr>
          <w:rFonts w:hint="eastAsia" w:ascii="黑体" w:hAnsi="Calibri" w:eastAsia="黑体" w:cs="黑体"/>
          <w:b/>
          <w:bCs/>
          <w:color w:val="000000" w:themeColor="text1"/>
          <w:sz w:val="28"/>
          <w:szCs w:val="28"/>
          <w:highlight w:val="none"/>
          <w14:textFill>
            <w14:solidFill>
              <w14:schemeClr w14:val="tx1"/>
            </w14:solidFill>
          </w14:textFill>
        </w:rPr>
        <w:t>【</w:t>
      </w:r>
      <w:r>
        <w:rPr>
          <w:rFonts w:hint="eastAsia" w:ascii="黑体" w:hAnsi="Calibri" w:eastAsia="黑体" w:cs="黑体"/>
          <w:b/>
          <w:bCs/>
          <w:sz w:val="28"/>
          <w:szCs w:val="28"/>
          <w:highlight w:val="none"/>
        </w:rPr>
        <w:t>信银理财安盈象固收稳利封闭式1223号理财产品</w:t>
      </w:r>
      <w:r>
        <w:rPr>
          <w:rFonts w:hint="eastAsia" w:ascii="黑体" w:hAnsi="Calibri" w:eastAsia="黑体" w:cs="黑体"/>
          <w:b/>
          <w:bCs/>
          <w:color w:val="000000" w:themeColor="text1"/>
          <w:sz w:val="28"/>
          <w:szCs w:val="28"/>
          <w:highlight w:val="none"/>
          <w14:textFill>
            <w14:solidFill>
              <w14:schemeClr w14:val="tx1"/>
            </w14:solidFill>
          </w14:textFill>
        </w:rPr>
        <w:t xml:space="preserve">】  </w:t>
      </w:r>
    </w:p>
    <w:p w14:paraId="6F12700F">
      <w:pPr>
        <w:widowControl w:val="0"/>
        <w:spacing w:line="300" w:lineRule="exact"/>
        <w:ind w:right="-792" w:rightChars="-330"/>
        <w:jc w:val="center"/>
        <w:rPr>
          <w:rFonts w:ascii="黑体" w:hAnsi="Times New Roman" w:eastAsia="黑体" w:cs="黑体"/>
          <w:b/>
          <w:bCs/>
          <w:color w:val="000000" w:themeColor="text1"/>
          <w:sz w:val="28"/>
          <w:szCs w:val="28"/>
          <w:highlight w:val="none"/>
          <w14:textFill>
            <w14:solidFill>
              <w14:schemeClr w14:val="tx1"/>
            </w14:solidFill>
          </w14:textFill>
        </w:rPr>
      </w:pPr>
      <w:r>
        <w:rPr>
          <w:rFonts w:hint="eastAsia" w:ascii="黑体" w:hAnsi="Calibri" w:eastAsia="黑体" w:cs="黑体"/>
          <w:b/>
          <w:bCs/>
          <w:color w:val="000000" w:themeColor="text1"/>
          <w:sz w:val="28"/>
          <w:szCs w:val="28"/>
          <w:highlight w:val="none"/>
          <w14:textFill>
            <w14:solidFill>
              <w14:schemeClr w14:val="tx1"/>
            </w14:solidFill>
          </w14:textFill>
        </w:rPr>
        <w:t>产品代码</w:t>
      </w:r>
      <w:r>
        <w:rPr>
          <w:rFonts w:ascii="黑体" w:hAnsi="Calibri" w:eastAsia="黑体" w:cs="黑体"/>
          <w:b/>
          <w:bCs/>
          <w:color w:val="000000" w:themeColor="text1"/>
          <w:sz w:val="28"/>
          <w:szCs w:val="28"/>
          <w:highlight w:val="none"/>
          <w14:textFill>
            <w14:solidFill>
              <w14:schemeClr w14:val="tx1"/>
            </w14:solidFill>
          </w14:textFill>
        </w:rPr>
        <w:t>：【</w:t>
      </w:r>
      <w:r>
        <w:rPr>
          <w:rFonts w:ascii="黑体" w:hAnsi="Calibri" w:eastAsia="黑体" w:cs="黑体"/>
          <w:b/>
          <w:bCs/>
          <w:sz w:val="28"/>
          <w:szCs w:val="28"/>
          <w:highlight w:val="none"/>
        </w:rPr>
        <w:t>AF266319</w:t>
      </w:r>
      <w:r>
        <w:rPr>
          <w:rFonts w:ascii="黑体" w:hAnsi="Calibri" w:eastAsia="黑体" w:cs="黑体"/>
          <w:b/>
          <w:bCs/>
          <w:color w:val="000000" w:themeColor="text1"/>
          <w:sz w:val="28"/>
          <w:szCs w:val="28"/>
          <w:highlight w:val="none"/>
          <w14:textFill>
            <w14:solidFill>
              <w14:schemeClr w14:val="tx1"/>
            </w14:solidFill>
          </w14:textFill>
        </w:rPr>
        <w:t>】</w:t>
      </w:r>
    </w:p>
    <w:p w14:paraId="7FE49EE9">
      <w:pPr>
        <w:spacing w:line="300" w:lineRule="exact"/>
        <w:ind w:right="-792" w:rightChars="-330"/>
        <w:rPr>
          <w:color w:val="000000" w:themeColor="text1"/>
          <w:highlight w:val="none"/>
          <w14:textFill>
            <w14:solidFill>
              <w14:schemeClr w14:val="tx1"/>
            </w14:solidFill>
          </w14:textFill>
        </w:rPr>
      </w:pPr>
    </w:p>
    <w:tbl>
      <w:tblPr>
        <w:tblStyle w:val="9"/>
        <w:tblW w:w="9604" w:type="dxa"/>
        <w:tblInd w:w="-693" w:type="dxa"/>
        <w:tblLayout w:type="autofit"/>
        <w:tblCellMar>
          <w:top w:w="0" w:type="dxa"/>
          <w:left w:w="108" w:type="dxa"/>
          <w:bottom w:w="0" w:type="dxa"/>
          <w:right w:w="108" w:type="dxa"/>
        </w:tblCellMar>
      </w:tblPr>
      <w:tblGrid>
        <w:gridCol w:w="2842"/>
        <w:gridCol w:w="6762"/>
      </w:tblGrid>
      <w:tr w14:paraId="33F4B7C6">
        <w:tblPrEx>
          <w:tblCellMar>
            <w:top w:w="0" w:type="dxa"/>
            <w:left w:w="108" w:type="dxa"/>
            <w:bottom w:w="0" w:type="dxa"/>
            <w:right w:w="108" w:type="dxa"/>
          </w:tblCellMar>
        </w:tblPrEx>
        <w:trPr>
          <w:trHeight w:val="538" w:hRule="atLeast"/>
        </w:trPr>
        <w:tc>
          <w:tcPr>
            <w:tcW w:w="9604" w:type="dxa"/>
            <w:gridSpan w:val="2"/>
            <w:tcBorders>
              <w:top w:val="single" w:color="000000" w:sz="8" w:space="0"/>
              <w:left w:val="single" w:color="000000" w:sz="8" w:space="0"/>
              <w:bottom w:val="single" w:color="000000" w:sz="4" w:space="0"/>
              <w:right w:val="single" w:color="000000" w:sz="8" w:space="0"/>
            </w:tcBorders>
            <w:vAlign w:val="center"/>
          </w:tcPr>
          <w:p w14:paraId="219D8B46">
            <w:pPr>
              <w:spacing w:line="300" w:lineRule="exact"/>
              <w:ind w:right="89" w:rightChars="37"/>
              <w:jc w:val="center"/>
              <w:rPr>
                <w:rFonts w:hint="eastAsia" w:ascii="方正小标宋简体" w:hAnsi="方正小标宋简体" w:eastAsia="方正小标宋简体" w:cs="方正小标宋简体"/>
                <w:color w:val="000000"/>
                <w:sz w:val="40"/>
                <w:szCs w:val="40"/>
                <w:highlight w:val="none"/>
              </w:rPr>
            </w:pPr>
            <w:r>
              <w:rPr>
                <w:rFonts w:hint="eastAsia" w:ascii="黑体" w:hAnsi="黑体" w:eastAsia="黑体"/>
                <w:b/>
                <w:sz w:val="28"/>
                <w:szCs w:val="28"/>
                <w:highlight w:val="none"/>
              </w:rPr>
              <w:t>理财产品说明书关键要素</w:t>
            </w:r>
          </w:p>
        </w:tc>
      </w:tr>
      <w:tr w14:paraId="47CA608D">
        <w:tblPrEx>
          <w:tblCellMar>
            <w:top w:w="0" w:type="dxa"/>
            <w:left w:w="108" w:type="dxa"/>
            <w:bottom w:w="0" w:type="dxa"/>
            <w:right w:w="108" w:type="dxa"/>
          </w:tblCellMar>
        </w:tblPrEx>
        <w:trPr>
          <w:trHeight w:val="747" w:hRule="atLeast"/>
        </w:trPr>
        <w:tc>
          <w:tcPr>
            <w:tcW w:w="9604" w:type="dxa"/>
            <w:gridSpan w:val="2"/>
            <w:tcBorders>
              <w:top w:val="single" w:color="000000" w:sz="4" w:space="0"/>
              <w:left w:val="single" w:color="000000" w:sz="8" w:space="0"/>
              <w:bottom w:val="single" w:color="auto" w:sz="4" w:space="0"/>
              <w:right w:val="single" w:color="000000" w:sz="8" w:space="0"/>
            </w:tcBorders>
            <w:vAlign w:val="center"/>
          </w:tcPr>
          <w:p w14:paraId="4E3AFB60">
            <w:pPr>
              <w:ind w:firstLine="400" w:firstLineChars="200"/>
              <w:jc w:val="center"/>
              <w:rPr>
                <w:rFonts w:hint="eastAsia" w:ascii="仿宋_GB2312" w:hAnsi="等线" w:eastAsia="仿宋_GB2312" w:cs="仿宋_GB2312"/>
                <w:color w:val="000000"/>
                <w:sz w:val="24"/>
                <w:highlight w:val="none"/>
              </w:rPr>
            </w:pPr>
            <w:r>
              <w:rPr>
                <w:rFonts w:hint="eastAsia" w:ascii="楷体_GB2312" w:hAnsi="Arial" w:eastAsia="楷体_GB2312" w:cs="楷体_GB2312"/>
                <w:color w:val="000000" w:themeColor="text1"/>
                <w:sz w:val="20"/>
                <w:szCs w:val="20"/>
                <w:highlight w:val="none"/>
                <w14:textFill>
                  <w14:solidFill>
                    <w14:schemeClr w14:val="tx1"/>
                  </w14:solidFill>
                </w14:textFill>
              </w:rPr>
              <w:t>本表格提供本理财产品的重要信息，是理财产品说明书的一部分。</w:t>
            </w:r>
            <w:r>
              <w:rPr>
                <w:rFonts w:hint="eastAsia" w:ascii="楷体_GB2312" w:hAnsi="Arial" w:eastAsia="楷体_GB2312" w:cs="楷体_GB2312"/>
                <w:color w:val="000000" w:themeColor="text1"/>
                <w:sz w:val="20"/>
                <w:szCs w:val="20"/>
                <w:highlight w:val="none"/>
                <w14:textFill>
                  <w14:solidFill>
                    <w14:schemeClr w14:val="tx1"/>
                  </w14:solidFill>
                </w14:textFill>
              </w:rPr>
              <w:br w:type="textWrapping"/>
            </w:r>
            <w:r>
              <w:rPr>
                <w:rFonts w:hint="eastAsia" w:ascii="楷体_GB2312" w:hAnsi="Arial" w:eastAsia="楷体_GB2312" w:cs="楷体_GB2312"/>
                <w:color w:val="000000" w:themeColor="text1"/>
                <w:sz w:val="20"/>
                <w:szCs w:val="20"/>
                <w:highlight w:val="none"/>
                <w14:textFill>
                  <w14:solidFill>
                    <w14:schemeClr w14:val="tx1"/>
                  </w14:solidFill>
                </w14:textFill>
              </w:rPr>
              <w:t>作出投资决定前，请阅读完整的理财产品说明书等销售文件。</w:t>
            </w:r>
          </w:p>
        </w:tc>
      </w:tr>
      <w:tr w14:paraId="66D698D9">
        <w:tblPrEx>
          <w:tblCellMar>
            <w:top w:w="0" w:type="dxa"/>
            <w:left w:w="108" w:type="dxa"/>
            <w:bottom w:w="0" w:type="dxa"/>
            <w:right w:w="108" w:type="dxa"/>
          </w:tblCellMar>
        </w:tblPrEx>
        <w:trPr>
          <w:trHeight w:val="270" w:hRule="atLeast"/>
        </w:trPr>
        <w:tc>
          <w:tcPr>
            <w:tcW w:w="9604" w:type="dxa"/>
            <w:gridSpan w:val="2"/>
            <w:tcBorders>
              <w:top w:val="single" w:color="auto" w:sz="4" w:space="0"/>
              <w:left w:val="single" w:color="000000" w:sz="8" w:space="0"/>
              <w:bottom w:val="nil"/>
              <w:right w:val="single" w:color="000000" w:sz="8" w:space="0"/>
            </w:tcBorders>
            <w:vAlign w:val="center"/>
          </w:tcPr>
          <w:p w14:paraId="39E6D06C">
            <w:pPr>
              <w:widowControl/>
              <w:spacing w:line="400" w:lineRule="exact"/>
              <w:jc w:val="center"/>
              <w:textAlignment w:val="center"/>
              <w:rPr>
                <w:rFonts w:hint="eastAsia" w:ascii="楷体_GB2312" w:hAnsi="等线" w:eastAsia="楷体_GB2312" w:cs="楷体_GB2312"/>
                <w:b/>
                <w:bCs/>
                <w:color w:val="000000"/>
                <w:sz w:val="24"/>
                <w:highlight w:val="none"/>
              </w:rPr>
            </w:pPr>
            <w:r>
              <w:rPr>
                <w:rFonts w:hint="eastAsia" w:ascii="楷体_GB2312" w:hAnsi="等线" w:eastAsia="楷体_GB2312" w:cs="楷体_GB2312"/>
                <w:b/>
                <w:bCs/>
                <w:color w:val="000000"/>
                <w:kern w:val="0"/>
                <w:sz w:val="24"/>
                <w:highlight w:val="none"/>
                <w:lang w:bidi="ar"/>
              </w:rPr>
              <w:t>（一）理财产品基本信息</w:t>
            </w:r>
          </w:p>
        </w:tc>
      </w:tr>
      <w:tr w14:paraId="4D1B661A">
        <w:tblPrEx>
          <w:tblCellMar>
            <w:top w:w="0" w:type="dxa"/>
            <w:left w:w="108" w:type="dxa"/>
            <w:bottom w:w="0" w:type="dxa"/>
            <w:right w:w="108" w:type="dxa"/>
          </w:tblCellMar>
        </w:tblPrEx>
        <w:trPr>
          <w:trHeight w:val="810" w:hRule="atLeast"/>
        </w:trPr>
        <w:tc>
          <w:tcPr>
            <w:tcW w:w="2842" w:type="dxa"/>
            <w:tcBorders>
              <w:top w:val="single" w:color="000000" w:sz="4" w:space="0"/>
              <w:left w:val="single" w:color="000000" w:sz="8" w:space="0"/>
              <w:bottom w:val="single" w:color="auto" w:sz="4" w:space="0"/>
              <w:right w:val="single" w:color="auto" w:sz="4" w:space="0"/>
            </w:tcBorders>
            <w:vAlign w:val="center"/>
          </w:tcPr>
          <w:p w14:paraId="51B29FF6">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产品登记编码</w:t>
            </w:r>
          </w:p>
        </w:tc>
        <w:tc>
          <w:tcPr>
            <w:tcW w:w="6762" w:type="dxa"/>
            <w:tcBorders>
              <w:top w:val="single" w:color="000000" w:sz="4" w:space="0"/>
              <w:left w:val="single" w:color="auto" w:sz="4" w:space="0"/>
              <w:bottom w:val="single" w:color="auto" w:sz="4" w:space="0"/>
              <w:right w:val="single" w:color="000000" w:sz="8" w:space="0"/>
            </w:tcBorders>
            <w:vAlign w:val="center"/>
          </w:tcPr>
          <w:p w14:paraId="04B9205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w:t>
            </w:r>
            <w:r>
              <w:rPr>
                <w:rFonts w:ascii="楷体_GB2312" w:eastAsia="楷体_GB2312"/>
                <w:color w:val="000000" w:themeColor="text1"/>
                <w:sz w:val="20"/>
                <w:szCs w:val="20"/>
                <w:highlight w:val="none"/>
                <w14:textFill>
                  <w14:solidFill>
                    <w14:schemeClr w14:val="tx1"/>
                  </w14:solidFill>
                </w14:textFill>
              </w:rPr>
              <w:t>Z7002626002303】</w:t>
            </w:r>
          </w:p>
          <w:p w14:paraId="0A6129D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（重要提示：可依据该登记编码在中国理财网www.chinawealth.com.cn查询产品信息）</w:t>
            </w:r>
          </w:p>
        </w:tc>
      </w:tr>
      <w:tr w14:paraId="36189232">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2F28D6E0">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产品名称</w:t>
            </w:r>
          </w:p>
        </w:tc>
        <w:tc>
          <w:tcPr>
            <w:tcW w:w="6762" w:type="dxa"/>
            <w:tcBorders>
              <w:top w:val="single" w:color="auto" w:sz="4" w:space="0"/>
              <w:left w:val="single" w:color="auto" w:sz="4" w:space="0"/>
              <w:bottom w:val="single" w:color="auto" w:sz="4" w:space="0"/>
              <w:right w:val="single" w:color="000000" w:sz="8" w:space="0"/>
            </w:tcBorders>
            <w:vAlign w:val="center"/>
          </w:tcPr>
          <w:p w14:paraId="4CC82AA3">
            <w:pPr>
              <w:widowControl/>
              <w:spacing w:line="400" w:lineRule="exact"/>
              <w:jc w:val="center"/>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【信银理财安盈象固收稳利封闭式1223号理财产品】</w:t>
            </w:r>
          </w:p>
        </w:tc>
      </w:tr>
      <w:tr w14:paraId="40A3119D">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67AD5FFA">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份额代码</w:t>
            </w:r>
          </w:p>
        </w:tc>
        <w:tc>
          <w:tcPr>
            <w:tcW w:w="6762" w:type="dxa"/>
            <w:tcBorders>
              <w:top w:val="single" w:color="auto" w:sz="4" w:space="0"/>
              <w:left w:val="single" w:color="auto" w:sz="4" w:space="0"/>
              <w:bottom w:val="single" w:color="auto" w:sz="4" w:space="0"/>
              <w:right w:val="single" w:color="000000" w:sz="8" w:space="0"/>
            </w:tcBorders>
            <w:vAlign w:val="center"/>
          </w:tcPr>
          <w:p w14:paraId="4B44BB31">
            <w:pPr>
              <w:spacing w:line="300" w:lineRule="exact"/>
              <w:ind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【A】类份额：份额代码【AF266319A】</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【B】类份额：份额代码【AF266319B】</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【C】类份额：份额代码【AF266319C】</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【D】类份额：份额代码【AF266319D】</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【G】类份额：份额代码【AF266319G】</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【M】类份额：份额代码【AF266319M】</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【N】类份额：份额代码【AF266319N】</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【S】类份额：份额代码【AF266319S】</w:t>
            </w:r>
          </w:p>
          <w:p w14:paraId="0FD559CD">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p>
          <w:p w14:paraId="2965237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后续理财产品份额类型如有新增、减少和变更，信银理财将按照本说明书约定的方式告知投资者。</w:t>
            </w:r>
          </w:p>
        </w:tc>
      </w:tr>
      <w:tr w14:paraId="697529AB">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4AE77825">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发行机构名称</w:t>
            </w:r>
          </w:p>
        </w:tc>
        <w:tc>
          <w:tcPr>
            <w:tcW w:w="6762" w:type="dxa"/>
            <w:tcBorders>
              <w:top w:val="single" w:color="auto" w:sz="4" w:space="0"/>
              <w:left w:val="single" w:color="auto" w:sz="4" w:space="0"/>
              <w:bottom w:val="single" w:color="auto" w:sz="4" w:space="0"/>
              <w:right w:val="single" w:color="000000" w:sz="8" w:space="0"/>
            </w:tcBorders>
            <w:vAlign w:val="center"/>
          </w:tcPr>
          <w:p w14:paraId="6041FF69">
            <w:pPr>
              <w:spacing w:line="300" w:lineRule="atLeast"/>
              <w:ind w:left="-2" w:right="31"/>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企业名称：【信银理财有限责任公司】</w:t>
            </w:r>
          </w:p>
          <w:p w14:paraId="27AC77C7">
            <w:pPr>
              <w:spacing w:line="300" w:lineRule="atLeast"/>
              <w:ind w:left="-2" w:right="31"/>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住所：【上海市黄浦区中山东二路600号1幢35层、36层】</w:t>
            </w:r>
          </w:p>
          <w:p w14:paraId="72B165C7">
            <w:pPr>
              <w:widowControl/>
              <w:spacing w:line="400" w:lineRule="exact"/>
              <w:jc w:val="both"/>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客户服务热线：【950950】</w:t>
            </w:r>
          </w:p>
        </w:tc>
      </w:tr>
      <w:tr w14:paraId="0273B9F9">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4ECC6F72">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销售机构名称</w:t>
            </w:r>
          </w:p>
        </w:tc>
        <w:tc>
          <w:tcPr>
            <w:tcW w:w="6762" w:type="dxa"/>
            <w:tcBorders>
              <w:top w:val="single" w:color="auto" w:sz="4" w:space="0"/>
              <w:left w:val="single" w:color="auto" w:sz="4" w:space="0"/>
              <w:bottom w:val="single" w:color="auto" w:sz="4" w:space="0"/>
              <w:right w:val="single" w:color="000000" w:sz="8" w:space="0"/>
            </w:tcBorders>
            <w:vAlign w:val="center"/>
          </w:tcPr>
          <w:p w14:paraId="13DC3897">
            <w:pPr>
              <w:widowControl/>
              <w:spacing w:line="3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【A】类份额（份额代码【AF266319A】）合作销售机构信息：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1.企业名称：【中信银行股份有限公司】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住所：【北京市朝阳区光华路10号中信大厦】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客户服务热线：【95558】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【B】类份额（份额代码【AF266319B】）合作销售机构信息：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1.企业名称：【三原县农村信用合作联社】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住所：【陕西省咸阳市三原县宴友思大街中段】</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2.企业名称：【乾县农村信用合作联社】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住所：【陕西省咸阳市乾县西兰大街中段】</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3.企业名称：【兴平市农村信用合作联社】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住所：【陕西省咸阳市兴平市金城路】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4.企业名称：【陕西彬州农村商业银行股份有限公司】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住所：【陕西省咸阳市彬州市城关镇西大街】</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5.企业名称：【旬邑县农村信用合作联社】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住所：【陕西省咸阳市旬邑县南大街】</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6.企业名称：【武功县农村信用合作联社】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住所：【陕西省咸阳市武功县普集镇后稷路】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7.企业名称：【永寿县农村信用合作联社】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住所：【陕西省咸阳市永寿县监军镇西兰路中段】</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8.企业名称：【泾阳县农村信用合作联社】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住所：【陕西省咸阳市泾阳县泾干大街19号】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9.企业名称：【淳化县农村信用合作联社】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住所：【陕西省咸阳市淳化县南新街】</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10.企业名称：【礼泉县农村信用合作联社】</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住所：【陕西省咸阳市礼泉县建设路南段】</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11.企业名称：【陕西咸阳农村商业银行股份有限公司】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住所：【陕西省咸阳市秦都区文兴路智汇原8号商业楼1单元1层4号、5号、6号】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12.企业名称：【陕西长武农村商业银行股份有限公司】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住所：【陕西省咸阳市长武县城西门什字北街002号】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13.企业名称：【陕西杨凌农村商业银行股份有限公司】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住所：【陕西省杨凌示范区康乐路43号】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14.企业名称：【陕西定边农村商业银行股份有限公司】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住所：【陕西省榆林市定边县西环路体育中心对面】</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15.企业名称：【陕西府谷农村商业银行股份有限公司】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住所：【陕西省榆林市府谷县新区营盘中路】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16.企业名称：【陕西榆林农村商业银行股份有限公司】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住所：【陕西省榆林市榆阳区长城中路2号】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17.企业名称：【陕西清涧农村商业银行股份有限公司】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住所：【陕西省榆林市清涧县西城区】</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18.企业名称：【陕西神木农村商业银行股份有限公司】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住所：【陕西省榆林市神木市神木镇东兴街中段】</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19.企业名称：【陕西米脂农村商业银行股份有限公司】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住所：【陕西省榆林市米脂县迎宾大道南侧园艺路东侧】</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20.企业名称：【陕西绥德农村商业银行股份有限公司】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住所：【陕西省榆林市绥德县北门街26号】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客户服务热线：【029-96262】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21.企业名称：【江苏扬中农村商业银行股份有限公司】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住所：【扬中市扬子西路79号】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客户服务热线：【0511-96008】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22.企业名称：【江苏射阳农村商业银行股份有限公司】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住所：【江苏省盐城市射阳县合德镇解放路385号】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客户服务热线：【0515-69966666】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23.企业名称：【浙江东阳农村商业银行股份有限公司】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住所：【东阳市双岘路18号】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24.企业名称：【浙江乐清农村商业银行股份有限公司】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住所：【乐清市城南街道伯乐西路99号】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25.企业名称：【宁波余姚农村商业银行股份有限公司】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住所：【余姚市新建路69号】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26.企业名称：【宁波镇海农村商业银行股份有限公司】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住所：【宁波市镇海区骆驼街道镇海大道中段788号】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27.企业名称：【宁波宁海农村商业银行股份有限公司】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住所：【宁海县跃龙街道学勉路1号（金融中心）】</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28.企业名称：【浙江丽水莲都农村商业银行股份有限公司】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住所：【浙江丽水市解放街438号】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29.企业名称：【浙江三门农村商业银行股份有限公司】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住所：【浙江省三门县海游街道上洋路68号】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30.企业名称：【浙江衢州柯城农村商业银行股份有限公司】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住所：【浙江省上街92号】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31.企业名称：【浙江云和农村商业银行股份有限公司】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住所：【浙江省丽水市云和县浮云街道新建路72号】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32.企业名称：【浙江庆元农村商业银行股份有限公司】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住所：【浙江省丽水市庆元县濛洲街道云鹤路3号】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33.企业名称：【浙江景宁农村商业银行股份有限公司】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住所：【浙江省丽水市景宁畲族自治县红星街道人民中路201号】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34.企业名称：【浙江松阳农村商业银行股份有限公司】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住所：【浙江省丽水市松阳县水南街道要津南路71号】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35.企业名称：【浙江缙云农村商业银行股份有限公司】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住所：【浙江省丽水市缙云县五云镇新区仙都路68号】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36.企业名称：【浙江遂昌农村商业银行股份有限公司】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住所：【浙江省丽水市遂昌县妙高街道溪边路100号】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37.企业名称：【浙江龙泉农村商业银行股份有限公司】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住所：【浙江省丽水市龙泉市中山东路101号】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38.企业名称：【浙江义乌农村商业银行股份有限公司】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住所：【浙江省义乌市福田街道城北路677号】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39.企业名称：【浙江仙居农村商业银行股份有限公司】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住所：【浙江省仙居县南峰街道穿城中路21号】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40.企业名称：【浙江兰溪农村商业银行股份有限公司】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住所：【浙江省兰溪市兰江街道丹溪大道18号】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41.企业名称：【浙江临海农村商业银行股份有限公司】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住所：【浙江省台州市临海市大洋街道河阳路299号】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42.企业名称：【浙江台州椒江农村商业银行股份有限公司】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住所：【浙江省台州市椒江区工人东路322号】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43.企业名称：【浙江温岭农村商业银行股份有限公司】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住所：【浙江省台州市温岭市城东街道下保路100号】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44.企业名称：【浙江台州路桥农村商业银行股份有限公司】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住所：【浙江省台州市路桥区西路桥大道328号】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45.企业名称：【浙江台州黄岩农村商业银行股份有限公司】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住所：【浙江省台州市黄岩区洞天路88号】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46.企业名称：【浙江嘉善农村商业银行股份有限公司】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住所：【浙江省嘉兴市嘉善县罗星街道车站南路999号】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47.企业名称：【浙江桐乡农村商业银行股份有限公司】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住所：【浙江省嘉兴市桐乡市梧桐街道校场东路59号】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48.企业名称：【浙江禾城农村商业银行股份有限公司】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住所：【浙江省嘉兴市经济技术开发区文昌路1229号】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49.企业名称：【浙江天台农村商业银行股份有限公司】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住所：【浙江省天台县赤城街道飞鹤路358号】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50.企业名称：【宁波北仑农村商业银行股份有限公司】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住所：【浙江省宁波市北仑区新碶宝山路69号（凤凰国际商务广场）1幢69号、63号（凤凰国际商务广场）1幢（2-26层）】</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51.企业名称：【宁波奉化农村商业银行股份有限公司】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住所：【浙江省宁波市奉化区锦屏街道中山路27号】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52.企业名称：【宁波甬城农村商业银行股份有限公司】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住所：【浙江省宁波市江北区育才路15、17号】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53.企业名称：【浙江嵊州农村商业银行股份有限公司】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住所：【浙江省嵊州市剡湖街道官河路398号】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54.企业名称：【浙江嵊泗农村商业银行股份有限公司】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住所：【浙江省嵊泗县菜园镇沙河路110号】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55.企业名称：【浙江平湖农村商业银行股份有限公司】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住所：【浙江省平湖市当湖街道胜利路518号】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56.企业名称：【浙江平阳农村商业银行股份有限公司】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住所：【浙江省平阳县鳌江镇车站大道999号】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57.企业名称：【浙江建德农村商业银行股份有限公司】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住所：【浙江省建德市新安江街道江滨中路176号】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58.企业名称：【浙江德清农村商业银行股份有限公司】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住所：【浙江省德清县武康街道沈长圩街50号】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59.企业名称：【宁波慈溪农村商业银行股份有限公司】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住所：【浙江省慈溪市浒山街道南城路 25 号、59 号 5-6 楼】</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60.企业名称：【浙江新昌农村商业银行股份有限公司】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住所：【浙江省新昌县七星街道七星路18号】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61.企业名称：【杭州联合农村商业银行股份有限公司】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住所：【浙江省杭州市上城区建国中路99号】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62.企业名称：【浙江临安农村商业银行股份有限公司】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住所：【浙江省杭州市临安区锦城街道城中街442号】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63.企业名称：【浙江杭州余杭农村商业银行股份有限公司】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住所：【浙江省杭州市临平区南苑街道南大街72号】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64.企业名称：【浙江富阳农村商业银行股份有限公司】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住所：【浙江省杭州市富阳区鹿山街道依江路501号第1幢】</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65.企业名称：【浙江桐庐农村商业银行股份有限公司】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住所：【浙江省杭州市桐庐县城迎春南路278号】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66.企业名称：【浙江淳安农村商业银行股份有限公司】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住所：【浙江省杭州市淳安县千岛湖镇环湖北路369号】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67.企业名称：【浙江萧山农村商业银行股份有限公司】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住所：【浙江省杭州市萧山区人民路258号】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68.企业名称：【浙江武义农村商业银行股份有限公司】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住所：【浙江省武义县城武阳中路37号】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69.企业名称：【浙江江山农村商业银行股份有限公司】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住所：【浙江省江山市双塔街道江滨路188号】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70.企业名称：【浙江浦江农村商业银行股份有限公司】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住所：【浙江省浦江县人民东路90号】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71.企业名称：【浙江海宁农村商业银行股份有限公司】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住所：【浙江省海宁市海洲街道钱江西路278号】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72.企业名称：【浙江海盐农村商业银行股份有限公司】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住所：【浙江省海盐县武原街道枣园西路176号】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73.企业名称：【浙江文成农村商业银行股份有限公司】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住所：【浙江省温州市文成县大峃镇伯温路6号】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74.企业名称：【浙江永嘉农村商业银行股份有限公司】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住所：【浙江省温州市永嘉县瓯北街道阳光大道3918号101室、201室、301室、401室、501室、1101室、1801室、2201室】</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75.企业名称：【浙江泰顺农村商业银行股份有限公司】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住所：【浙江省温州市泰顺县罗阳镇新城区文祥大道181号】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76.企业名称：【浙江温州瓯海农村商业银行股份有限公司】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住所：【浙江省温州市瓯海区瓯海大道989号】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77.企业名称：【浙江温州鹿城农村商业银行股份有限公司】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住所：【浙江省温州市鹿城区会展路1500号富银大厦】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78.企业名称：【浙江温州龙湾农村商业银行股份有限公司】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住所：【浙江省温州市龙湾区永中街道永宁西路555号】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79.企业名称：【湖州吴兴农村商业银行股份有限公司】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住所：【浙江省湖州市东街55号】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80.企业名称：【浙江南浔农村商业银行股份有限公司】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住所：【浙江省湖州市南浔区南浔镇人瑞路1188号】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81.企业名称：【浙江安吉农村商业银行股份有限公司】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住所：【浙江省湖州市安吉县昌硕街道昌硕东路1号(自主申报)】</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82.企业名称：【浙江长兴农村商业银行股份有限公司】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住所：【浙江省湖州市长兴县太湖街道明珠路1298号】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83.企业名称：【浙江玉环农村商业银行股份有限公司】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住所：【浙江省玉环市玉城街道珠港大道26号】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84.企业名称：【浙江上虞农村商业银行股份有限公司】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住所：【浙江省百官街道德盛路55号】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85.企业名称：【浙江绍兴恒信农村商业银行股份有限公司】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住所：【浙江省绍兴市中兴中路159号】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86.企业名称：【浙江绍兴瑞丰农村商业银行股份有限公司】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住所：【浙江省绍兴市柯桥区柯桥笛扬路1363号】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87.企业名称：【浙江舟山定海海洋农村商业银行股份有限公司】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住所：【浙江省舟山市定海区环城东路81号】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88.企业名称：【浙江岱山农村商业银行股份有限公司】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住所：【浙江省舟山市岱山县高亭镇衢山大道1009号(自主申报)】</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89.企业名称：【浙江舟山普陀农村商业银行股份有限公司】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住所：【浙江省舟山市普陀区东港街道麒麟街225号（自贸试验区内）】</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90.企业名称：【浙江苍南农村商业银行股份有限公司】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住所：【浙江省苍南县灵溪镇人民大道425号】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91.企业名称：【浙江常山农村商业银行股份有限公司】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住所：【浙江省衢州市常山县天马街道人民路125号】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92.企业名称：【浙江开化农村商业银行股份有限公司】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住所：【浙江省衢州市开化县华埠镇永吉二路8号】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93.企业名称：【浙江衢州衢江农村商业银行股份有限公司】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住所：【浙江省衢州市衢江区樟潭街道信安东路37号】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94.企业名称：【浙江龙游农村商业银行股份有限公司】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住所：【浙江省衢州市龙游县龙洲街道荣昌大道683、685、687号】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95.企业名称：【浙江诸暨农村商业银行股份有限公司】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住所：【浙江省诸暨市暨阳街道大桥东路2号】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96.企业名称：【浙江金华成泰农村商业银行股份有限公司】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住所：【浙江省金华市八一南街123号】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97.企业名称：【浙江永康农村商业银行股份有限公司】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住所：【浙江省金华市永康市九铃东路3259号】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98.企业名称：【浙江青田农村商业银行股份有限公司】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住所：【浙江省青田县鹤城街道鹤城东路180号】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99.企业名称：【浙江瑞安农村商业银行股份有限公司】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住所：【瑞安市安阳街道万松东路148号】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客户服务热线：【0571-96596】</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100.企业名称：【张家口银行股份有限公司】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住所：【河北省张家口市桥东区胜利北路51号】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客户服务热线：【400-6896368】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101.企业名称：【江苏宜兴农村商业银行股份有限公司】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住所：【江苏省宜兴市宜城街道解放东路579号】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102.企业名称：【江苏民丰农村商业银行股份有限公司】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住所：【江苏省宿迁市宿城区高宝湖路1号】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103.企业名称：【江苏响水农村商业银行股份有限公司】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住所：【江苏省盐城市响水县双园路84号】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【C】类份额（份额代码【AF266319C】）合作销售机构信息：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1.企业名称：【中信银行股份有限公司】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住所：【北京市朝阳区光华路10号中信大厦】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客户服务热线：【95558】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【D】类份额（份额代码【AF266319D】）合作销售机构信息：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1.企业名称：【中信银行股份有限公司】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住所：【北京市朝阳区光华路10号中信大厦】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客户服务热线：【95558】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【G】类份额（份额代码【AF266319G】）合作销售机构信息：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1.企业名称：【中信银行股份有限公司】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住所：【北京市朝阳区光华路10号中信大厦】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客户服务热线：【95558】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【M】类份额（份额代码【AF266319M】）合作销售机构信息：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1.企业名称：【江苏高淳农村商业银行股份有限公司】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住所：【江苏省南京市高淳区宝塔路123号】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客户服务热线：【025-96008】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2.企业名称：【内蒙古农村商业银行股份有限公司】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住所：【内蒙古自治区呼和浩特市赛罕区陶利西街1号】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客户服务热线：【0471-96688】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3.企业名称：【江苏句容农村商业银行股份有限公司】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住所：【江苏省句容市福地东路66号】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客户服务热线：【0511-96008】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4.企业名称：【江苏建湖农村商业银行股份有限公司】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住所：【江苏省建湖县湖南中路958号】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客户服务热线：【0515-96008】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5.企业名称：【江苏阜宁农村商业银行股份有限公司】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住所：【江苏省阜宁县城南新区上海路459号】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客户服务热线：【0515-96008】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6.企业名称：【江苏泰州农村商业银行股份有限公司】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住所：【江苏省泰州市海陵区西仓路36号】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客户服务热线：【0523-96008】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7.企业名称：【温州银行股份有限公司】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住所：【浙江省温州市鹿城区会展路1316号】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客户服务热线：【0577-96699】</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8.企业名称：【鄂尔多斯银行股份有限公司】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住所：【内蒙古自治区鄂尔多斯市东胜区乌审西街6号】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客户服务热线：【4000096622】</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9.企业名称：【江苏淮安农村商业银行股份有限公司】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住所：【江苏省淮安市清江浦区水渡口大道20号金融中心B1号楼】</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【N】类份额（份额代码【AF266319N】）合作销售机构信息：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1.企业名称：【江苏涟水农村商业银行股份有限公司】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住所：【淮安市涟水县涟城镇涟州路５号】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客户服务热线：【0517-96008】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2.企业名称：【湖南银行股份有限公司】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住所：【湖南省长沙市天心区湘江中路二段210号】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客户服务热线：【0731-96599】</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3.企业名称：【内蒙古银行股份有限公司】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住所：【内蒙古自治区呼和浩特市赛罕区腾飞南路33号】</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客户服务热线：【40005-96019】</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4.企业名称：【福建海峡银行股份有限公司】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住所：【福建省福州市台江区江滨中大道358号海峡银行大厦】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客户服务热线：【4008939999】</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【S】类份额（份额代码【AF266319S】）合作销售机构信息：</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1.企业名称：【中信银行股份有限公司】</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住所：【北京市朝阳区光华路10号中信大厦】</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客户服务热线：【95558】</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 xml:space="preserve">    </w:t>
            </w:r>
            <w:r>
              <w:rPr>
                <w:rFonts w:ascii="楷体_GB2312" w:eastAsia="楷体_GB2312" w:cs="楷体_GB2312"/>
                <w:color w:val="000000" w:themeColor="text1"/>
                <w:sz w:val="20"/>
                <w:szCs w:val="20"/>
                <w:highlight w:val="none"/>
                <w14:textFill>
                  <w14:solidFill>
                    <w14:schemeClr w14:val="tx1"/>
                  </w14:solidFill>
                </w14:textFill>
              </w:rPr>
              <w:br w:type="textWrapping"/>
            </w:r>
            <w:r>
              <w:rPr>
                <w:rFonts w:ascii="楷体_GB2312" w:eastAsia="楷体_GB2312" w:cs="楷体_GB2312"/>
                <w:color w:val="000000" w:themeColor="text1"/>
                <w:sz w:val="20"/>
                <w:szCs w:val="20"/>
                <w:highlight w:val="none"/>
                <w14:textFill>
                  <w14:solidFill>
                    <w14:schemeClr w14:val="tx1"/>
                  </w14:solidFill>
                </w14:textFill>
              </w:rPr>
              <w:t>后续合作销售机构如有新增、减少和变更，信银理财将按照本说明书约定的方式告知投资者。</w:t>
            </w:r>
          </w:p>
        </w:tc>
      </w:tr>
      <w:tr w14:paraId="1F621D2B">
        <w:tblPrEx>
          <w:tblCellMar>
            <w:top w:w="0" w:type="dxa"/>
            <w:left w:w="108" w:type="dxa"/>
            <w:bottom w:w="0" w:type="dxa"/>
            <w:right w:w="108" w:type="dxa"/>
          </w:tblCellMar>
        </w:tblPrEx>
        <w:trPr>
          <w:trHeight w:val="476" w:hRule="atLeast"/>
        </w:trPr>
        <w:tc>
          <w:tcPr>
            <w:tcW w:w="2842" w:type="dxa"/>
            <w:tcBorders>
              <w:top w:val="single" w:color="auto" w:sz="4" w:space="0"/>
              <w:left w:val="single" w:color="000000" w:sz="8" w:space="0"/>
              <w:bottom w:val="single" w:color="auto" w:sz="4" w:space="0"/>
              <w:right w:val="single" w:color="auto" w:sz="4" w:space="0"/>
            </w:tcBorders>
            <w:vAlign w:val="center"/>
          </w:tcPr>
          <w:p w14:paraId="2CB23304">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境内托管机构名称</w:t>
            </w:r>
          </w:p>
        </w:tc>
        <w:tc>
          <w:tcPr>
            <w:tcW w:w="6762" w:type="dxa"/>
            <w:tcBorders>
              <w:top w:val="single" w:color="auto" w:sz="4" w:space="0"/>
              <w:left w:val="single" w:color="auto" w:sz="4" w:space="0"/>
              <w:bottom w:val="single" w:color="auto" w:sz="4" w:space="0"/>
              <w:right w:val="single" w:color="000000" w:sz="8" w:space="0"/>
            </w:tcBorders>
            <w:vAlign w:val="center"/>
          </w:tcPr>
          <w:p w14:paraId="4B5BE4B7">
            <w:pPr>
              <w:widowControl/>
              <w:spacing w:line="3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sz w:val="20"/>
                <w:szCs w:val="20"/>
                <w:highlight w:val="none"/>
              </w:rPr>
              <w:t>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p>
        </w:tc>
      </w:tr>
      <w:tr w14:paraId="3EEB386C">
        <w:tblPrEx>
          <w:tblCellMar>
            <w:top w:w="0" w:type="dxa"/>
            <w:left w:w="108" w:type="dxa"/>
            <w:bottom w:w="0" w:type="dxa"/>
            <w:right w:w="108" w:type="dxa"/>
          </w:tblCellMar>
        </w:tblPrEx>
        <w:trPr>
          <w:trHeight w:val="540" w:hRule="atLeast"/>
        </w:trPr>
        <w:tc>
          <w:tcPr>
            <w:tcW w:w="2842" w:type="dxa"/>
            <w:tcBorders>
              <w:top w:val="nil"/>
              <w:left w:val="single" w:color="000000" w:sz="8" w:space="0"/>
              <w:bottom w:val="nil"/>
              <w:right w:val="single" w:color="auto" w:sz="4" w:space="0"/>
            </w:tcBorders>
            <w:vAlign w:val="center"/>
          </w:tcPr>
          <w:p w14:paraId="5722C1AB">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销售对象</w:t>
            </w:r>
          </w:p>
        </w:tc>
        <w:tc>
          <w:tcPr>
            <w:tcW w:w="6762" w:type="dxa"/>
            <w:tcBorders>
              <w:top w:val="nil"/>
              <w:left w:val="single" w:color="auto" w:sz="4" w:space="0"/>
              <w:bottom w:val="nil"/>
              <w:right w:val="single" w:color="000000" w:sz="8" w:space="0"/>
            </w:tcBorders>
            <w:shd w:val="clear" w:color="auto" w:fill="auto"/>
            <w:vAlign w:val="center"/>
          </w:tcPr>
          <w:p w14:paraId="4B92DDA4">
            <w:pPr>
              <w:keepNext w:val="0"/>
              <w:keepLines w:val="0"/>
              <w:widowControl/>
              <w:suppressLineNumbers w:val="0"/>
              <w:jc w:val="left"/>
              <w:textAlignment w:val="center"/>
              <w:rPr>
                <w:rFonts w:hint="eastAsia"/>
                <w:highlight w:val="none"/>
                <w:lang w:val="en-US" w:eastAsia="zh-CN"/>
              </w:rPr>
            </w:pPr>
            <w:r>
              <w:rPr>
                <w:rFonts w:hint="eastAsia" w:ascii="楷体_GB2312" w:eastAsia="楷体_GB2312" w:cs="楷体_GB2312"/>
                <w:color w:val="000000" w:themeColor="text1"/>
                <w:sz w:val="20"/>
                <w:szCs w:val="20"/>
                <w:highlight w:val="none"/>
                <w14:textFill>
                  <w14:solidFill>
                    <w14:schemeClr w14:val="tx1"/>
                  </w14:solidFill>
                </w14:textFill>
              </w:rPr>
              <w:t>【个人/机构】客户</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sz w:val="20"/>
                <w:szCs w:val="20"/>
                <w:highlight w:val="none"/>
              </w:rPr>
              <w:t>适合</w:t>
            </w:r>
            <w:r>
              <w:rPr>
                <w:rFonts w:hint="eastAsia" w:ascii="楷体_GB2312" w:eastAsia="楷体_GB2312" w:cs="Times New Roman"/>
                <w:sz w:val="20"/>
                <w:szCs w:val="20"/>
                <w:highlight w:val="none"/>
              </w:rPr>
              <w:t>【稳健型】、【平衡型】、【进取型】、【激进型】</w:t>
            </w:r>
            <w:r>
              <w:rPr>
                <w:rFonts w:hint="eastAsia" w:ascii="楷体_GB2312" w:eastAsia="楷体_GB2312" w:cs="楷体_GB2312"/>
                <w:color w:val="000000"/>
                <w:sz w:val="20"/>
                <w:szCs w:val="20"/>
                <w:highlight w:val="none"/>
              </w:rPr>
              <w:t>投资者。</w:t>
            </w:r>
            <w:r>
              <w:rPr>
                <w:rFonts w:hint="eastAsia" w:ascii="楷体_GB2312" w:eastAsia="楷体_GB2312" w:cs="楷体_GB2312"/>
                <w:sz w:val="20"/>
                <w:szCs w:val="20"/>
                <w:highlight w:val="none"/>
              </w:rPr>
              <w:t>代销机构对产品的发行对象与信银理财不一致的，以代销机构为准</w:t>
            </w:r>
            <w:r>
              <w:rPr>
                <w:rFonts w:hint="eastAsia" w:ascii="楷体_GB2312" w:eastAsia="楷体_GB2312" w:cs="楷体_GB2312"/>
                <w:b w:val="0"/>
                <w:bCs w:val="0"/>
                <w:sz w:val="20"/>
                <w:szCs w:val="20"/>
                <w:highlight w:val="none"/>
                <w:lang w:eastAsia="zh-CN"/>
              </w:rPr>
              <w:t>，</w:t>
            </w:r>
            <w:r>
              <w:rPr>
                <w:rFonts w:hint="eastAsia" w:ascii="楷体_GB2312" w:eastAsia="楷体_GB2312" w:cs="楷体_GB2312"/>
                <w:b w:val="0"/>
                <w:bCs w:val="0"/>
                <w:sz w:val="20"/>
                <w:szCs w:val="20"/>
                <w:highlight w:val="none"/>
                <w:lang w:val="en-US" w:eastAsia="zh-CN"/>
              </w:rPr>
              <w:t>但不得超出上述发行对象范围</w:t>
            </w:r>
            <w:r>
              <w:rPr>
                <w:rFonts w:hint="eastAsia" w:ascii="楷体_GB2312" w:eastAsia="楷体_GB2312" w:cs="楷体_GB2312"/>
                <w:b w:val="0"/>
                <w:bCs w:val="0"/>
                <w:sz w:val="20"/>
                <w:szCs w:val="20"/>
                <w:highlight w:val="none"/>
              </w:rPr>
              <w:t>。</w:t>
            </w:r>
          </w:p>
        </w:tc>
      </w:tr>
      <w:tr w14:paraId="17C88C4E">
        <w:tblPrEx>
          <w:tblCellMar>
            <w:top w:w="0" w:type="dxa"/>
            <w:left w:w="108" w:type="dxa"/>
            <w:bottom w:w="0" w:type="dxa"/>
            <w:right w:w="108" w:type="dxa"/>
          </w:tblCellMar>
        </w:tblPrEx>
        <w:trPr>
          <w:trHeight w:val="380" w:hRule="atLeast"/>
        </w:trPr>
        <w:tc>
          <w:tcPr>
            <w:tcW w:w="9604" w:type="dxa"/>
            <w:gridSpan w:val="2"/>
            <w:tcBorders>
              <w:top w:val="single" w:color="000000" w:sz="4" w:space="0"/>
              <w:left w:val="single" w:color="000000" w:sz="8" w:space="0"/>
              <w:bottom w:val="single" w:color="000000" w:sz="4" w:space="0"/>
              <w:right w:val="single" w:color="000000" w:sz="4" w:space="0"/>
            </w:tcBorders>
            <w:vAlign w:val="center"/>
          </w:tcPr>
          <w:p w14:paraId="60E04BCB">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（二）交易规则</w:t>
            </w:r>
          </w:p>
        </w:tc>
      </w:tr>
      <w:tr w14:paraId="1803476B">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vAlign w:val="center"/>
          </w:tcPr>
          <w:p w14:paraId="03BB52D9">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募集币种</w:t>
            </w:r>
          </w:p>
        </w:tc>
        <w:tc>
          <w:tcPr>
            <w:tcW w:w="6762" w:type="dxa"/>
            <w:tcBorders>
              <w:top w:val="nil"/>
              <w:left w:val="single" w:color="auto" w:sz="4" w:space="0"/>
              <w:bottom w:val="single" w:color="auto" w:sz="4" w:space="0"/>
              <w:right w:val="single" w:color="000000" w:sz="8" w:space="0"/>
            </w:tcBorders>
            <w:vAlign w:val="center"/>
          </w:tcPr>
          <w:p w14:paraId="4465FF63">
            <w:pPr>
              <w:widowControl/>
              <w:spacing w:line="400" w:lineRule="exact"/>
              <w:jc w:val="center"/>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本产品投资与收益币种为【人民币</w:t>
            </w:r>
            <w:r>
              <w:rPr>
                <w:rFonts w:ascii="楷体_GB2312" w:eastAsia="楷体_GB2312" w:cs="楷体_GB2312"/>
                <w:color w:val="000000" w:themeColor="text1"/>
                <w:sz w:val="20"/>
                <w:szCs w:val="20"/>
                <w:highlight w:val="none"/>
                <w14:textFill>
                  <w14:solidFill>
                    <w14:schemeClr w14:val="tx1"/>
                  </w14:solidFill>
                </w14:textFill>
              </w:rPr>
              <w:t>】</w:t>
            </w:r>
          </w:p>
        </w:tc>
      </w:tr>
      <w:tr w14:paraId="59692ACD">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50D78E2A">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起点销售金额</w:t>
            </w:r>
          </w:p>
        </w:tc>
        <w:tc>
          <w:tcPr>
            <w:tcW w:w="6762" w:type="dxa"/>
            <w:tcBorders>
              <w:top w:val="single" w:color="auto" w:sz="4" w:space="0"/>
              <w:left w:val="single" w:color="auto" w:sz="4" w:space="0"/>
              <w:bottom w:val="single" w:color="auto" w:sz="4" w:space="0"/>
              <w:right w:val="single" w:color="000000" w:sz="8" w:space="0"/>
            </w:tcBorders>
            <w:vAlign w:val="center"/>
          </w:tcPr>
          <w:p w14:paraId="57F0E3B1">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sz w:val="20"/>
                <w:szCs w:val="20"/>
                <w:highlight w:val="none"/>
              </w:rPr>
              <w:t>【A】类份额初始认购金额不低于【人民币】【1】元，以【人民币】【0.01】元的整数倍增加。追加认购金额不低于【人民币】【0.01】元，以【人民币】【0.01】元的整数倍增加。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【B】类份额初始认购金额不低于【人民币】【1】元，以【人民币】【0.01】元的整数倍增加。追加认购金额不低于【人民币】【0.01】元，以【人民币】【0.01】元的整数倍增加。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【C】类份额初始认购金额不低于【人民币】【1】元，以【人民币】【0.01】元的整数倍增加。追加认购金额不低于【人民币】【0.01】元，以【人民币】【0.01】元的整数倍增加。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【D】类份额初始认购金额不低于【人民币】【100】万元，以【人民币】【0.01】元的整数倍增加。追加认购金额不低于【人民币】【0.01】元，以【人民币】【0.01】元的整数倍增加。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【G】类份额初始认购金额不低于【人民币】【1】元，以【人民币】【0.01】元的整数倍增加。追加认购金额不低于【人民币】【0.01】元，以【人民币】【0.01】元的整数倍增加。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【M】类份额初始认购金额不低于【人民币】【1】元，以【人民币】【0.01】元的整数倍增加。追加认购金额不低于【人民币】【0.01】元，以【人民币】【0.01】元的整数倍增加。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【N】类份额初始认购金额不低于【人民币】【1】元，以【人民币】【0.01】元的整数倍增加。追加认购金额不低于【人民币】【0.01】元，以【人民币】【0.01】元的整数倍增加。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【S】类份额初始认购金额不低于【人民币】【1】元，以【人民币】【0.01】元的整数倍增加。追加认购金额不低于【人民币】【0.01】元，以【人民币】【0.01】元的整数倍增加。</w:t>
            </w:r>
          </w:p>
          <w:p w14:paraId="08EA2943">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p>
          <w:p w14:paraId="632CDBBD">
            <w:pPr>
              <w:widowControl/>
              <w:spacing w:line="300" w:lineRule="exact"/>
              <w:ind w:left="-2" w:leftChars="-1" w:right="36" w:rightChars="15"/>
              <w:jc w:val="left"/>
              <w:textAlignment w:val="auto"/>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代销机构对产品的认购起点及追加认购金额的要求与信银理财不一致的，以代销机构为准，但不得低于上述对应金额。</w:t>
            </w:r>
          </w:p>
        </w:tc>
      </w:tr>
      <w:tr w14:paraId="1DC0AB00">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05206D93">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计划募集金额上限</w:t>
            </w:r>
          </w:p>
        </w:tc>
        <w:tc>
          <w:tcPr>
            <w:tcW w:w="6762" w:type="dxa"/>
            <w:tcBorders>
              <w:top w:val="single" w:color="auto" w:sz="4" w:space="0"/>
              <w:left w:val="single" w:color="auto" w:sz="4" w:space="0"/>
              <w:bottom w:val="single" w:color="auto" w:sz="4" w:space="0"/>
              <w:right w:val="single" w:color="000000" w:sz="8" w:space="0"/>
            </w:tcBorders>
            <w:vAlign w:val="center"/>
          </w:tcPr>
          <w:p w14:paraId="1A7536B6">
            <w:pPr>
              <w:spacing w:line="300" w:lineRule="exact"/>
              <w:ind w:right="36" w:rightChars="15"/>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无。</w:t>
            </w:r>
          </w:p>
        </w:tc>
      </w:tr>
      <w:tr w14:paraId="0F344F7F">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shd w:val="clear" w:color="auto" w:fill="auto"/>
            <w:vAlign w:val="center"/>
          </w:tcPr>
          <w:p w14:paraId="0B967A70">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计划募集金额下限</w:t>
            </w:r>
          </w:p>
        </w:tc>
        <w:tc>
          <w:tcPr>
            <w:tcW w:w="6762" w:type="dxa"/>
            <w:tcBorders>
              <w:top w:val="single" w:color="auto" w:sz="4" w:space="0"/>
              <w:left w:val="single" w:color="auto" w:sz="4" w:space="0"/>
              <w:bottom w:val="single" w:color="auto" w:sz="4" w:space="0"/>
              <w:right w:val="single" w:color="000000" w:sz="8" w:space="0"/>
            </w:tcBorders>
            <w:vAlign w:val="center"/>
          </w:tcPr>
          <w:p w14:paraId="14C735E6">
            <w:pPr>
              <w:spacing w:line="300" w:lineRule="exact"/>
              <w:ind w:left="-2" w:leftChars="-1" w:right="36" w:rightChars="15"/>
              <w:rPr>
                <w:rFonts w:hint="eastAsia" w:ascii="仿宋" w:hAnsi="仿宋" w:eastAsia="仿宋" w:cs="宋体"/>
                <w:bCs/>
                <w:color w:val="000000" w:themeColor="text1"/>
                <w:kern w:val="0"/>
                <w:sz w:val="24"/>
                <w:highlight w:val="none"/>
                <w:lang w:bidi="ar"/>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p>
        </w:tc>
      </w:tr>
      <w:tr w14:paraId="43B54B43">
        <w:tblPrEx>
          <w:tblCellMar>
            <w:top w:w="0" w:type="dxa"/>
            <w:left w:w="108" w:type="dxa"/>
            <w:bottom w:w="0" w:type="dxa"/>
            <w:right w:w="108" w:type="dxa"/>
          </w:tblCellMar>
        </w:tblPrEx>
        <w:trPr>
          <w:trHeight w:val="1140" w:hRule="atLeast"/>
        </w:trPr>
        <w:tc>
          <w:tcPr>
            <w:tcW w:w="2842" w:type="dxa"/>
            <w:tcBorders>
              <w:top w:val="single" w:color="auto" w:sz="4" w:space="0"/>
              <w:left w:val="single" w:color="000000" w:sz="8" w:space="0"/>
              <w:bottom w:val="nil"/>
              <w:right w:val="single" w:color="auto" w:sz="4" w:space="0"/>
            </w:tcBorders>
            <w:vAlign w:val="center"/>
          </w:tcPr>
          <w:p w14:paraId="77C8957C">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认购、申购、赎回安排</w:t>
            </w:r>
          </w:p>
        </w:tc>
        <w:tc>
          <w:tcPr>
            <w:tcW w:w="6762" w:type="dxa"/>
            <w:tcBorders>
              <w:top w:val="single" w:color="auto" w:sz="4" w:space="0"/>
              <w:left w:val="single" w:color="auto" w:sz="4" w:space="0"/>
              <w:bottom w:val="nil"/>
              <w:right w:val="single" w:color="000000" w:sz="8" w:space="0"/>
            </w:tcBorders>
            <w:vAlign w:val="center"/>
          </w:tcPr>
          <w:p w14:paraId="01C180B9">
            <w:pPr>
              <w:ind w:right="96" w:rightChars="40"/>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1.本产品募集期为</w:t>
            </w:r>
            <w:r>
              <w:rPr>
                <w:rFonts w:hint="eastAsia" w:ascii="楷体_GB2312" w:eastAsia="楷体_GB2312" w:cs="楷体_GB2312"/>
                <w:color w:val="000000" w:themeColor="text1"/>
                <w:sz w:val="20"/>
                <w:szCs w:val="20"/>
                <w:highlight w:val="none"/>
                <w14:textFill>
                  <w14:solidFill>
                    <w14:schemeClr w14:val="tx1"/>
                  </w14:solidFill>
                </w14:textFill>
              </w:rPr>
              <w:t>【2026】年【8】月【25】日至【2026】年【8】月【31】日，</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信银理财有权提前结束募集期并提前成立产品或者延长募集期。</w:t>
            </w:r>
          </w:p>
          <w:p w14:paraId="12DC9547">
            <w:pPr>
              <w:keepNext w:val="0"/>
              <w:keepLines w:val="0"/>
              <w:pageBreakBefore w:val="0"/>
              <w:widowControl/>
              <w:kinsoku/>
              <w:wordWrap/>
              <w:overflowPunct/>
              <w:topLinePunct w:val="0"/>
              <w:autoSpaceDE/>
              <w:autoSpaceDN/>
              <w:bidi w:val="0"/>
              <w:adjustRightInd/>
              <w:snapToGrid/>
              <w:spacing w:line="300" w:lineRule="exact"/>
              <w:ind w:left="0" w:leftChars="0" w:right="96" w:rightChars="40"/>
              <w:textAlignment w:val="auto"/>
              <w:rPr>
                <w:rFonts w:hint="default" w:ascii="楷体_GB2312" w:hAnsi="宋体" w:eastAsia="楷体_GB2312" w:cs="楷体_GB2312"/>
                <w:bCs w:val="0"/>
                <w:color w:val="000000" w:themeColor="text1"/>
                <w:kern w:val="0"/>
                <w:sz w:val="20"/>
                <w:szCs w:val="20"/>
                <w:highlight w:val="none"/>
                <w:lang w:val="en-US" w:eastAsia="zh-CN" w:bidi="ar"/>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2</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本产品不开放申购和赎回。</w:t>
            </w:r>
          </w:p>
        </w:tc>
      </w:tr>
      <w:tr w14:paraId="641558E5">
        <w:tblPrEx>
          <w:tblCellMar>
            <w:top w:w="0" w:type="dxa"/>
            <w:left w:w="108" w:type="dxa"/>
            <w:bottom w:w="0" w:type="dxa"/>
            <w:right w:w="108" w:type="dxa"/>
          </w:tblCellMar>
        </w:tblPrEx>
        <w:trPr>
          <w:trHeight w:val="1140" w:hRule="atLeast"/>
        </w:trPr>
        <w:tc>
          <w:tcPr>
            <w:tcW w:w="2842" w:type="dxa"/>
            <w:tcBorders>
              <w:top w:val="single" w:color="auto" w:sz="4" w:space="0"/>
              <w:left w:val="single" w:color="000000" w:sz="8" w:space="0"/>
              <w:bottom w:val="nil"/>
              <w:right w:val="single" w:color="auto" w:sz="4" w:space="0"/>
            </w:tcBorders>
            <w:vAlign w:val="center"/>
          </w:tcPr>
          <w:p w14:paraId="4E6077F5">
            <w:pPr>
              <w:widowControl/>
              <w:spacing w:line="400" w:lineRule="exact"/>
              <w:jc w:val="center"/>
              <w:textAlignment w:val="center"/>
              <w:rPr>
                <w:rFonts w:hint="eastAsia" w:ascii="仿宋_GB2312" w:hAnsi="等线" w:eastAsia="仿宋_GB2312" w:cs="仿宋_GB2312"/>
                <w:color w:val="000000" w:themeColor="text1"/>
                <w:sz w:val="24"/>
                <w:highlight w:val="none"/>
                <w:lang w:bidi="ar"/>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收益分配方式</w:t>
            </w:r>
          </w:p>
        </w:tc>
        <w:tc>
          <w:tcPr>
            <w:tcW w:w="6762" w:type="dxa"/>
            <w:tcBorders>
              <w:top w:val="single" w:color="auto" w:sz="4" w:space="0"/>
              <w:left w:val="single" w:color="auto" w:sz="4" w:space="0"/>
              <w:bottom w:val="nil"/>
              <w:right w:val="single" w:color="000000" w:sz="8" w:space="0"/>
            </w:tcBorders>
            <w:vAlign w:val="center"/>
          </w:tcPr>
          <w:p w14:paraId="5295EEB5">
            <w:pPr>
              <w:pStyle w:val="20"/>
              <w:numPr>
                <w:ilvl w:val="0"/>
                <w:numId w:val="0"/>
              </w:numPr>
              <w:spacing w:line="300" w:lineRule="exact"/>
              <w:ind w:right="96" w:rightChars="40" w:firstLine="0" w:firstLineChars="0"/>
              <w:rPr>
                <w:rFonts w:ascii="黑体" w:eastAsia="黑体" w:cs="黑体"/>
                <w:color w:val="000000" w:themeColor="text1"/>
                <w:sz w:val="20"/>
                <w:szCs w:val="20"/>
                <w:highlight w:val="none"/>
                <w14:textFill>
                  <w14:solidFill>
                    <w14:schemeClr w14:val="tx1"/>
                  </w14:solidFill>
                </w14:textFill>
              </w:rPr>
            </w:pPr>
            <w:r>
              <w:rPr>
                <w:rFonts w:hint="eastAsia" w:ascii="黑体" w:eastAsia="黑体" w:cs="黑体"/>
                <w:color w:val="000000" w:themeColor="text1"/>
                <w:sz w:val="20"/>
                <w:szCs w:val="20"/>
                <w:highlight w:val="none"/>
                <w:lang w:eastAsia="zh-CN"/>
                <w14:textFill>
                  <w14:solidFill>
                    <w14:schemeClr w14:val="tx1"/>
                  </w14:solidFill>
                </w14:textFill>
              </w:rPr>
              <w:t>（一）</w:t>
            </w:r>
            <w:r>
              <w:rPr>
                <w:rFonts w:hint="eastAsia" w:ascii="黑体" w:eastAsia="黑体" w:cs="黑体"/>
                <w:color w:val="000000" w:themeColor="text1"/>
                <w:sz w:val="20"/>
                <w:szCs w:val="20"/>
                <w:highlight w:val="none"/>
                <w14:textFill>
                  <w14:solidFill>
                    <w14:schemeClr w14:val="tx1"/>
                  </w14:solidFill>
                </w14:textFill>
              </w:rPr>
              <w:t>期间</w:t>
            </w:r>
            <w:r>
              <w:rPr>
                <w:rFonts w:ascii="黑体" w:eastAsia="黑体" w:cs="黑体"/>
                <w:color w:val="000000" w:themeColor="text1"/>
                <w:sz w:val="20"/>
                <w:szCs w:val="20"/>
                <w:highlight w:val="none"/>
                <w14:textFill>
                  <w14:solidFill>
                    <w14:schemeClr w14:val="tx1"/>
                  </w14:solidFill>
                </w14:textFill>
              </w:rPr>
              <w:t>分配</w:t>
            </w:r>
          </w:p>
          <w:p w14:paraId="7221626F">
            <w:pPr>
              <w:spacing w:line="400" w:lineRule="exact"/>
              <w:ind w:right="0" w:rightChars="0" w:firstLine="0" w:firstLineChars="0"/>
              <w:textAlignment w:val="center"/>
              <w:rPr>
                <w:rFonts w:ascii="楷体_GB2312" w:eastAsia="楷体_GB2312" w:cs="楷体_GB2312"/>
                <w:b/>
                <w:bCs/>
                <w:color w:val="000000" w:themeColor="text1"/>
                <w:sz w:val="20"/>
                <w:szCs w:val="20"/>
                <w:highlight w:val="none"/>
                <w14:textFill>
                  <w14:solidFill>
                    <w14:schemeClr w14:val="tx1"/>
                  </w14:solidFill>
                </w14:textFill>
              </w:rPr>
            </w:pPr>
            <w:r>
              <w:rPr>
                <w:rFonts w:hint="default" w:ascii="楷体_GB2312" w:eastAsia="楷体_GB2312" w:cs="楷体_GB2312"/>
                <w:b/>
                <w:bCs/>
                <w:color w:val="000000" w:themeColor="text1"/>
                <w:sz w:val="20"/>
                <w:szCs w:val="20"/>
                <w:highlight w:val="none"/>
                <w14:textFill>
                  <w14:solidFill>
                    <w14:schemeClr w14:val="tx1"/>
                  </w14:solidFill>
                </w14:textFill>
              </w:rPr>
              <w:t>无。</w:t>
            </w:r>
          </w:p>
          <w:p w14:paraId="00E441A4">
            <w:pPr>
              <w:pStyle w:val="20"/>
              <w:numPr>
                <w:ilvl w:val="0"/>
                <w:numId w:val="0"/>
              </w:numPr>
              <w:spacing w:line="300" w:lineRule="exact"/>
              <w:ind w:right="96" w:rightChars="40" w:firstLine="0" w:firstLineChars="0"/>
              <w:rPr>
                <w:rFonts w:hint="eastAsia" w:ascii="黑体" w:eastAsia="黑体" w:cs="黑体"/>
                <w:color w:val="000000" w:themeColor="text1"/>
                <w:sz w:val="20"/>
                <w:szCs w:val="20"/>
                <w:highlight w:val="none"/>
                <w:lang w:eastAsia="zh-CN"/>
                <w14:textFill>
                  <w14:solidFill>
                    <w14:schemeClr w14:val="tx1"/>
                  </w14:solidFill>
                </w14:textFill>
              </w:rPr>
            </w:pPr>
            <w:r>
              <w:rPr>
                <w:rFonts w:hint="eastAsia" w:ascii="黑体" w:eastAsia="黑体" w:cs="黑体"/>
                <w:color w:val="000000" w:themeColor="text1"/>
                <w:sz w:val="20"/>
                <w:szCs w:val="20"/>
                <w:highlight w:val="none"/>
                <w:lang w:eastAsia="zh-CN"/>
                <w14:textFill>
                  <w14:solidFill>
                    <w14:schemeClr w14:val="tx1"/>
                  </w14:solidFill>
                </w14:textFill>
              </w:rPr>
              <w:t>（二）终止分配</w:t>
            </w:r>
          </w:p>
          <w:p w14:paraId="5C47B9BA">
            <w:pPr>
              <w:keepNext w:val="0"/>
              <w:keepLines w:val="0"/>
              <w:pageBreakBefore w:val="0"/>
              <w:widowControl/>
              <w:kinsoku/>
              <w:wordWrap/>
              <w:overflowPunct/>
              <w:topLinePunct w:val="0"/>
              <w:autoSpaceDE/>
              <w:autoSpaceDN/>
              <w:bidi w:val="0"/>
              <w:adjustRightInd/>
              <w:snapToGrid/>
              <w:spacing w:line="300" w:lineRule="exact"/>
              <w:ind w:right="0" w:rightChars="0" w:firstLine="0" w:firstLineChars="0"/>
              <w:textAlignment w:val="center"/>
              <w:rPr>
                <w:rFonts w:ascii="楷体_GB2312" w:eastAsia="楷体_GB2312" w:cs="楷体_GB2312"/>
                <w:color w:val="000000" w:themeColor="text1"/>
                <w:sz w:val="20"/>
                <w:szCs w:val="20"/>
                <w:highlight w:val="none"/>
                <w14:textFill>
                  <w14:solidFill>
                    <w14:schemeClr w14:val="tx1"/>
                  </w14:solidFill>
                </w14:textFill>
              </w:rPr>
            </w:pPr>
            <w:r>
              <w:rPr>
                <w:rFonts w:hint="default" w:ascii="楷体_GB2312" w:eastAsia="楷体_GB2312" w:cs="楷体_GB2312"/>
                <w:color w:val="000000" w:themeColor="text1"/>
                <w:sz w:val="20"/>
                <w:szCs w:val="20"/>
                <w:highlight w:val="none"/>
                <w14:textFill>
                  <w14:solidFill>
                    <w14:schemeClr w14:val="tx1"/>
                  </w14:solidFill>
                </w14:textFill>
              </w:rPr>
              <w:t>本产品在扣除信银理财</w:t>
            </w:r>
            <w:r>
              <w:rPr>
                <w:rFonts w:ascii="楷体_GB2312" w:eastAsia="楷体_GB2312" w:cs="楷体_GB2312"/>
                <w:color w:val="000000" w:themeColor="text1"/>
                <w:sz w:val="20"/>
                <w:szCs w:val="20"/>
                <w:highlight w:val="none"/>
                <w14:textFill>
                  <w14:solidFill>
                    <w14:schemeClr w14:val="tx1"/>
                  </w14:solidFill>
                </w14:textFill>
              </w:rPr>
              <w:t>应收取费用</w:t>
            </w:r>
            <w:r>
              <w:rPr>
                <w:rFonts w:hint="default" w:ascii="楷体_GB2312" w:eastAsia="楷体_GB2312" w:cs="楷体_GB2312"/>
                <w:color w:val="000000" w:themeColor="text1"/>
                <w:sz w:val="20"/>
                <w:szCs w:val="20"/>
                <w:highlight w:val="none"/>
                <w14:textFill>
                  <w14:solidFill>
                    <w14:schemeClr w14:val="tx1"/>
                  </w14:solidFill>
                </w14:textFill>
              </w:rPr>
              <w:t>及其他应由产品承担的税费后的投资损益全部归属投资者。</w:t>
            </w:r>
            <w:r>
              <w:rPr>
                <w:rFonts w:hint="eastAsia" w:ascii="楷体_GB2312" w:eastAsia="楷体_GB2312" w:cs="楷体_GB2312"/>
                <w:color w:val="000000" w:themeColor="text1"/>
                <w:sz w:val="20"/>
                <w:szCs w:val="20"/>
                <w:highlight w:val="none"/>
                <w14:textFill>
                  <w14:solidFill>
                    <w14:schemeClr w14:val="tx1"/>
                  </w14:solidFill>
                </w14:textFill>
              </w:rPr>
              <w:t>投资者到期日应得资金计算公式如下：</w:t>
            </w:r>
          </w:p>
          <w:p w14:paraId="0D0CD04D">
            <w:pPr>
              <w:keepNext w:val="0"/>
              <w:keepLines w:val="0"/>
              <w:pageBreakBefore w:val="0"/>
              <w:widowControl/>
              <w:kinsoku/>
              <w:wordWrap/>
              <w:overflowPunct/>
              <w:topLinePunct w:val="0"/>
              <w:autoSpaceDE/>
              <w:autoSpaceDN/>
              <w:bidi w:val="0"/>
              <w:adjustRightInd/>
              <w:snapToGrid/>
              <w:spacing w:line="300" w:lineRule="exact"/>
              <w:ind w:right="0" w:rightChars="0" w:firstLine="0" w:firstLineChars="0"/>
              <w:textAlignment w:val="center"/>
              <w:rPr>
                <w:rFonts w:hint="eastAsia" w:ascii="楷体_GB2312" w:eastAsia="楷体_GB2312" w:cs="楷体_GB2312"/>
                <w:color w:val="000000" w:themeColor="text1"/>
                <w:sz w:val="20"/>
                <w:szCs w:val="20"/>
                <w:highlight w:val="none"/>
                <w:lang w:eastAsia="zh-CN"/>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投资者应得资金</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到期日产品可分配的总金额</w:t>
            </w:r>
            <w:r>
              <w:rPr>
                <w:rFonts w:ascii="楷体_GB2312" w:eastAsia="楷体_GB2312" w:cs="楷体_GB2312"/>
                <w:color w:val="000000" w:themeColor="text1"/>
                <w:sz w:val="20"/>
                <w:szCs w:val="20"/>
                <w:highlight w:val="none"/>
                <w14:textFill>
                  <w14:solidFill>
                    <w14:schemeClr w14:val="tx1"/>
                  </w14:solidFill>
                </w14:textFill>
              </w:rPr>
              <w:t>/产品的总份额*投资者的持有份额</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p>
          <w:p w14:paraId="65E6D8BB">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_GB2312" w:hAnsi="等线" w:eastAsia="仿宋_GB2312" w:cs="仿宋_GB2312"/>
                <w:bCs w:val="0"/>
                <w:color w:val="000000" w:themeColor="text1"/>
                <w:sz w:val="24"/>
                <w:highlight w:val="none"/>
                <w:lang w:bidi="ar"/>
                <w14:textFill>
                  <w14:solidFill>
                    <w14:schemeClr w14:val="tx1"/>
                  </w14:solidFill>
                </w14:textFill>
              </w:rPr>
            </w:pPr>
            <w:r>
              <w:rPr>
                <w:rFonts w:hint="default" w:ascii="楷体_GB2312" w:hAnsi="宋体" w:eastAsia="楷体_GB2312" w:cs="楷体_GB2312"/>
                <w:bCs w:val="0"/>
                <w:color w:val="000000" w:themeColor="text1"/>
                <w:kern w:val="0"/>
                <w:sz w:val="20"/>
                <w:szCs w:val="20"/>
                <w:highlight w:val="none"/>
                <w:lang w:val="en-US" w:eastAsia="zh-CN" w:bidi="ar"/>
                <w14:textFill>
                  <w14:solidFill>
                    <w14:schemeClr w14:val="tx1"/>
                  </w14:solidFill>
                </w14:textFill>
              </w:rPr>
              <w:t>详见《产品说明书》之“理财资金分配”</w:t>
            </w:r>
            <w:r>
              <w:rPr>
                <w:rFonts w:hint="eastAsia" w:ascii="楷体_GB2312" w:eastAsia="楷体_GB2312" w:cs="楷体_GB2312"/>
                <w:bCs w:val="0"/>
                <w:color w:val="000000" w:themeColor="text1"/>
                <w:kern w:val="0"/>
                <w:sz w:val="20"/>
                <w:szCs w:val="20"/>
                <w:highlight w:val="none"/>
                <w:lang w:val="en-US" w:eastAsia="zh-CN" w:bidi="ar"/>
                <w14:textFill>
                  <w14:solidFill>
                    <w14:schemeClr w14:val="tx1"/>
                  </w14:solidFill>
                </w14:textFill>
              </w:rPr>
              <w:t>。</w:t>
            </w:r>
          </w:p>
        </w:tc>
      </w:tr>
      <w:tr w14:paraId="7D3DD9B1">
        <w:tblPrEx>
          <w:tblCellMar>
            <w:top w:w="0" w:type="dxa"/>
            <w:left w:w="108" w:type="dxa"/>
            <w:bottom w:w="0" w:type="dxa"/>
            <w:right w:w="108" w:type="dxa"/>
          </w:tblCellMar>
        </w:tblPrEx>
        <w:trPr>
          <w:trHeight w:val="270" w:hRule="atLeast"/>
        </w:trPr>
        <w:tc>
          <w:tcPr>
            <w:tcW w:w="9604" w:type="dxa"/>
            <w:gridSpan w:val="2"/>
            <w:tcBorders>
              <w:top w:val="single" w:color="000000" w:sz="4" w:space="0"/>
              <w:left w:val="single" w:color="000000" w:sz="8" w:space="0"/>
              <w:bottom w:val="nil"/>
              <w:right w:val="single" w:color="000000" w:sz="8" w:space="0"/>
            </w:tcBorders>
            <w:vAlign w:val="center"/>
          </w:tcPr>
          <w:p w14:paraId="220036AA">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（三）产品性质与类型</w:t>
            </w:r>
          </w:p>
        </w:tc>
      </w:tr>
      <w:tr w14:paraId="5E286AC6">
        <w:tblPrEx>
          <w:tblCellMar>
            <w:top w:w="0" w:type="dxa"/>
            <w:left w:w="108" w:type="dxa"/>
            <w:bottom w:w="0" w:type="dxa"/>
            <w:right w:w="108" w:type="dxa"/>
          </w:tblCellMar>
        </w:tblPrEx>
        <w:trPr>
          <w:trHeight w:val="540" w:hRule="atLeast"/>
        </w:trPr>
        <w:tc>
          <w:tcPr>
            <w:tcW w:w="2842" w:type="dxa"/>
            <w:tcBorders>
              <w:top w:val="single" w:color="000000" w:sz="4" w:space="0"/>
              <w:left w:val="single" w:color="000000" w:sz="8" w:space="0"/>
              <w:bottom w:val="single" w:color="auto" w:sz="4" w:space="0"/>
              <w:right w:val="single" w:color="auto" w:sz="4" w:space="0"/>
            </w:tcBorders>
            <w:vAlign w:val="center"/>
          </w:tcPr>
          <w:p w14:paraId="48D55582">
            <w:pPr>
              <w:widowControl/>
              <w:spacing w:line="400" w:lineRule="exact"/>
              <w:jc w:val="center"/>
              <w:textAlignment w:val="center"/>
              <w:rPr>
                <w:rFonts w:hint="default" w:ascii="仿宋_GB2312" w:hAnsi="等线" w:eastAsia="仿宋_GB2312" w:cs="仿宋_GB2312"/>
                <w:color w:val="000000" w:themeColor="text1"/>
                <w:sz w:val="24"/>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募集方式、投资性质、运作模式</w:t>
            </w:r>
          </w:p>
        </w:tc>
        <w:tc>
          <w:tcPr>
            <w:tcW w:w="6762" w:type="dxa"/>
            <w:tcBorders>
              <w:top w:val="single" w:color="000000" w:sz="4" w:space="0"/>
              <w:left w:val="single" w:color="auto" w:sz="4" w:space="0"/>
              <w:bottom w:val="single" w:color="auto" w:sz="4" w:space="0"/>
              <w:right w:val="single" w:color="000000" w:sz="8" w:space="0"/>
            </w:tcBorders>
            <w:vAlign w:val="center"/>
          </w:tcPr>
          <w:p w14:paraId="3B3E3FF5">
            <w:pPr>
              <w:widowControl/>
              <w:spacing w:line="400" w:lineRule="exact"/>
              <w:jc w:val="center"/>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公募、【固定收益类】、封闭式</w:t>
            </w:r>
          </w:p>
        </w:tc>
      </w:tr>
      <w:tr w14:paraId="5267432C">
        <w:tblPrEx>
          <w:tblCellMar>
            <w:top w:w="0" w:type="dxa"/>
            <w:left w:w="108" w:type="dxa"/>
            <w:bottom w:w="0" w:type="dxa"/>
            <w:right w:w="108" w:type="dxa"/>
          </w:tblCellMar>
        </w:tblPrEx>
        <w:trPr>
          <w:trHeight w:val="81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0A2BC4B1">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风险等级</w:t>
            </w:r>
          </w:p>
        </w:tc>
        <w:tc>
          <w:tcPr>
            <w:tcW w:w="6762" w:type="dxa"/>
            <w:tcBorders>
              <w:top w:val="single" w:color="auto" w:sz="4" w:space="0"/>
              <w:left w:val="single" w:color="auto" w:sz="4" w:space="0"/>
              <w:bottom w:val="single" w:color="auto" w:sz="4" w:space="0"/>
              <w:right w:val="single" w:color="000000" w:sz="8" w:space="0"/>
            </w:tcBorders>
            <w:vAlign w:val="center"/>
          </w:tcPr>
          <w:p w14:paraId="3A372E36">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sz w:val="20"/>
                <w:szCs w:val="20"/>
                <w:highlight w:val="none"/>
              </w:rPr>
              <w:t>PR</w:t>
            </w:r>
            <w:r>
              <w:rPr>
                <w:rFonts w:hint="eastAsia" w:ascii="楷体_GB2312" w:eastAsia="楷体_GB2312" w:cs="楷体_GB2312"/>
                <w:sz w:val="20"/>
                <w:szCs w:val="20"/>
                <w:highlight w:val="none"/>
              </w:rPr>
              <w:t>【2】级（【稳健】</w:t>
            </w:r>
            <w:r>
              <w:rPr>
                <w:rFonts w:ascii="楷体_GB2312" w:eastAsia="楷体_GB2312" w:cs="楷体_GB2312"/>
                <w:sz w:val="20"/>
                <w:szCs w:val="20"/>
                <w:highlight w:val="none"/>
              </w:rPr>
              <w:t>型</w:t>
            </w:r>
            <w:r>
              <w:rPr>
                <w:rFonts w:hint="eastAsia" w:ascii="楷体_GB2312" w:eastAsia="楷体_GB2312" w:cs="楷体_GB2312"/>
                <w:sz w:val="20"/>
                <w:szCs w:val="20"/>
                <w:highlight w:val="none"/>
              </w:rPr>
              <w:t>）</w:t>
            </w:r>
            <w:r>
              <w:rPr>
                <w:rFonts w:hint="eastAsia" w:ascii="楷体_GB2312" w:eastAsia="楷体_GB2312" w:cs="楷体_GB2312"/>
                <w:color w:val="000000" w:themeColor="text1"/>
                <w:sz w:val="20"/>
                <w:szCs w:val="20"/>
                <w:highlight w:val="none"/>
                <w14:textFill>
                  <w14:solidFill>
                    <w14:schemeClr w14:val="tx1"/>
                  </w14:solidFill>
                </w14:textFill>
              </w:rPr>
              <w:t>。本风险分级为信银理财自行评定，仅供参考。</w:t>
            </w:r>
          </w:p>
          <w:p w14:paraId="6122E30E">
            <w:pPr>
              <w:spacing w:line="300" w:lineRule="exact"/>
              <w:ind w:left="-2" w:leftChars="-1" w:right="36" w:rightChars="15"/>
              <w:rPr>
                <w:rFonts w:hint="default"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信银理财有权根据市场变化对产品风险等级进行调整，</w:t>
            </w:r>
            <w:r>
              <w:rPr>
                <w:rFonts w:ascii="楷体_GB2312" w:eastAsia="楷体_GB2312" w:cs="楷体_GB2312"/>
                <w:color w:val="000000" w:themeColor="text1"/>
                <w:sz w:val="20"/>
                <w:szCs w:val="20"/>
                <w:highlight w:val="none"/>
                <w14:textFill>
                  <w14:solidFill>
                    <w14:schemeClr w14:val="tx1"/>
                  </w14:solidFill>
                </w14:textFill>
              </w:rPr>
              <w:t>并最迟于调整生效前</w:t>
            </w:r>
            <w:r>
              <w:rPr>
                <w:rFonts w:hint="eastAsia" w:ascii="楷体_GB2312" w:eastAsia="楷体_GB2312" w:cs="楷体_GB2312"/>
                <w:color w:val="000000" w:themeColor="text1"/>
                <w:sz w:val="20"/>
                <w:szCs w:val="20"/>
                <w:highlight w:val="none"/>
                <w14:textFill>
                  <w14:solidFill>
                    <w14:schemeClr w14:val="tx1"/>
                  </w14:solidFill>
                </w14:textFill>
              </w:rPr>
              <w:t>【2</w:t>
            </w:r>
            <w:r>
              <w:rPr>
                <w:rFonts w:ascii="楷体_GB2312" w:eastAsia="楷体_GB2312" w:cs="楷体_GB2312"/>
                <w:color w:val="000000" w:themeColor="text1"/>
                <w:sz w:val="20"/>
                <w:szCs w:val="20"/>
                <w:highlight w:val="none"/>
                <w14:textFill>
                  <w14:solidFill>
                    <w14:schemeClr w14:val="tx1"/>
                  </w14:solidFill>
                </w14:textFill>
              </w:rPr>
              <w:t>】个工作日</w:t>
            </w:r>
            <w:r>
              <w:rPr>
                <w:rFonts w:hint="eastAsia" w:ascii="楷体_GB2312" w:eastAsia="楷体_GB2312" w:cs="楷体_GB2312"/>
                <w:color w:val="000000" w:themeColor="text1"/>
                <w:sz w:val="20"/>
                <w:szCs w:val="20"/>
                <w:highlight w:val="none"/>
                <w14:textFill>
                  <w14:solidFill>
                    <w14:schemeClr w14:val="tx1"/>
                  </w14:solidFill>
                </w14:textFill>
              </w:rPr>
              <w:t>以</w:t>
            </w:r>
            <w:r>
              <w:rPr>
                <w:rFonts w:ascii="楷体_GB2312" w:eastAsia="楷体_GB2312" w:cs="楷体_GB2312"/>
                <w:color w:val="000000" w:themeColor="text1"/>
                <w:sz w:val="20"/>
                <w:szCs w:val="20"/>
                <w:highlight w:val="none"/>
                <w14:textFill>
                  <w14:solidFill>
                    <w14:schemeClr w14:val="tx1"/>
                  </w14:solidFill>
                </w14:textFill>
              </w:rPr>
              <w:t>本说明书约定的方式</w:t>
            </w:r>
            <w:r>
              <w:rPr>
                <w:rFonts w:hint="eastAsia" w:ascii="楷体_GB2312" w:eastAsia="楷体_GB2312" w:cs="楷体_GB2312"/>
                <w:color w:val="000000" w:themeColor="text1"/>
                <w:sz w:val="20"/>
                <w:szCs w:val="20"/>
                <w:highlight w:val="none"/>
                <w14:textFill>
                  <w14:solidFill>
                    <w14:schemeClr w14:val="tx1"/>
                  </w14:solidFill>
                </w14:textFill>
              </w:rPr>
              <w:t>向投资者发布相关信息</w:t>
            </w:r>
            <w:r>
              <w:rPr>
                <w:rFonts w:ascii="楷体_GB2312" w:eastAsia="楷体_GB2312" w:cs="楷体_GB2312"/>
                <w:color w:val="000000" w:themeColor="text1"/>
                <w:sz w:val="20"/>
                <w:szCs w:val="20"/>
                <w:highlight w:val="none"/>
                <w14:textFill>
                  <w14:solidFill>
                    <w14:schemeClr w14:val="tx1"/>
                  </w14:solidFill>
                </w14:textFill>
              </w:rPr>
              <w:t>。</w:t>
            </w:r>
          </w:p>
          <w:p w14:paraId="4C256A2E">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产品通过代销机构销售的，代销机构将</w:t>
            </w:r>
            <w:r>
              <w:rPr>
                <w:rFonts w:hint="eastAsia" w:ascii="楷体_GB2312" w:eastAsia="楷体_GB2312" w:cs="楷体_GB2312"/>
                <w:color w:val="000000" w:themeColor="text1"/>
                <w:sz w:val="20"/>
                <w:szCs w:val="20"/>
                <w:highlight w:val="none"/>
                <w14:textFill>
                  <w14:solidFill>
                    <w14:schemeClr w14:val="tx1"/>
                  </w14:solidFill>
                </w14:textFill>
              </w:rPr>
              <w:t>对</w:t>
            </w:r>
            <w:r>
              <w:rPr>
                <w:rFonts w:ascii="楷体_GB2312" w:eastAsia="楷体_GB2312" w:cs="楷体_GB2312"/>
                <w:color w:val="000000" w:themeColor="text1"/>
                <w:sz w:val="20"/>
                <w:szCs w:val="20"/>
                <w:highlight w:val="none"/>
                <w14:textFill>
                  <w14:solidFill>
                    <w14:schemeClr w14:val="tx1"/>
                  </w14:solidFill>
                </w14:textFill>
              </w:rPr>
              <w:t>理财产品进行风险评级</w:t>
            </w:r>
            <w:r>
              <w:rPr>
                <w:rFonts w:hint="eastAsia" w:ascii="楷体_GB2312" w:eastAsia="楷体_GB2312" w:cs="楷体_GB2312"/>
                <w:color w:val="000000" w:themeColor="text1"/>
                <w:sz w:val="20"/>
                <w:szCs w:val="20"/>
                <w:highlight w:val="none"/>
                <w14:textFill>
                  <w14:solidFill>
                    <w14:schemeClr w14:val="tx1"/>
                  </w14:solidFill>
                </w14:textFill>
              </w:rPr>
              <w:t>并</w:t>
            </w:r>
            <w:r>
              <w:rPr>
                <w:rFonts w:ascii="楷体_GB2312" w:eastAsia="楷体_GB2312" w:cs="楷体_GB2312"/>
                <w:color w:val="000000" w:themeColor="text1"/>
                <w:sz w:val="20"/>
                <w:szCs w:val="20"/>
                <w:highlight w:val="none"/>
                <w14:textFill>
                  <w14:solidFill>
                    <w14:schemeClr w14:val="tx1"/>
                  </w14:solidFill>
                </w14:textFill>
              </w:rPr>
              <w:t>对投资者进行风险</w:t>
            </w:r>
            <w:r>
              <w:rPr>
                <w:rFonts w:hint="eastAsia" w:ascii="楷体_GB2312" w:eastAsia="楷体_GB2312" w:cs="楷体_GB2312"/>
                <w:color w:val="000000" w:themeColor="text1"/>
                <w:sz w:val="20"/>
                <w:szCs w:val="20"/>
                <w:highlight w:val="none"/>
                <w14:textFill>
                  <w14:solidFill>
                    <w14:schemeClr w14:val="tx1"/>
                  </w14:solidFill>
                </w14:textFill>
              </w:rPr>
              <w:t>承受能力</w:t>
            </w:r>
            <w:r>
              <w:rPr>
                <w:rFonts w:ascii="楷体_GB2312" w:eastAsia="楷体_GB2312" w:cs="楷体_GB2312"/>
                <w:color w:val="000000" w:themeColor="text1"/>
                <w:sz w:val="20"/>
                <w:szCs w:val="20"/>
                <w:highlight w:val="none"/>
                <w14:textFill>
                  <w14:solidFill>
                    <w14:schemeClr w14:val="tx1"/>
                  </w14:solidFill>
                </w14:textFill>
              </w:rPr>
              <w:t>测评</w:t>
            </w:r>
            <w:r>
              <w:rPr>
                <w:rFonts w:hint="eastAsia"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b/>
                <w:bCs/>
                <w:color w:val="000000" w:themeColor="text1"/>
                <w:sz w:val="20"/>
                <w:szCs w:val="20"/>
                <w:highlight w:val="none"/>
                <w14:textFill>
                  <w14:solidFill>
                    <w14:schemeClr w14:val="tx1"/>
                  </w14:solidFill>
                </w14:textFill>
              </w:rPr>
              <w:t>理财产品评级应当以代销机构最终披露的评级结果为准</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代销</w:t>
            </w:r>
            <w:r>
              <w:rPr>
                <w:rFonts w:ascii="楷体_GB2312" w:eastAsia="楷体_GB2312" w:cs="楷体_GB2312"/>
                <w:color w:val="000000" w:themeColor="text1"/>
                <w:sz w:val="20"/>
                <w:szCs w:val="20"/>
                <w:highlight w:val="none"/>
                <w14:textFill>
                  <w14:solidFill>
                    <w14:schemeClr w14:val="tx1"/>
                  </w14:solidFill>
                </w14:textFill>
              </w:rPr>
              <w:t>机构对</w:t>
            </w:r>
            <w:r>
              <w:rPr>
                <w:rFonts w:hint="eastAsia" w:ascii="楷体_GB2312" w:eastAsia="楷体_GB2312" w:cs="楷体_GB2312"/>
                <w:color w:val="000000" w:themeColor="text1"/>
                <w:sz w:val="20"/>
                <w:szCs w:val="20"/>
                <w:highlight w:val="none"/>
                <w14:textFill>
                  <w14:solidFill>
                    <w14:schemeClr w14:val="tx1"/>
                  </w14:solidFill>
                </w14:textFill>
              </w:rPr>
              <w:t>产品的</w:t>
            </w:r>
            <w:r>
              <w:rPr>
                <w:rFonts w:ascii="楷体_GB2312" w:eastAsia="楷体_GB2312" w:cs="楷体_GB2312"/>
                <w:color w:val="000000" w:themeColor="text1"/>
                <w:sz w:val="20"/>
                <w:szCs w:val="20"/>
                <w:highlight w:val="none"/>
                <w14:textFill>
                  <w14:solidFill>
                    <w14:schemeClr w14:val="tx1"/>
                  </w14:solidFill>
                </w14:textFill>
              </w:rPr>
              <w:t>风险</w:t>
            </w:r>
            <w:r>
              <w:rPr>
                <w:rFonts w:hint="eastAsia" w:ascii="楷体_GB2312" w:eastAsia="楷体_GB2312" w:cs="楷体_GB2312"/>
                <w:color w:val="000000" w:themeColor="text1"/>
                <w:sz w:val="20"/>
                <w:szCs w:val="20"/>
                <w:highlight w:val="none"/>
                <w14:textFill>
                  <w14:solidFill>
                    <w14:schemeClr w14:val="tx1"/>
                  </w14:solidFill>
                </w14:textFill>
              </w:rPr>
              <w:t>评级</w:t>
            </w:r>
            <w:r>
              <w:rPr>
                <w:rFonts w:ascii="楷体_GB2312" w:eastAsia="楷体_GB2312" w:cs="楷体_GB2312"/>
                <w:color w:val="000000" w:themeColor="text1"/>
                <w:sz w:val="20"/>
                <w:szCs w:val="20"/>
                <w:highlight w:val="none"/>
                <w14:textFill>
                  <w14:solidFill>
                    <w14:schemeClr w14:val="tx1"/>
                  </w14:solidFill>
                </w14:textFill>
              </w:rPr>
              <w:t>结果与信银理财不一致的，将采用对应较高风险</w:t>
            </w:r>
            <w:r>
              <w:rPr>
                <w:rFonts w:hint="eastAsia" w:ascii="楷体_GB2312" w:eastAsia="楷体_GB2312" w:cs="楷体_GB2312"/>
                <w:color w:val="000000" w:themeColor="text1"/>
                <w:sz w:val="20"/>
                <w:szCs w:val="20"/>
                <w:highlight w:val="none"/>
                <w14:textFill>
                  <w14:solidFill>
                    <w14:schemeClr w14:val="tx1"/>
                  </w14:solidFill>
                </w14:textFill>
              </w:rPr>
              <w:t>等级</w:t>
            </w:r>
            <w:r>
              <w:rPr>
                <w:rFonts w:ascii="楷体_GB2312" w:eastAsia="楷体_GB2312" w:cs="楷体_GB2312"/>
                <w:color w:val="000000" w:themeColor="text1"/>
                <w:sz w:val="20"/>
                <w:szCs w:val="20"/>
                <w:highlight w:val="none"/>
                <w14:textFill>
                  <w14:solidFill>
                    <w14:schemeClr w14:val="tx1"/>
                  </w14:solidFill>
                </w14:textFill>
              </w:rPr>
              <w:t>的评级结果。</w:t>
            </w:r>
            <w:r>
              <w:rPr>
                <w:rFonts w:hint="eastAsia" w:ascii="仿宋_GB2312" w:hAnsi="等线" w:eastAsia="仿宋_GB2312" w:cs="仿宋_GB2312"/>
                <w:bCs/>
                <w:color w:val="000000" w:themeColor="text1"/>
                <w:kern w:val="0"/>
                <w:sz w:val="24"/>
                <w:highlight w:val="none"/>
                <w:lang w:bidi="ar"/>
                <w14:textFill>
                  <w14:solidFill>
                    <w14:schemeClr w14:val="tx1"/>
                  </w14:solidFill>
                </w14:textFill>
              </w:rPr>
              <w:br w:type="textWrapping"/>
            </w:r>
            <w:r>
              <w:rPr>
                <w:rFonts w:hint="default" w:ascii="楷体_GB2312" w:hAnsi="宋体" w:eastAsia="楷体_GB2312" w:cs="楷体_GB2312"/>
                <w:b/>
                <w:bCs/>
                <w:color w:val="000000" w:themeColor="text1"/>
                <w:kern w:val="0"/>
                <w:sz w:val="20"/>
                <w:szCs w:val="20"/>
                <w:highlight w:val="none"/>
                <w:lang w:bidi="ar"/>
                <w14:textFill>
                  <w14:solidFill>
                    <w14:schemeClr w14:val="tx1"/>
                  </w14:solidFill>
                </w14:textFill>
              </w:rPr>
              <w:t>（重要提示：该等级为理财产品发行机构评定结果，该产品通过代理销售机构渠道销售的，理财产品评级应当以代理销售机构最终披露的评级结果为准。）</w:t>
            </w:r>
          </w:p>
        </w:tc>
      </w:tr>
      <w:tr w14:paraId="60459D73">
        <w:tblPrEx>
          <w:tblCellMar>
            <w:top w:w="0" w:type="dxa"/>
            <w:left w:w="108" w:type="dxa"/>
            <w:bottom w:w="0" w:type="dxa"/>
            <w:right w:w="108" w:type="dxa"/>
          </w:tblCellMar>
        </w:tblPrEx>
        <w:trPr>
          <w:trHeight w:val="90" w:hRule="atLeast"/>
        </w:trPr>
        <w:tc>
          <w:tcPr>
            <w:tcW w:w="2842" w:type="dxa"/>
            <w:tcBorders>
              <w:top w:val="single" w:color="auto" w:sz="4" w:space="0"/>
              <w:left w:val="single" w:color="auto" w:sz="4" w:space="0"/>
              <w:bottom w:val="nil"/>
              <w:right w:val="single" w:color="auto" w:sz="4" w:space="0"/>
            </w:tcBorders>
            <w:vAlign w:val="center"/>
          </w:tcPr>
          <w:p w14:paraId="5E88CE5E">
            <w:pPr>
              <w:widowControl/>
              <w:spacing w:line="400" w:lineRule="exact"/>
              <w:jc w:val="center"/>
              <w:textAlignment w:val="center"/>
              <w:rPr>
                <w:rFonts w:hint="eastAsia" w:ascii="仿宋_GB2312" w:hAnsi="等线" w:eastAsia="仿宋_GB2312" w:cs="仿宋_GB2312"/>
                <w:color w:val="000000" w:themeColor="text1"/>
                <w:kern w:val="0"/>
                <w:sz w:val="24"/>
                <w:highlight w:val="none"/>
                <w:lang w:bidi="ar"/>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是否为现金管理类产品</w:t>
            </w:r>
          </w:p>
        </w:tc>
        <w:tc>
          <w:tcPr>
            <w:tcW w:w="6762" w:type="dxa"/>
            <w:tcBorders>
              <w:top w:val="single" w:color="auto" w:sz="4" w:space="0"/>
              <w:left w:val="single" w:color="auto" w:sz="4" w:space="0"/>
              <w:bottom w:val="nil"/>
              <w:right w:val="single" w:color="auto" w:sz="4" w:space="0"/>
            </w:tcBorders>
            <w:shd w:val="clear" w:color="auto" w:fill="auto"/>
            <w:vAlign w:val="center"/>
          </w:tcPr>
          <w:p w14:paraId="4161CEC1">
            <w:pPr>
              <w:keepNext w:val="0"/>
              <w:keepLines w:val="0"/>
              <w:widowControl/>
              <w:suppressLineNumbers w:val="0"/>
              <w:jc w:val="center"/>
              <w:textAlignment w:val="center"/>
              <w:rPr>
                <w:rFonts w:hint="eastAsia"/>
                <w:highlight w:val="none"/>
                <w:lang w:val="en-US" w:eastAsia="zh-CN"/>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否</w:t>
            </w:r>
          </w:p>
        </w:tc>
      </w:tr>
      <w:tr w14:paraId="0D2B6945">
        <w:tblPrEx>
          <w:tblCellMar>
            <w:top w:w="0" w:type="dxa"/>
            <w:left w:w="108" w:type="dxa"/>
            <w:bottom w:w="0" w:type="dxa"/>
            <w:right w:w="108" w:type="dxa"/>
          </w:tblCellMar>
        </w:tblPrEx>
        <w:trPr>
          <w:trHeight w:val="270" w:hRule="atLeast"/>
        </w:trPr>
        <w:tc>
          <w:tcPr>
            <w:tcW w:w="9604" w:type="dxa"/>
            <w:gridSpan w:val="2"/>
            <w:tcBorders>
              <w:top w:val="single" w:color="auto" w:sz="4" w:space="0"/>
              <w:left w:val="single" w:color="auto" w:sz="4" w:space="0"/>
              <w:bottom w:val="single" w:color="auto" w:sz="4" w:space="0"/>
              <w:right w:val="single" w:color="auto" w:sz="4" w:space="0"/>
            </w:tcBorders>
            <w:vAlign w:val="center"/>
          </w:tcPr>
          <w:p w14:paraId="69B62EB9">
            <w:pPr>
              <w:widowControl/>
              <w:spacing w:line="400" w:lineRule="exact"/>
              <w:jc w:val="center"/>
              <w:textAlignment w:val="center"/>
              <w:rPr>
                <w:rFonts w:hint="eastAsia" w:ascii="楷体_GB2312" w:hAnsi="等线" w:eastAsia="楷体_GB2312" w:cs="楷体_GB2312"/>
                <w:bCs/>
                <w:color w:val="000000" w:themeColor="text1"/>
                <w:sz w:val="24"/>
                <w:highlight w:val="none"/>
                <w14:textFill>
                  <w14:solidFill>
                    <w14:schemeClr w14:val="tx1"/>
                  </w14:solidFill>
                </w14:textFill>
              </w:rPr>
            </w:pPr>
            <w:r>
              <w:rPr>
                <w:rFonts w:hint="eastAsia" w:ascii="楷体_GB2312" w:hAnsi="等线" w:eastAsia="楷体_GB2312" w:cs="楷体_GB2312"/>
                <w:b/>
                <w:color w:val="000000" w:themeColor="text1"/>
                <w:kern w:val="0"/>
                <w:sz w:val="24"/>
                <w:highlight w:val="none"/>
                <w:lang w:bidi="ar"/>
                <w14:textFill>
                  <w14:solidFill>
                    <w14:schemeClr w14:val="tx1"/>
                  </w14:solidFill>
                </w14:textFill>
              </w:rPr>
              <w:t>（四）产品期限</w:t>
            </w:r>
          </w:p>
        </w:tc>
      </w:tr>
      <w:tr w14:paraId="3829C006">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vAlign w:val="center"/>
          </w:tcPr>
          <w:p w14:paraId="55722B6C">
            <w:pPr>
              <w:widowControl/>
              <w:spacing w:line="56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募集</w:t>
            </w: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期</w:t>
            </w:r>
          </w:p>
        </w:tc>
        <w:tc>
          <w:tcPr>
            <w:tcW w:w="6762" w:type="dxa"/>
            <w:tcBorders>
              <w:top w:val="nil"/>
              <w:left w:val="single" w:color="auto" w:sz="4" w:space="0"/>
              <w:bottom w:val="single" w:color="auto" w:sz="4" w:space="0"/>
              <w:right w:val="single" w:color="000000" w:sz="8" w:space="0"/>
            </w:tcBorders>
            <w:vAlign w:val="center"/>
          </w:tcPr>
          <w:p w14:paraId="17F8A049">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【2026】年【8】月【25】日至【2026】年【8】月【31】日</w:t>
            </w:r>
          </w:p>
        </w:tc>
      </w:tr>
      <w:tr w14:paraId="235593F7">
        <w:tblPrEx>
          <w:tblCellMar>
            <w:top w:w="0" w:type="dxa"/>
            <w:left w:w="108" w:type="dxa"/>
            <w:bottom w:w="0" w:type="dxa"/>
            <w:right w:w="108" w:type="dxa"/>
          </w:tblCellMar>
        </w:tblPrEx>
        <w:trPr>
          <w:trHeight w:val="9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505C5453">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产品成立日期</w:t>
            </w:r>
          </w:p>
        </w:tc>
        <w:tc>
          <w:tcPr>
            <w:tcW w:w="6762" w:type="dxa"/>
            <w:tcBorders>
              <w:top w:val="single" w:color="auto" w:sz="4" w:space="0"/>
              <w:left w:val="single" w:color="auto" w:sz="4" w:space="0"/>
              <w:bottom w:val="single" w:color="auto" w:sz="4" w:space="0"/>
              <w:right w:val="single" w:color="000000" w:sz="8" w:space="0"/>
            </w:tcBorders>
            <w:vAlign w:val="center"/>
          </w:tcPr>
          <w:p w14:paraId="011BD20B">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Times New Roman" w:eastAsia="楷体_GB2312" w:cs="Times New Roman"/>
                <w:color w:val="000000" w:themeColor="text1"/>
                <w:sz w:val="20"/>
                <w:szCs w:val="20"/>
                <w:highlight w:val="none"/>
                <w14:textFill>
                  <w14:solidFill>
                    <w14:schemeClr w14:val="tx1"/>
                  </w14:solidFill>
                </w14:textFill>
              </w:rPr>
              <w:t>【2026】年【9】月【1】日</w:t>
            </w:r>
          </w:p>
        </w:tc>
      </w:tr>
      <w:tr w14:paraId="2E4F5724">
        <w:tblPrEx>
          <w:tblCellMar>
            <w:top w:w="0" w:type="dxa"/>
            <w:left w:w="108" w:type="dxa"/>
            <w:bottom w:w="0" w:type="dxa"/>
            <w:right w:w="108" w:type="dxa"/>
          </w:tblCellMar>
        </w:tblPrEx>
        <w:trPr>
          <w:trHeight w:val="54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251A2567">
            <w:pPr>
              <w:widowControl/>
              <w:spacing w:line="560" w:lineRule="exact"/>
              <w:jc w:val="center"/>
              <w:textAlignment w:val="center"/>
              <w:rPr>
                <w:rFonts w:hint="default"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产品到期日期</w:t>
            </w: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/产品终止日期</w:t>
            </w:r>
          </w:p>
        </w:tc>
        <w:tc>
          <w:tcPr>
            <w:tcW w:w="6762" w:type="dxa"/>
            <w:tcBorders>
              <w:top w:val="single" w:color="auto" w:sz="4" w:space="0"/>
              <w:left w:val="single" w:color="auto" w:sz="4" w:space="0"/>
              <w:bottom w:val="single" w:color="auto" w:sz="4" w:space="0"/>
              <w:right w:val="single" w:color="000000" w:sz="8" w:space="0"/>
            </w:tcBorders>
            <w:vAlign w:val="center"/>
          </w:tcPr>
          <w:p w14:paraId="7719A802">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【2027】年【3】月【17】日</w:t>
            </w:r>
            <w:r>
              <w:rPr>
                <w:rFonts w:hint="eastAsia" w:ascii="楷体_GB2312" w:eastAsia="楷体_GB2312" w:cs="楷体_GB2312"/>
                <w:color w:val="000000" w:themeColor="text1"/>
                <w:sz w:val="20"/>
                <w:szCs w:val="20"/>
                <w:highlight w:val="none"/>
                <w14:textFill>
                  <w14:solidFill>
                    <w14:schemeClr w14:val="tx1"/>
                  </w14:solidFill>
                </w14:textFill>
              </w:rPr>
              <w:t>（受运作</w:t>
            </w:r>
            <w:r>
              <w:rPr>
                <w:rFonts w:ascii="楷体_GB2312" w:eastAsia="楷体_GB2312" w:cs="楷体_GB2312"/>
                <w:color w:val="000000" w:themeColor="text1"/>
                <w:sz w:val="20"/>
                <w:szCs w:val="20"/>
                <w:highlight w:val="none"/>
                <w14:textFill>
                  <w14:solidFill>
                    <w14:schemeClr w14:val="tx1"/>
                  </w14:solidFill>
                </w14:textFill>
              </w:rPr>
              <w:t>起始</w:t>
            </w:r>
            <w:r>
              <w:rPr>
                <w:rFonts w:hint="eastAsia" w:ascii="楷体_GB2312" w:eastAsia="楷体_GB2312" w:cs="楷体_GB2312"/>
                <w:color w:val="000000" w:themeColor="text1"/>
                <w:sz w:val="20"/>
                <w:szCs w:val="20"/>
                <w:highlight w:val="none"/>
                <w14:textFill>
                  <w14:solidFill>
                    <w14:schemeClr w14:val="tx1"/>
                  </w14:solidFill>
                </w14:textFill>
              </w:rPr>
              <w:t>日、提前终止条款等约束，遇非工作日则顺延至下一工作日）</w:t>
            </w:r>
          </w:p>
        </w:tc>
      </w:tr>
      <w:tr w14:paraId="26F2B111">
        <w:tblPrEx>
          <w:tblCellMar>
            <w:top w:w="0" w:type="dxa"/>
            <w:left w:w="108" w:type="dxa"/>
            <w:bottom w:w="0" w:type="dxa"/>
            <w:right w:w="108" w:type="dxa"/>
          </w:tblCellMar>
        </w:tblPrEx>
        <w:trPr>
          <w:trHeight w:val="473" w:hRule="atLeast"/>
        </w:trPr>
        <w:tc>
          <w:tcPr>
            <w:tcW w:w="2842" w:type="dxa"/>
            <w:tcBorders>
              <w:top w:val="single" w:color="auto" w:sz="4" w:space="0"/>
              <w:left w:val="single" w:color="000000" w:sz="8" w:space="0"/>
              <w:bottom w:val="single" w:color="auto" w:sz="4" w:space="0"/>
              <w:right w:val="single" w:color="auto" w:sz="4" w:space="0"/>
            </w:tcBorders>
            <w:vAlign w:val="center"/>
          </w:tcPr>
          <w:p w14:paraId="34CECC6E">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资金到账日</w:t>
            </w:r>
          </w:p>
        </w:tc>
        <w:tc>
          <w:tcPr>
            <w:tcW w:w="6762" w:type="dxa"/>
            <w:tcBorders>
              <w:top w:val="single" w:color="auto" w:sz="4" w:space="0"/>
              <w:left w:val="single" w:color="auto" w:sz="4" w:space="0"/>
              <w:bottom w:val="single" w:color="auto" w:sz="4" w:space="0"/>
              <w:right w:val="single" w:color="auto" w:sz="4" w:space="0"/>
            </w:tcBorders>
            <w:vAlign w:val="center"/>
          </w:tcPr>
          <w:p w14:paraId="7C857551">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到期日</w:t>
            </w:r>
            <w:r>
              <w:rPr>
                <w:rFonts w:hint="eastAsia" w:ascii="楷体_GB2312" w:eastAsia="楷体_GB2312" w:cs="楷体_GB2312"/>
                <w:color w:val="000000" w:themeColor="text1"/>
                <w:sz w:val="20"/>
                <w:szCs w:val="20"/>
                <w:highlight w:val="none"/>
                <w14:textFill>
                  <w14:solidFill>
                    <w14:schemeClr w14:val="tx1"/>
                  </w14:solidFill>
                </w14:textFill>
              </w:rPr>
              <w:t>后【5】个工作日内</w:t>
            </w:r>
          </w:p>
        </w:tc>
      </w:tr>
      <w:tr w14:paraId="0F287ABF">
        <w:tblPrEx>
          <w:tblCellMar>
            <w:top w:w="0" w:type="dxa"/>
            <w:left w:w="108" w:type="dxa"/>
            <w:bottom w:w="0" w:type="dxa"/>
            <w:right w:w="108" w:type="dxa"/>
          </w:tblCellMar>
        </w:tblPrEx>
        <w:trPr>
          <w:trHeight w:val="165" w:hRule="atLeast"/>
        </w:trPr>
        <w:tc>
          <w:tcPr>
            <w:tcW w:w="2842" w:type="dxa"/>
            <w:tcBorders>
              <w:top w:val="single" w:color="auto" w:sz="4" w:space="0"/>
              <w:left w:val="single" w:color="000000" w:sz="8" w:space="0"/>
              <w:bottom w:val="nil"/>
              <w:right w:val="single" w:color="auto" w:sz="4" w:space="0"/>
            </w:tcBorders>
            <w:vAlign w:val="center"/>
          </w:tcPr>
          <w:p w14:paraId="09F112CA">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投资周期</w:t>
            </w:r>
          </w:p>
        </w:tc>
        <w:tc>
          <w:tcPr>
            <w:tcW w:w="6762" w:type="dxa"/>
            <w:tcBorders>
              <w:top w:val="single" w:color="auto" w:sz="4" w:space="0"/>
              <w:left w:val="single" w:color="auto" w:sz="4" w:space="0"/>
              <w:bottom w:val="nil"/>
              <w:right w:val="single" w:color="000000" w:sz="8" w:space="0"/>
            </w:tcBorders>
            <w:vAlign w:val="center"/>
          </w:tcPr>
          <w:p w14:paraId="006A7573">
            <w:pPr>
              <w:widowControl/>
              <w:spacing w:line="400" w:lineRule="exact"/>
              <w:jc w:val="left"/>
              <w:textAlignment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本理财产品的产品期限为【197】天，到期日为【2027】年【3】月【17】日（受运作起始日、提前终止条款等约束，遇非工作日则顺延至下一工作日）。</w:t>
            </w:r>
          </w:p>
        </w:tc>
      </w:tr>
      <w:tr w14:paraId="6B75A11A">
        <w:tblPrEx>
          <w:tblCellMar>
            <w:top w:w="0" w:type="dxa"/>
            <w:left w:w="108" w:type="dxa"/>
            <w:bottom w:w="0" w:type="dxa"/>
            <w:right w:w="108" w:type="dxa"/>
          </w:tblCellMar>
        </w:tblPrEx>
        <w:trPr>
          <w:trHeight w:val="270" w:hRule="atLeast"/>
        </w:trPr>
        <w:tc>
          <w:tcPr>
            <w:tcW w:w="9604" w:type="dxa"/>
            <w:gridSpan w:val="2"/>
            <w:tcBorders>
              <w:top w:val="single" w:color="000000" w:sz="4" w:space="0"/>
              <w:left w:val="single" w:color="000000" w:sz="8" w:space="0"/>
              <w:bottom w:val="single" w:color="000000" w:sz="4" w:space="0"/>
              <w:right w:val="single" w:color="000000" w:sz="4" w:space="0"/>
            </w:tcBorders>
            <w:vAlign w:val="center"/>
          </w:tcPr>
          <w:p w14:paraId="1EF9AD2F">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（五）产品费用</w:t>
            </w:r>
          </w:p>
        </w:tc>
      </w:tr>
      <w:tr w14:paraId="39F23E1A">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shd w:val="clear" w:color="auto" w:fill="auto"/>
            <w:vAlign w:val="center"/>
          </w:tcPr>
          <w:p w14:paraId="72FC4293">
            <w:pPr>
              <w:widowControl/>
              <w:spacing w:line="400" w:lineRule="exact"/>
              <w:jc w:val="center"/>
              <w:textAlignment w:val="center"/>
              <w:rPr>
                <w:rFonts w:hint="eastAsia" w:ascii="Times New Roman" w:hAnsi="宋体" w:eastAsia="楷体_GB2312" w:cs="楷体_GB2312"/>
                <w:color w:val="000000" w:themeColor="text1"/>
                <w:sz w:val="20"/>
                <w:szCs w:val="20"/>
                <w:highlight w:val="none"/>
                <w:lang w:val="en-US" w:eastAsia="zh-CN" w:bidi="ar-SA"/>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销售服务费率（年化）</w:t>
            </w:r>
          </w:p>
        </w:tc>
        <w:tc>
          <w:tcPr>
            <w:tcW w:w="6762" w:type="dxa"/>
            <w:tcBorders>
              <w:top w:val="nil"/>
              <w:left w:val="single" w:color="auto" w:sz="4" w:space="0"/>
              <w:bottom w:val="single" w:color="auto" w:sz="4" w:space="0"/>
              <w:right w:val="single" w:color="000000" w:sz="8" w:space="0"/>
            </w:tcBorders>
            <w:shd w:val="clear" w:color="auto" w:fill="auto"/>
            <w:vAlign w:val="center"/>
          </w:tcPr>
          <w:p w14:paraId="3A8C407E">
            <w:pPr>
              <w:widowControl/>
              <w:spacing w:line="400" w:lineRule="exact"/>
              <w:jc w:val="left"/>
              <w:textAlignment w:val="cente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A】类份额费率【0.15%】/年，【B】类份额费率【0.15%】/年，【C】类份额费率【0.05%】/年，【D】类份额费率【0.10%】/年，【G】类份额费率【0.10%】/年，【M】类份额费率【0.20%】/年，【N】类份额费率【0.30%】/年，【S】类份额费率【0.10%】/年。</w:t>
            </w:r>
          </w:p>
        </w:tc>
      </w:tr>
      <w:tr w14:paraId="5AEE31BA">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shd w:val="clear" w:color="auto" w:fill="auto"/>
            <w:vAlign w:val="center"/>
          </w:tcPr>
          <w:p w14:paraId="52EBD4AB">
            <w:pPr>
              <w:widowControl/>
              <w:spacing w:line="400" w:lineRule="exact"/>
              <w:jc w:val="center"/>
              <w:textAlignment w:val="center"/>
              <w:rPr>
                <w:rFonts w:hint="eastAsia" w:ascii="Times New Roman" w:hAnsi="宋体" w:eastAsia="楷体_GB2312" w:cs="楷体_GB2312"/>
                <w:color w:val="000000" w:themeColor="text1"/>
                <w:sz w:val="20"/>
                <w:szCs w:val="20"/>
                <w:highlight w:val="none"/>
                <w:lang w:val="en-US" w:eastAsia="zh-CN" w:bidi="ar-SA"/>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托管费率（年化）</w:t>
            </w:r>
          </w:p>
        </w:tc>
        <w:tc>
          <w:tcPr>
            <w:tcW w:w="6762" w:type="dxa"/>
            <w:tcBorders>
              <w:top w:val="nil"/>
              <w:left w:val="single" w:color="auto" w:sz="4" w:space="0"/>
              <w:bottom w:val="single" w:color="auto" w:sz="4" w:space="0"/>
              <w:right w:val="single" w:color="000000" w:sz="8" w:space="0"/>
            </w:tcBorders>
            <w:shd w:val="clear" w:color="auto" w:fill="auto"/>
            <w:vAlign w:val="center"/>
          </w:tcPr>
          <w:p w14:paraId="57F79624">
            <w:pPr>
              <w:widowControl/>
              <w:spacing w:line="400" w:lineRule="exact"/>
              <w:jc w:val="left"/>
              <w:textAlignment w:val="cente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费率【0.05%】/年。</w:t>
            </w:r>
          </w:p>
        </w:tc>
      </w:tr>
      <w:tr w14:paraId="06251F24">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shd w:val="clear" w:color="auto" w:fill="auto"/>
            <w:vAlign w:val="center"/>
          </w:tcPr>
          <w:p w14:paraId="1378A5B0">
            <w:pPr>
              <w:widowControl/>
              <w:spacing w:line="400" w:lineRule="exact"/>
              <w:jc w:val="center"/>
              <w:textAlignment w:val="center"/>
              <w:rPr>
                <w:rFonts w:hint="eastAsia" w:ascii="Times New Roman" w:hAnsi="宋体" w:eastAsia="楷体_GB2312" w:cs="楷体_GB2312"/>
                <w:color w:val="000000" w:themeColor="text1"/>
                <w:sz w:val="20"/>
                <w:szCs w:val="20"/>
                <w:highlight w:val="none"/>
                <w:lang w:val="en-US" w:eastAsia="zh-CN" w:bidi="ar-SA"/>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固定管理费率（年化）</w:t>
            </w:r>
          </w:p>
        </w:tc>
        <w:tc>
          <w:tcPr>
            <w:tcW w:w="6762" w:type="dxa"/>
            <w:tcBorders>
              <w:top w:val="nil"/>
              <w:left w:val="single" w:color="auto" w:sz="4" w:space="0"/>
              <w:bottom w:val="single" w:color="auto" w:sz="4" w:space="0"/>
              <w:right w:val="single" w:color="000000" w:sz="8" w:space="0"/>
            </w:tcBorders>
            <w:shd w:val="clear" w:color="auto" w:fill="auto"/>
            <w:vAlign w:val="center"/>
          </w:tcPr>
          <w:p w14:paraId="55E9E06E">
            <w:pPr>
              <w:widowControl/>
              <w:spacing w:line="400" w:lineRule="exact"/>
              <w:jc w:val="left"/>
              <w:textAlignment w:val="cente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费率【0.15%】/年。</w:t>
            </w:r>
          </w:p>
        </w:tc>
      </w:tr>
      <w:tr w14:paraId="43E44467">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shd w:val="clear" w:color="auto" w:fill="auto"/>
            <w:vAlign w:val="center"/>
          </w:tcPr>
          <w:p w14:paraId="082A026E">
            <w:pPr>
              <w:widowControl/>
              <w:spacing w:line="400" w:lineRule="exact"/>
              <w:jc w:val="center"/>
              <w:textAlignment w:val="center"/>
              <w:rPr>
                <w:rFonts w:hint="eastAsia" w:ascii="Times New Roman" w:hAnsi="宋体" w:eastAsia="楷体_GB2312" w:cs="楷体_GB2312"/>
                <w:color w:val="000000" w:themeColor="text1"/>
                <w:sz w:val="20"/>
                <w:szCs w:val="20"/>
                <w:highlight w:val="none"/>
                <w:lang w:val="en-US" w:eastAsia="zh-CN" w:bidi="ar-SA"/>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浮动管理费</w:t>
            </w:r>
          </w:p>
        </w:tc>
        <w:tc>
          <w:tcPr>
            <w:tcW w:w="6762" w:type="dxa"/>
            <w:tcBorders>
              <w:top w:val="nil"/>
              <w:left w:val="single" w:color="auto" w:sz="4" w:space="0"/>
              <w:bottom w:val="single" w:color="auto" w:sz="4" w:space="0"/>
              <w:right w:val="single" w:color="000000" w:sz="8" w:space="0"/>
            </w:tcBorders>
            <w:shd w:val="clear" w:color="auto" w:fill="auto"/>
            <w:vAlign w:val="center"/>
          </w:tcPr>
          <w:p w14:paraId="662F2615">
            <w:pPr>
              <w:widowControl/>
              <w:spacing w:line="400" w:lineRule="exact"/>
              <w:jc w:val="left"/>
              <w:textAlignment w:val="cente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【A】类份额设立业绩比较基准，在产品到期日或提前终止日时，如计提浮动管理费前年化收益率超过【2.15%】的，管理人将收取超额部分的【50%】作为浮动管理费。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【B】类份额设立业绩比较基准，在产品到期日或提前终止日时，如计提浮动管理费前年化收益率超过【2.15%】的，管理人将收取超额部分的【50%】作为浮动管理费。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【C】类份额设立业绩比较基准，在产品到期日或提前终止日时，如计提浮动管理费前年化收益率超过【2.25%】的，管理人将收取超额部分的【50%】作为浮动管理费。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【D】类份额设立业绩比较基准，在产品到期日或提前终止日时，如计提浮动管理费前年化收益率超过【2.20%】的，管理人将收取超额部分的【50%】作为浮动管理费。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【G】类份额设立业绩比较基准，在产品到期日或提前终止日时，如计提浮动管理费前年化收益率超过【2.20%】的，管理人将收取超额部分的【50%】作为浮动管理费。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【M】类份额设立业绩比较基准，在产品到期日或提前终止日时，如计提浮动管理费前年化收益率超过【2.10%】的，管理人将收取超额部分的【50%】作为浮动管理费。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【N】类份额设立业绩比较基准，在产品到期日或提前终止日时，如计提浮动管理费前年化收益率超过【2.00%】的，管理人将收取超额部分的【50%】作为浮动管理费。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br w:type="textWrapping"/>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【S】类份额设立业绩比较基准，在产品到期日或提前终止日时，如计提浮动管理费前年化收益率超过【2.20%】的，管理人将收取超额部分的【50%】作为浮动管理费。</w:t>
            </w:r>
          </w:p>
        </w:tc>
      </w:tr>
      <w:tr w14:paraId="7EDFBBEE">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shd w:val="clear" w:color="auto" w:fill="auto"/>
            <w:vAlign w:val="center"/>
          </w:tcPr>
          <w:p w14:paraId="5B780C6C">
            <w:pPr>
              <w:widowControl/>
              <w:spacing w:line="400" w:lineRule="exact"/>
              <w:jc w:val="center"/>
              <w:textAlignment w:val="center"/>
              <w:rPr>
                <w:rFonts w:hint="default" w:ascii="Times New Roman" w:hAnsi="宋体" w:eastAsia="楷体_GB2312" w:cs="楷体_GB2312"/>
                <w:color w:val="000000" w:themeColor="text1"/>
                <w:sz w:val="20"/>
                <w:szCs w:val="20"/>
                <w:highlight w:val="none"/>
                <w:lang w:val="en-US" w:eastAsia="zh-CN" w:bidi="ar-SA"/>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认购费率</w:t>
            </w:r>
          </w:p>
        </w:tc>
        <w:tc>
          <w:tcPr>
            <w:tcW w:w="6762" w:type="dxa"/>
            <w:tcBorders>
              <w:top w:val="nil"/>
              <w:left w:val="single" w:color="auto" w:sz="4" w:space="0"/>
              <w:bottom w:val="single" w:color="auto" w:sz="4" w:space="0"/>
              <w:right w:val="single" w:color="000000" w:sz="8" w:space="0"/>
            </w:tcBorders>
            <w:shd w:val="clear" w:color="auto" w:fill="auto"/>
            <w:vAlign w:val="center"/>
          </w:tcPr>
          <w:p w14:paraId="3DE19F23">
            <w:pPr>
              <w:widowControl/>
              <w:spacing w:line="400" w:lineRule="exact"/>
              <w:jc w:val="left"/>
              <w:textAlignment w:val="cente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A】类份额不收取认购费，【B】类份额不收取认购费，【C】类份额不收取认购费，【D】类份额不收取认购费，【G】类份额不收取认购费，【M】类份额不收取认购费，【N】类份额不收取认购费，【S】类份额不收取认购费。</w:t>
            </w:r>
          </w:p>
        </w:tc>
      </w:tr>
      <w:tr w14:paraId="624B56EC">
        <w:tblPrEx>
          <w:tblCellMar>
            <w:top w:w="0" w:type="dxa"/>
            <w:left w:w="108" w:type="dxa"/>
            <w:bottom w:w="0" w:type="dxa"/>
            <w:right w:w="108" w:type="dxa"/>
          </w:tblCellMar>
        </w:tblPrEx>
        <w:trPr>
          <w:trHeight w:val="540" w:hRule="atLeast"/>
        </w:trPr>
        <w:tc>
          <w:tcPr>
            <w:tcW w:w="2842" w:type="dxa"/>
            <w:tcBorders>
              <w:top w:val="nil"/>
              <w:left w:val="single" w:color="000000" w:sz="8" w:space="0"/>
              <w:bottom w:val="single" w:color="auto" w:sz="4" w:space="0"/>
              <w:right w:val="single" w:color="auto" w:sz="4" w:space="0"/>
            </w:tcBorders>
            <w:shd w:val="clear" w:color="auto" w:fill="auto"/>
            <w:vAlign w:val="center"/>
          </w:tcPr>
          <w:p w14:paraId="59BD570D">
            <w:pPr>
              <w:widowControl/>
              <w:spacing w:line="400" w:lineRule="exact"/>
              <w:jc w:val="center"/>
              <w:textAlignment w:val="center"/>
              <w:rPr>
                <w:rFonts w:hint="eastAsia" w:ascii="Times New Roman"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信息技术服务费</w:t>
            </w:r>
          </w:p>
        </w:tc>
        <w:tc>
          <w:tcPr>
            <w:tcW w:w="6762" w:type="dxa"/>
            <w:tcBorders>
              <w:top w:val="nil"/>
              <w:left w:val="single" w:color="auto" w:sz="4" w:space="0"/>
              <w:bottom w:val="single" w:color="auto" w:sz="4" w:space="0"/>
              <w:right w:val="single" w:color="000000" w:sz="8" w:space="0"/>
            </w:tcBorders>
            <w:shd w:val="clear" w:color="auto" w:fill="auto"/>
            <w:vAlign w:val="center"/>
          </w:tcPr>
          <w:p w14:paraId="3C91BF9A">
            <w:pPr>
              <w:widowControl/>
              <w:spacing w:line="400" w:lineRule="exact"/>
              <w:jc w:val="left"/>
              <w:textAlignment w:val="cente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b/>
                <w:color w:val="000000" w:themeColor="text1"/>
                <w:sz w:val="20"/>
                <w:szCs w:val="20"/>
                <w:highlight w:val="none"/>
                <w14:textFill>
                  <w14:solidFill>
                    <w14:schemeClr w14:val="tx1"/>
                  </w14:solidFill>
                </w14:textFill>
              </w:rPr>
              <w:t>费率【0.002%】/年</w:t>
            </w:r>
            <w:r>
              <w:rPr>
                <w:rFonts w:hint="eastAsia" w:ascii="楷体_GB2312" w:eastAsia="楷体_GB2312" w:cs="楷体_GB2312"/>
                <w:b/>
                <w:color w:val="000000" w:themeColor="text1"/>
                <w:sz w:val="20"/>
                <w:szCs w:val="20"/>
                <w:highlight w:val="none"/>
                <w:lang w:eastAsia="zh-CN"/>
                <w14:textFill>
                  <w14:solidFill>
                    <w14:schemeClr w14:val="tx1"/>
                  </w14:solidFill>
                </w14:textFill>
              </w:rPr>
              <w:t>。</w:t>
            </w:r>
          </w:p>
        </w:tc>
      </w:tr>
      <w:tr w14:paraId="3799BB25">
        <w:tblPrEx>
          <w:tblCellMar>
            <w:top w:w="0" w:type="dxa"/>
            <w:left w:w="108" w:type="dxa"/>
            <w:bottom w:w="0" w:type="dxa"/>
            <w:right w:w="108" w:type="dxa"/>
          </w:tblCellMar>
        </w:tblPrEx>
        <w:trPr>
          <w:trHeight w:val="540" w:hRule="atLeast"/>
        </w:trPr>
        <w:tc>
          <w:tcPr>
            <w:tcW w:w="2842" w:type="dxa"/>
            <w:tcBorders>
              <w:top w:val="nil"/>
              <w:left w:val="single" w:color="000000" w:sz="8" w:space="0"/>
              <w:bottom w:val="nil"/>
              <w:right w:val="single" w:color="auto" w:sz="4" w:space="0"/>
            </w:tcBorders>
            <w:vAlign w:val="center"/>
          </w:tcPr>
          <w:p w14:paraId="1AB24D68">
            <w:pPr>
              <w:widowControl/>
              <w:spacing w:line="400" w:lineRule="exact"/>
              <w:jc w:val="center"/>
              <w:textAlignment w:val="center"/>
              <w:rPr>
                <w:rFonts w:hint="default" w:ascii="仿宋_GB2312" w:hAnsi="等线" w:eastAsia="楷体_GB2312" w:cs="仿宋_GB2312"/>
                <w:color w:val="000000" w:themeColor="text1"/>
                <w:sz w:val="24"/>
                <w:highlight w:val="none"/>
                <w:lang w:val="en-US" w:eastAsia="zh-CN"/>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其他费用说明</w:t>
            </w:r>
          </w:p>
        </w:tc>
        <w:tc>
          <w:tcPr>
            <w:tcW w:w="6762" w:type="dxa"/>
            <w:tcBorders>
              <w:top w:val="nil"/>
              <w:left w:val="single" w:color="auto" w:sz="4" w:space="0"/>
              <w:bottom w:val="nil"/>
              <w:right w:val="single" w:color="000000" w:sz="8" w:space="0"/>
            </w:tcBorders>
            <w:vAlign w:val="center"/>
          </w:tcPr>
          <w:p w14:paraId="4B51C8CF">
            <w:pPr>
              <w:snapToGrid w:val="0"/>
              <w:spacing w:line="300" w:lineRule="exact"/>
              <w:ind w:left="0" w:leftChars="0" w:right="53" w:rightChars="22"/>
              <w:jc w:val="left"/>
              <w:outlineLvl w:val="0"/>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本产品的费用包括认购费、销售服务费、托管费、固定管理费、浮动管理费</w:t>
            </w:r>
            <w:r>
              <w:rPr>
                <w:rFonts w:hint="eastAsia" w:ascii="楷体_GB2312" w:eastAsia="楷体_GB2312" w:cs="楷体_GB2312"/>
                <w:b/>
                <w:color w:val="000000" w:themeColor="text1"/>
                <w:sz w:val="20"/>
                <w:szCs w:val="20"/>
                <w:highlight w:val="none"/>
                <w:lang w:eastAsia="zh-CN"/>
                <w14:textFill>
                  <w14:solidFill>
                    <w14:schemeClr w14:val="tx1"/>
                  </w14:solidFill>
                </w14:textFill>
              </w:rPr>
              <w:t>、</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信息技术服务费</w:t>
            </w:r>
            <w:r>
              <w:rPr>
                <w:rFonts w:ascii="楷体_GB2312" w:eastAsia="楷体_GB2312" w:cs="楷体_GB2312"/>
                <w:b/>
                <w:color w:val="000000" w:themeColor="text1"/>
                <w:sz w:val="20"/>
                <w:szCs w:val="20"/>
                <w:highlight w:val="none"/>
                <w14:textFill>
                  <w14:solidFill>
                    <w14:schemeClr w14:val="tx1"/>
                  </w14:solidFill>
                </w14:textFill>
              </w:rPr>
              <w:t>，产品运作和清算中产生的其他资金汇划费、结算费、交易手续费、注册登记费、信息披露费、账户服务费、审计费、律师费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highlight w:val="none"/>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highlight w:val="none"/>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highlight w:val="none"/>
                <w14:textFill>
                  <w14:solidFill>
                    <w14:schemeClr w14:val="tx1"/>
                  </w14:solidFill>
                </w14:textFill>
              </w:rPr>
              <w:t>，按照实际发生时列支</w:t>
            </w:r>
            <w:r>
              <w:rPr>
                <w:rFonts w:ascii="楷体_GB2312" w:eastAsia="楷体_GB2312" w:cs="楷体_GB2312"/>
                <w:b/>
                <w:color w:val="000000" w:themeColor="text1"/>
                <w:sz w:val="20"/>
                <w:szCs w:val="20"/>
                <w:highlight w:val="none"/>
                <w14:textFill>
                  <w14:solidFill>
                    <w14:schemeClr w14:val="tx1"/>
                  </w14:solidFill>
                </w14:textFill>
              </w:rPr>
              <w:t>。管理人因管理、运营理财产品发生的税费</w:t>
            </w:r>
            <w:r>
              <w:rPr>
                <w:rFonts w:ascii="楷体_GB2312" w:eastAsia="楷体_GB2312"/>
                <w:b/>
                <w:color w:val="000000" w:themeColor="text1"/>
                <w:sz w:val="20"/>
                <w:szCs w:val="20"/>
                <w:highlight w:val="none"/>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highlight w:val="none"/>
                <w14:textFill>
                  <w14:solidFill>
                    <w14:schemeClr w14:val="tx1"/>
                  </w14:solidFill>
                </w14:textFill>
              </w:rPr>
              <w:t>由产品资产承担。法律法规另有规定时从其规定。</w:t>
            </w:r>
          </w:p>
          <w:p w14:paraId="0812BFCA">
            <w:pPr>
              <w:snapToGrid w:val="0"/>
              <w:spacing w:line="300" w:lineRule="exact"/>
              <w:ind w:right="53" w:rightChars="22"/>
              <w:jc w:val="left"/>
              <w:outlineLvl w:val="0"/>
              <w:rPr>
                <w:rFonts w:ascii="楷体_GB2312" w:eastAsia="楷体_GB2312" w:cs="楷体_GB2312"/>
                <w:b/>
                <w:color w:val="000000" w:themeColor="text1"/>
                <w:sz w:val="20"/>
                <w:szCs w:val="20"/>
                <w:highlight w:val="none"/>
                <w14:textFill>
                  <w14:solidFill>
                    <w14:schemeClr w14:val="tx1"/>
                  </w14:solidFill>
                </w14:textFill>
              </w:rPr>
            </w:pPr>
          </w:p>
          <w:p w14:paraId="73C0B242">
            <w:pPr>
              <w:snapToGrid w:val="0"/>
              <w:spacing w:line="300" w:lineRule="exact"/>
              <w:ind w:right="53" w:rightChars="22"/>
              <w:jc w:val="left"/>
              <w:outlineLvl w:val="0"/>
              <w:rPr>
                <w:rFonts w:ascii="楷体_GB2312" w:eastAsia="楷体_GB2312"/>
                <w:b/>
                <w:color w:val="000000" w:themeColor="text1"/>
                <w:sz w:val="20"/>
                <w:szCs w:val="20"/>
                <w:highlight w:val="none"/>
                <w14:textFill>
                  <w14:solidFill>
                    <w14:schemeClr w14:val="tx1"/>
                  </w14:solidFill>
                </w14:textFill>
              </w:rPr>
            </w:pPr>
            <w:r>
              <w:rPr>
                <w:rFonts w:hint="eastAsia" w:ascii="楷体_GB2312" w:eastAsia="楷体_GB2312" w:cs="楷体_GB2312"/>
                <w:b/>
                <w:color w:val="000000" w:themeColor="text1"/>
                <w:sz w:val="20"/>
                <w:szCs w:val="20"/>
                <w:highlight w:val="none"/>
                <w14:textFill>
                  <w14:solidFill>
                    <w14:schemeClr w14:val="tx1"/>
                  </w14:solidFill>
                </w14:textFill>
              </w:rPr>
              <w:t>以上项费用</w:t>
            </w:r>
            <w:r>
              <w:rPr>
                <w:rFonts w:ascii="楷体_GB2312" w:eastAsia="楷体_GB2312" w:cs="楷体_GB2312"/>
                <w:b/>
                <w:color w:val="000000" w:themeColor="text1"/>
                <w:sz w:val="20"/>
                <w:szCs w:val="20"/>
                <w:highlight w:val="none"/>
                <w14:textFill>
                  <w14:solidFill>
                    <w14:schemeClr w14:val="tx1"/>
                  </w14:solidFill>
                </w14:textFill>
              </w:rPr>
              <w:t>金额均</w:t>
            </w:r>
            <w:r>
              <w:rPr>
                <w:rFonts w:hint="eastAsia" w:ascii="楷体_GB2312" w:eastAsia="楷体_GB2312" w:cs="楷体_GB2312"/>
                <w:b/>
                <w:color w:val="000000" w:themeColor="text1"/>
                <w:sz w:val="20"/>
                <w:szCs w:val="20"/>
                <w:highlight w:val="none"/>
                <w14:textFill>
                  <w14:solidFill>
                    <w14:schemeClr w14:val="tx1"/>
                  </w14:solidFill>
                </w14:textFill>
              </w:rPr>
              <w:t>四舍五入</w:t>
            </w:r>
            <w:r>
              <w:rPr>
                <w:rFonts w:ascii="楷体_GB2312" w:eastAsia="楷体_GB2312" w:cs="楷体_GB2312"/>
                <w:b/>
                <w:color w:val="000000" w:themeColor="text1"/>
                <w:sz w:val="20"/>
                <w:szCs w:val="20"/>
                <w:highlight w:val="none"/>
                <w14:textFill>
                  <w14:solidFill>
                    <w14:schemeClr w14:val="tx1"/>
                  </w14:solidFill>
                </w14:textFill>
              </w:rPr>
              <w:t>保留小数点后</w:t>
            </w:r>
            <w:r>
              <w:rPr>
                <w:rFonts w:hint="eastAsia" w:ascii="楷体_GB2312" w:eastAsia="楷体_GB2312" w:cs="楷体_GB2312"/>
                <w:b/>
                <w:color w:val="000000" w:themeColor="text1"/>
                <w:sz w:val="20"/>
                <w:szCs w:val="20"/>
                <w:highlight w:val="none"/>
                <w14:textFill>
                  <w14:solidFill>
                    <w14:schemeClr w14:val="tx1"/>
                  </w14:solidFill>
                </w14:textFill>
              </w:rPr>
              <w:t>【</w:t>
            </w:r>
            <w:r>
              <w:rPr>
                <w:rFonts w:ascii="楷体_GB2312" w:eastAsia="楷体_GB2312" w:cs="楷体_GB2312"/>
                <w:b/>
                <w:color w:val="000000" w:themeColor="text1"/>
                <w:sz w:val="20"/>
                <w:szCs w:val="20"/>
                <w:highlight w:val="none"/>
                <w14:textFill>
                  <w14:solidFill>
                    <w14:schemeClr w14:val="tx1"/>
                  </w14:solidFill>
                </w14:textFill>
              </w:rPr>
              <w:t>2】位。</w:t>
            </w:r>
          </w:p>
          <w:p w14:paraId="2D3C1839">
            <w:pPr>
              <w:keepNext w:val="0"/>
              <w:keepLines w:val="0"/>
              <w:pageBreakBefore w:val="0"/>
              <w:widowControl/>
              <w:kinsoku/>
              <w:wordWrap/>
              <w:overflowPunct/>
              <w:topLinePunct w:val="0"/>
              <w:autoSpaceDE/>
              <w:autoSpaceDN/>
              <w:bidi w:val="0"/>
              <w:adjustRightInd/>
              <w:snapToGrid w:val="0"/>
              <w:spacing w:line="300" w:lineRule="exact"/>
              <w:ind w:right="53" w:rightChars="22"/>
              <w:jc w:val="left"/>
              <w:textAlignment w:val="auto"/>
              <w:outlineLvl w:val="0"/>
              <w:rPr>
                <w:rFonts w:hint="eastAsia" w:ascii="仿宋_GB2312" w:hAnsi="等线" w:eastAsia="仿宋_GB2312" w:cs="仿宋_GB2312"/>
                <w:bCs/>
                <w:color w:val="000000" w:themeColor="text1"/>
                <w:sz w:val="24"/>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具体请参见本说明书“</w:t>
            </w:r>
            <w:r>
              <w:rPr>
                <w:rFonts w:hint="eastAsia" w:ascii="黑体" w:eastAsia="黑体" w:cs="黑体"/>
                <w:b/>
                <w:color w:val="000000" w:themeColor="text1"/>
                <w:sz w:val="20"/>
                <w:szCs w:val="20"/>
                <w:highlight w:val="none"/>
                <w14:textFill>
                  <w14:solidFill>
                    <w14:schemeClr w14:val="tx1"/>
                  </w14:solidFill>
                </w14:textFill>
              </w:rPr>
              <w:t>理财产品的费用</w:t>
            </w:r>
            <w:r>
              <w:rPr>
                <w:rFonts w:ascii="楷体_GB2312" w:eastAsia="楷体_GB2312" w:cs="楷体_GB2312"/>
                <w:b/>
                <w:color w:val="000000" w:themeColor="text1"/>
                <w:sz w:val="20"/>
                <w:szCs w:val="20"/>
                <w:highlight w:val="none"/>
                <w14:textFill>
                  <w14:solidFill>
                    <w14:schemeClr w14:val="tx1"/>
                  </w14:solidFill>
                </w14:textFill>
              </w:rPr>
              <w:t>”部分。</w:t>
            </w:r>
          </w:p>
        </w:tc>
      </w:tr>
      <w:tr w14:paraId="2B3B7A05">
        <w:tblPrEx>
          <w:tblCellMar>
            <w:top w:w="0" w:type="dxa"/>
            <w:left w:w="108" w:type="dxa"/>
            <w:bottom w:w="0" w:type="dxa"/>
            <w:right w:w="108" w:type="dxa"/>
          </w:tblCellMar>
        </w:tblPrEx>
        <w:trPr>
          <w:trHeight w:val="270" w:hRule="atLeast"/>
        </w:trPr>
        <w:tc>
          <w:tcPr>
            <w:tcW w:w="9604" w:type="dxa"/>
            <w:gridSpan w:val="2"/>
            <w:tcBorders>
              <w:top w:val="single" w:color="000000" w:sz="4" w:space="0"/>
              <w:left w:val="single" w:color="000000" w:sz="8" w:space="0"/>
              <w:bottom w:val="single" w:color="auto" w:sz="4" w:space="0"/>
              <w:right w:val="single" w:color="000000" w:sz="8" w:space="0"/>
            </w:tcBorders>
            <w:vAlign w:val="center"/>
          </w:tcPr>
          <w:p w14:paraId="26627BFE">
            <w:pPr>
              <w:widowControl/>
              <w:spacing w:line="400" w:lineRule="exact"/>
              <w:jc w:val="center"/>
              <w:textAlignment w:val="center"/>
              <w:rPr>
                <w:rFonts w:hint="eastAsia" w:ascii="楷体_GB2312" w:hAnsi="等线" w:eastAsia="楷体_GB2312" w:cs="楷体_GB2312"/>
                <w:b/>
                <w:bCs/>
                <w:color w:val="000000" w:themeColor="text1"/>
                <w:sz w:val="24"/>
                <w:highlight w:val="none"/>
                <w14:textFill>
                  <w14:solidFill>
                    <w14:schemeClr w14:val="tx1"/>
                  </w14:solidFill>
                </w14:textFill>
              </w:rPr>
            </w:pPr>
            <w:r>
              <w:rPr>
                <w:rFonts w:hint="eastAsia" w:ascii="楷体_GB2312" w:hAnsi="等线" w:eastAsia="楷体_GB2312" w:cs="楷体_GB2312"/>
                <w:b/>
                <w:bCs/>
                <w:color w:val="000000" w:themeColor="text1"/>
                <w:kern w:val="0"/>
                <w:sz w:val="24"/>
                <w:highlight w:val="none"/>
                <w:lang w:bidi="ar"/>
                <w14:textFill>
                  <w14:solidFill>
                    <w14:schemeClr w14:val="tx1"/>
                  </w14:solidFill>
                </w14:textFill>
              </w:rPr>
              <w:t>（六）业绩比较基准</w:t>
            </w:r>
          </w:p>
        </w:tc>
      </w:tr>
      <w:tr w14:paraId="7426DD04">
        <w:tblPrEx>
          <w:tblCellMar>
            <w:top w:w="0" w:type="dxa"/>
            <w:left w:w="108" w:type="dxa"/>
            <w:bottom w:w="0" w:type="dxa"/>
            <w:right w:w="108" w:type="dxa"/>
          </w:tblCellMar>
        </w:tblPrEx>
        <w:trPr>
          <w:trHeight w:val="1180" w:hRule="atLeast"/>
        </w:trPr>
        <w:tc>
          <w:tcPr>
            <w:tcW w:w="2842" w:type="dxa"/>
            <w:tcBorders>
              <w:top w:val="single" w:color="auto" w:sz="4" w:space="0"/>
              <w:left w:val="single" w:color="auto" w:sz="4" w:space="0"/>
              <w:bottom w:val="nil"/>
              <w:right w:val="single" w:color="auto" w:sz="4" w:space="0"/>
            </w:tcBorders>
            <w:vAlign w:val="center"/>
          </w:tcPr>
          <w:p w14:paraId="23C4D4E1">
            <w:pPr>
              <w:widowControl/>
              <w:spacing w:line="40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业绩比较基准</w:t>
            </w:r>
          </w:p>
        </w:tc>
        <w:tc>
          <w:tcPr>
            <w:tcW w:w="6762" w:type="dxa"/>
            <w:tcBorders>
              <w:top w:val="single" w:color="auto" w:sz="4" w:space="0"/>
              <w:left w:val="single" w:color="auto" w:sz="4" w:space="0"/>
              <w:bottom w:val="nil"/>
              <w:right w:val="single" w:color="auto" w:sz="4" w:space="0"/>
            </w:tcBorders>
            <w:vAlign w:val="center"/>
          </w:tcPr>
          <w:p w14:paraId="53BCA0C7">
            <w:pPr>
              <w:spacing w:line="300" w:lineRule="exact"/>
              <w:ind w:right="36" w:rightChars="15"/>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【A】类份额：【1.95%】</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【B】类份额：【1.95%】</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【C】类份额：【2.05%】</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【D】类份额：【2.00%】</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【G】类份额：【2.00%】</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【M】类份额：【1.90%】</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【N】类份额：【1.80%】</w:t>
            </w:r>
            <w:r>
              <w:rPr>
                <w:rFonts w:hint="eastAsia" w:ascii="楷体_GB2312" w:eastAsia="楷体_GB2312" w:cs="楷体_GB2312"/>
                <w:color w:val="000000" w:themeColor="text1"/>
                <w:sz w:val="20"/>
                <w:szCs w:val="20"/>
                <w:highlight w:val="none"/>
                <w14:textFill>
                  <w14:solidFill>
                    <w14:schemeClr w14:val="tx1"/>
                  </w14:solidFill>
                </w14:textFill>
              </w:rPr>
              <w:br w:type="textWrapping"/>
            </w:r>
            <w:r>
              <w:rPr>
                <w:rFonts w:hint="eastAsia" w:ascii="楷体_GB2312" w:eastAsia="楷体_GB2312" w:cs="楷体_GB2312"/>
                <w:color w:val="000000" w:themeColor="text1"/>
                <w:sz w:val="20"/>
                <w:szCs w:val="20"/>
                <w:highlight w:val="none"/>
                <w14:textFill>
                  <w14:solidFill>
                    <w14:schemeClr w14:val="tx1"/>
                  </w14:solidFill>
                </w14:textFill>
              </w:rPr>
              <w:t>【S】类份额：【2.00%】</w:t>
            </w:r>
          </w:p>
          <w:p w14:paraId="1A727316">
            <w:pPr>
              <w:spacing w:line="300" w:lineRule="exact"/>
              <w:ind w:left="-2" w:leftChars="-1" w:right="36" w:rightChars="15"/>
              <w:jc w:val="both"/>
              <w:rPr>
                <w:rFonts w:ascii="楷体_GB2312" w:eastAsia="楷体_GB2312" w:cs="楷体_GB2312"/>
                <w:color w:val="000000" w:themeColor="text1"/>
                <w:sz w:val="20"/>
                <w:szCs w:val="20"/>
                <w:highlight w:val="none"/>
                <w14:textFill>
                  <w14:solidFill>
                    <w14:schemeClr w14:val="tx1"/>
                  </w14:solidFill>
                </w14:textFill>
              </w:rPr>
            </w:pPr>
          </w:p>
          <w:p w14:paraId="359EB349">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b/>
                <w:bCs/>
                <w:color w:val="000000" w:themeColor="text1"/>
                <w:sz w:val="20"/>
                <w:szCs w:val="20"/>
                <w:highlight w:val="none"/>
                <w14:textFill>
                  <w14:solidFill>
                    <w14:schemeClr w14:val="tx1"/>
                  </w14:solidFill>
                </w14:textFill>
              </w:rPr>
              <w:t>业绩</w:t>
            </w:r>
            <w:r>
              <w:rPr>
                <w:rFonts w:hint="eastAsia" w:ascii="Times New Roman" w:eastAsia="楷体_GB2312" w:cs="楷体_GB2312"/>
                <w:b/>
                <w:bCs/>
                <w:color w:val="000000" w:themeColor="text1"/>
                <w:sz w:val="20"/>
                <w:szCs w:val="20"/>
                <w:highlight w:val="none"/>
                <w14:textFill>
                  <w14:solidFill>
                    <w14:schemeClr w14:val="tx1"/>
                  </w14:solidFill>
                </w14:textFill>
              </w:rPr>
              <w:t>比较</w:t>
            </w:r>
            <w:r>
              <w:rPr>
                <w:rFonts w:hint="eastAsia" w:ascii="楷体_GB2312" w:eastAsia="楷体_GB2312" w:cs="楷体_GB2312"/>
                <w:b/>
                <w:bCs/>
                <w:color w:val="000000" w:themeColor="text1"/>
                <w:sz w:val="20"/>
                <w:szCs w:val="20"/>
                <w:highlight w:val="none"/>
                <w14:textFill>
                  <w14:solidFill>
                    <w14:schemeClr w14:val="tx1"/>
                  </w14:solidFill>
                </w14:textFill>
              </w:rPr>
              <w:t>基准测算依据：【本理财产品为固定收益类产品，主要投向为同业存单、短融、中票、PPN、公司债、资产支持证券等标准化债权类资产和非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p>
          <w:p w14:paraId="17119C7B">
            <w:pPr>
              <w:keepNext w:val="0"/>
              <w:keepLines w:val="0"/>
              <w:pageBreakBefore w:val="0"/>
              <w:widowControl/>
              <w:kinsoku/>
              <w:wordWrap/>
              <w:overflowPunct/>
              <w:topLinePunct w:val="0"/>
              <w:autoSpaceDE/>
              <w:autoSpaceDN/>
              <w:bidi w:val="0"/>
              <w:adjustRightInd/>
              <w:snapToGrid w:val="0"/>
              <w:spacing w:line="300" w:lineRule="exact"/>
              <w:ind w:right="53" w:rightChars="22"/>
              <w:jc w:val="left"/>
              <w:textAlignment w:val="auto"/>
              <w:outlineLvl w:val="0"/>
              <w:rPr>
                <w:rFonts w:hint="default" w:ascii="楷体_GB2312" w:hAnsi="宋体" w:eastAsia="楷体_GB2312" w:cs="楷体_GB2312"/>
                <w:b/>
                <w:bCs w:val="0"/>
                <w:color w:val="000000" w:themeColor="text1"/>
                <w:sz w:val="20"/>
                <w:szCs w:val="20"/>
                <w:highlight w:val="none"/>
                <w14:textFill>
                  <w14:solidFill>
                    <w14:schemeClr w14:val="tx1"/>
                  </w14:solidFill>
                </w14:textFill>
              </w:rPr>
            </w:pPr>
            <w:r>
              <w:rPr>
                <w:rFonts w:hint="default" w:ascii="楷体_GB2312" w:hAnsi="宋体" w:eastAsia="楷体_GB2312" w:cs="楷体_GB2312"/>
                <w:b/>
                <w:bCs w:val="0"/>
                <w:color w:val="000000" w:themeColor="text1"/>
                <w:sz w:val="20"/>
                <w:szCs w:val="20"/>
                <w:highlight w:val="none"/>
                <w14:textFill>
                  <w14:solidFill>
                    <w14:schemeClr w14:val="tx1"/>
                  </w14:solidFill>
                </w14:textFill>
              </w:rPr>
              <w:t>本产品收取的销售服务费可能因销售机构不同有所差异，从而导致测算的业绩比较基准有所差异，请投资者关注管理人及销售机构相关信息披露。</w:t>
            </w:r>
          </w:p>
          <w:p w14:paraId="2C4B3768">
            <w:pPr>
              <w:keepNext w:val="0"/>
              <w:keepLines w:val="0"/>
              <w:pageBreakBefore w:val="0"/>
              <w:widowControl/>
              <w:kinsoku/>
              <w:wordWrap/>
              <w:overflowPunct/>
              <w:topLinePunct w:val="0"/>
              <w:autoSpaceDE/>
              <w:autoSpaceDN/>
              <w:bidi w:val="0"/>
              <w:adjustRightInd/>
              <w:snapToGrid w:val="0"/>
              <w:spacing w:line="300" w:lineRule="exact"/>
              <w:ind w:right="53" w:rightChars="22"/>
              <w:jc w:val="left"/>
              <w:textAlignment w:val="auto"/>
              <w:outlineLvl w:val="0"/>
              <w:rPr>
                <w:rFonts w:hint="eastAsia" w:ascii="仿宋_GB2312" w:hAnsi="等线" w:eastAsia="仿宋_GB2312" w:cs="仿宋_GB2312"/>
                <w:bCs/>
                <w:color w:val="000000" w:themeColor="text1"/>
                <w:sz w:val="24"/>
                <w:highlight w:val="none"/>
                <w14:textFill>
                  <w14:solidFill>
                    <w14:schemeClr w14:val="tx1"/>
                  </w14:solidFill>
                </w14:textFill>
              </w:rPr>
            </w:pPr>
            <w:r>
              <w:rPr>
                <w:rFonts w:hint="default" w:ascii="楷体_GB2312" w:hAnsi="宋体" w:eastAsia="楷体_GB2312" w:cs="楷体_GB2312"/>
                <w:b w:val="0"/>
                <w:bCs/>
                <w:color w:val="000000" w:themeColor="text1"/>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38E98AAE">
        <w:tblPrEx>
          <w:tblCellMar>
            <w:top w:w="0" w:type="dxa"/>
            <w:left w:w="108" w:type="dxa"/>
            <w:bottom w:w="0" w:type="dxa"/>
            <w:right w:w="108" w:type="dxa"/>
          </w:tblCellMar>
        </w:tblPrEx>
        <w:trPr>
          <w:trHeight w:val="270" w:hRule="atLeast"/>
        </w:trPr>
        <w:tc>
          <w:tcPr>
            <w:tcW w:w="9604" w:type="dxa"/>
            <w:gridSpan w:val="2"/>
            <w:tcBorders>
              <w:top w:val="single" w:color="auto" w:sz="4" w:space="0"/>
              <w:left w:val="single" w:color="000000" w:sz="8" w:space="0"/>
              <w:bottom w:val="single" w:color="000000" w:sz="4" w:space="0"/>
              <w:right w:val="single" w:color="000000" w:sz="8" w:space="0"/>
            </w:tcBorders>
            <w:vAlign w:val="center"/>
          </w:tcPr>
          <w:p w14:paraId="11F9D83E">
            <w:pPr>
              <w:widowControl/>
              <w:spacing w:line="400" w:lineRule="exact"/>
              <w:jc w:val="center"/>
              <w:textAlignment w:val="center"/>
              <w:rPr>
                <w:rFonts w:hint="eastAsia" w:ascii="楷体_GB2312" w:hAnsi="等线" w:eastAsia="楷体_GB2312" w:cs="楷体_GB2312"/>
                <w:bCs/>
                <w:color w:val="000000" w:themeColor="text1"/>
                <w:sz w:val="24"/>
                <w:highlight w:val="none"/>
                <w14:textFill>
                  <w14:solidFill>
                    <w14:schemeClr w14:val="tx1"/>
                  </w14:solidFill>
                </w14:textFill>
              </w:rPr>
            </w:pPr>
            <w:r>
              <w:rPr>
                <w:rFonts w:hint="eastAsia" w:ascii="楷体_GB2312" w:hAnsi="等线" w:eastAsia="楷体_GB2312" w:cs="楷体_GB2312"/>
                <w:b/>
                <w:color w:val="000000" w:themeColor="text1"/>
                <w:kern w:val="0"/>
                <w:sz w:val="24"/>
                <w:highlight w:val="none"/>
                <w:lang w:bidi="ar"/>
                <w14:textFill>
                  <w14:solidFill>
                    <w14:schemeClr w14:val="tx1"/>
                  </w14:solidFill>
                </w14:textFill>
              </w:rPr>
              <w:t>（七）投资范围与策略</w:t>
            </w:r>
          </w:p>
        </w:tc>
      </w:tr>
      <w:tr w14:paraId="273301A4">
        <w:tblPrEx>
          <w:tblCellMar>
            <w:top w:w="0" w:type="dxa"/>
            <w:left w:w="108" w:type="dxa"/>
            <w:bottom w:w="0" w:type="dxa"/>
            <w:right w:w="108" w:type="dxa"/>
          </w:tblCellMar>
        </w:tblPrEx>
        <w:trPr>
          <w:trHeight w:val="1420" w:hRule="atLeast"/>
        </w:trPr>
        <w:tc>
          <w:tcPr>
            <w:tcW w:w="2842" w:type="dxa"/>
            <w:tcBorders>
              <w:top w:val="nil"/>
              <w:left w:val="single" w:color="000000" w:sz="8" w:space="0"/>
              <w:bottom w:val="single" w:color="auto" w:sz="4" w:space="0"/>
              <w:right w:val="single" w:color="auto" w:sz="4" w:space="0"/>
            </w:tcBorders>
            <w:vAlign w:val="center"/>
          </w:tcPr>
          <w:p w14:paraId="727A0BFA">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投资范围</w:t>
            </w:r>
          </w:p>
        </w:tc>
        <w:tc>
          <w:tcPr>
            <w:tcW w:w="6762" w:type="dxa"/>
            <w:tcBorders>
              <w:top w:val="nil"/>
              <w:left w:val="single" w:color="auto" w:sz="4" w:space="0"/>
              <w:bottom w:val="single" w:color="auto" w:sz="4" w:space="0"/>
              <w:right w:val="single" w:color="000000" w:sz="8" w:space="0"/>
            </w:tcBorders>
            <w:vAlign w:val="center"/>
          </w:tcPr>
          <w:p w14:paraId="0AB26FB1">
            <w:pPr>
              <w:spacing w:line="300" w:lineRule="exact"/>
              <w:ind w:right="36" w:rightChars="15" w:firstLine="400" w:firstLineChars="200"/>
              <w:jc w:val="left"/>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（1）债权类资产</w:t>
            </w:r>
          </w:p>
          <w:p w14:paraId="00212952">
            <w:pPr>
              <w:spacing w:line="300" w:lineRule="exact"/>
              <w:ind w:right="36" w:rightChars="15"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a</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货币市场类：现金、存款、大额</w:t>
            </w:r>
            <w:r>
              <w:rPr>
                <w:rFonts w:ascii="楷体_GB2312" w:eastAsia="楷体_GB2312"/>
                <w:color w:val="000000" w:themeColor="text1"/>
                <w:sz w:val="20"/>
                <w:szCs w:val="20"/>
                <w:highlight w:val="none"/>
                <w14:textFill>
                  <w14:solidFill>
                    <w14:schemeClr w14:val="tx1"/>
                  </w14:solidFill>
                </w14:textFill>
              </w:rPr>
              <w:t>存单、同业存单、</w:t>
            </w:r>
            <w:r>
              <w:rPr>
                <w:rFonts w:hint="eastAsia" w:ascii="楷体_GB2312" w:eastAsia="楷体_GB2312"/>
                <w:color w:val="000000" w:themeColor="text1"/>
                <w:sz w:val="20"/>
                <w:szCs w:val="20"/>
                <w:highlight w:val="none"/>
                <w14:textFill>
                  <w14:solidFill>
                    <w14:schemeClr w14:val="tx1"/>
                  </w14:solidFill>
                </w14:textFill>
              </w:rPr>
              <w:t>货币基金、质押式回购和其他货币市场类资产；</w:t>
            </w:r>
          </w:p>
          <w:p w14:paraId="5BB96F7B">
            <w:pPr>
              <w:spacing w:line="300" w:lineRule="exact"/>
              <w:ind w:left="-2" w:leftChars="-1" w:right="36" w:rightChars="15" w:firstLine="422"/>
              <w:jc w:val="both"/>
              <w:rPr>
                <w:rFonts w:ascii="Times New Roman" w:hAnsi="Times New Roman"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b.固定收益类：国债</w:t>
            </w:r>
            <w:r>
              <w:rPr>
                <w:rFonts w:ascii="楷体_GB2312" w:eastAsia="楷体_GB2312"/>
                <w:color w:val="000000" w:themeColor="text1"/>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highlight w:val="none"/>
                <w14:textFill>
                  <w14:solidFill>
                    <w14:schemeClr w14:val="tx1"/>
                  </w14:solidFill>
                </w14:textFill>
              </w:rPr>
              <w:t>资产支持证券、非公开定向债务融资工具、债券型</w:t>
            </w:r>
            <w:r>
              <w:rPr>
                <w:rFonts w:ascii="楷体_GB2312" w:eastAsia="楷体_GB2312"/>
                <w:color w:val="000000" w:themeColor="text1"/>
                <w:sz w:val="20"/>
                <w:szCs w:val="20"/>
                <w:highlight w:val="none"/>
                <w14:textFill>
                  <w14:solidFill>
                    <w14:schemeClr w14:val="tx1"/>
                  </w14:solidFill>
                </w14:textFill>
              </w:rPr>
              <w:t>证券投资</w:t>
            </w:r>
            <w:r>
              <w:rPr>
                <w:rFonts w:hint="eastAsia" w:ascii="楷体_GB2312" w:eastAsia="楷体_GB2312"/>
                <w:color w:val="000000" w:themeColor="text1"/>
                <w:sz w:val="20"/>
                <w:szCs w:val="20"/>
                <w:highlight w:val="none"/>
                <w14:textFill>
                  <w14:solidFill>
                    <w14:schemeClr w14:val="tx1"/>
                  </w14:solidFill>
                </w14:textFill>
              </w:rPr>
              <w:t>基金、</w:t>
            </w:r>
            <w:r>
              <w:rPr>
                <w:rFonts w:ascii="楷体_GB2312" w:eastAsia="楷体_GB2312"/>
                <w:color w:val="000000" w:themeColor="text1"/>
                <w:sz w:val="20"/>
                <w:szCs w:val="20"/>
                <w:highlight w:val="none"/>
                <w14:textFill>
                  <w14:solidFill>
                    <w14:schemeClr w14:val="tx1"/>
                  </w14:solidFill>
                </w14:textFill>
              </w:rPr>
              <w:t>非标准化债权类资产</w:t>
            </w:r>
            <w:r>
              <w:rPr>
                <w:rFonts w:hint="eastAsia" w:ascii="楷体_GB2312" w:eastAsia="楷体_GB2312"/>
                <w:color w:val="000000" w:themeColor="text1"/>
                <w:sz w:val="20"/>
                <w:szCs w:val="20"/>
                <w:highlight w:val="none"/>
                <w14:textFill>
                  <w14:solidFill>
                    <w14:schemeClr w14:val="tx1"/>
                  </w14:solidFill>
                </w14:textFill>
              </w:rPr>
              <w:t>和其他固定收益类资产；</w:t>
            </w:r>
          </w:p>
          <w:p w14:paraId="43E9815C">
            <w:pPr>
              <w:spacing w:line="300" w:lineRule="exact"/>
              <w:ind w:left="-2" w:leftChars="-1" w:right="36" w:rightChars="15" w:firstLine="422"/>
              <w:jc w:val="both"/>
              <w:rPr>
                <w:rFonts w:ascii="Times New Roman" w:hAnsi="Times New Roman" w:eastAsia="楷体_GB2312"/>
                <w:color w:val="000000" w:themeColor="text1"/>
                <w:sz w:val="20"/>
                <w:szCs w:val="20"/>
                <w:highlight w:val="none"/>
                <w14:textFill>
                  <w14:solidFill>
                    <w14:schemeClr w14:val="tx1"/>
                  </w14:solidFill>
                </w14:textFill>
              </w:rPr>
            </w:pPr>
            <w:r>
              <w:rPr>
                <w:rFonts w:hint="eastAsia" w:ascii="Times New Roman" w:hAnsi="Times New Roman" w:eastAsia="楷体_GB2312"/>
                <w:color w:val="000000" w:themeColor="text1"/>
                <w:sz w:val="20"/>
                <w:szCs w:val="20"/>
                <w:highlight w:val="none"/>
                <w14:textFill>
                  <w14:solidFill>
                    <w14:schemeClr w14:val="tx1"/>
                  </w14:solidFill>
                </w14:textFill>
              </w:rPr>
              <w:t>（</w:t>
            </w:r>
            <w:r>
              <w:rPr>
                <w:rFonts w:ascii="Times New Roman" w:hAnsi="Times New Roman" w:eastAsia="楷体_GB2312"/>
                <w:color w:val="000000" w:themeColor="text1"/>
                <w:sz w:val="20"/>
                <w:szCs w:val="20"/>
                <w:highlight w:val="none"/>
                <w14:textFill>
                  <w14:solidFill>
                    <w14:schemeClr w14:val="tx1"/>
                  </w14:solidFill>
                </w14:textFill>
              </w:rPr>
              <w:t>2）</w:t>
            </w:r>
            <w:r>
              <w:rPr>
                <w:rFonts w:hint="eastAsia" w:ascii="Times New Roman" w:hAnsi="Times New Roman" w:eastAsia="楷体_GB2312"/>
                <w:color w:val="000000" w:themeColor="text1"/>
                <w:sz w:val="20"/>
                <w:szCs w:val="20"/>
                <w:highlight w:val="none"/>
                <w14:textFill>
                  <w14:solidFill>
                    <w14:schemeClr w14:val="tx1"/>
                  </w14:solidFill>
                </w14:textFill>
              </w:rPr>
              <w:t>权益</w:t>
            </w:r>
            <w:r>
              <w:rPr>
                <w:rFonts w:ascii="Times New Roman" w:hAnsi="Times New Roman" w:eastAsia="楷体_GB2312"/>
                <w:color w:val="000000" w:themeColor="text1"/>
                <w:sz w:val="20"/>
                <w:szCs w:val="20"/>
                <w:highlight w:val="none"/>
                <w14:textFill>
                  <w14:solidFill>
                    <w14:schemeClr w14:val="tx1"/>
                  </w14:solidFill>
                </w14:textFill>
              </w:rPr>
              <w:t>类</w:t>
            </w:r>
            <w:r>
              <w:rPr>
                <w:rFonts w:hint="eastAsia" w:ascii="Times New Roman" w:hAnsi="Times New Roman" w:eastAsia="楷体_GB2312"/>
                <w:color w:val="000000" w:themeColor="text1"/>
                <w:sz w:val="20"/>
                <w:szCs w:val="20"/>
                <w:highlight w:val="none"/>
                <w14:textFill>
                  <w14:solidFill>
                    <w14:schemeClr w14:val="tx1"/>
                  </w14:solidFill>
                </w14:textFill>
              </w:rPr>
              <w:t>资产</w:t>
            </w:r>
            <w:r>
              <w:rPr>
                <w:rFonts w:ascii="Times New Roman" w:hAnsi="Times New Roman" w:eastAsia="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上市</w:t>
            </w:r>
            <w:r>
              <w:rPr>
                <w:rFonts w:ascii="楷体_GB2312" w:eastAsia="楷体_GB2312" w:cs="楷体_GB2312"/>
                <w:color w:val="000000" w:themeColor="text1"/>
                <w:sz w:val="20"/>
                <w:szCs w:val="20"/>
                <w:highlight w:val="none"/>
                <w14:textFill>
                  <w14:solidFill>
                    <w14:schemeClr w14:val="tx1"/>
                  </w14:solidFill>
                </w14:textFill>
              </w:rPr>
              <w:t>交易</w:t>
            </w:r>
            <w:r>
              <w:rPr>
                <w:rFonts w:hint="eastAsia" w:ascii="楷体_GB2312" w:eastAsia="楷体_GB2312" w:cs="楷体_GB2312"/>
                <w:color w:val="000000" w:themeColor="text1"/>
                <w:sz w:val="20"/>
                <w:szCs w:val="20"/>
                <w:highlight w:val="none"/>
                <w14:textFill>
                  <w14:solidFill>
                    <w14:schemeClr w14:val="tx1"/>
                  </w14:solidFill>
                </w14:textFill>
              </w:rPr>
              <w:t>的</w:t>
            </w:r>
            <w:r>
              <w:rPr>
                <w:rFonts w:ascii="楷体_GB2312" w:eastAsia="楷体_GB2312" w:cs="楷体_GB2312"/>
                <w:color w:val="000000" w:themeColor="text1"/>
                <w:sz w:val="20"/>
                <w:szCs w:val="20"/>
                <w:highlight w:val="none"/>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highlight w:val="none"/>
                <w14:textFill>
                  <w14:solidFill>
                    <w14:schemeClr w14:val="tx1"/>
                  </w14:solidFill>
                </w14:textFill>
              </w:rPr>
              <w:t>。</w:t>
            </w:r>
          </w:p>
          <w:p w14:paraId="4FC5486A">
            <w:pPr>
              <w:spacing w:line="300" w:lineRule="exact"/>
              <w:ind w:left="-2" w:leftChars="-1" w:right="36" w:rightChars="15" w:firstLine="422"/>
              <w:jc w:val="both"/>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Times New Roman" w:hAnsi="Times New Roman" w:eastAsia="楷体_GB2312"/>
                <w:color w:val="000000" w:themeColor="text1"/>
                <w:sz w:val="20"/>
                <w:szCs w:val="20"/>
                <w:highlight w:val="none"/>
                <w14:textFill>
                  <w14:solidFill>
                    <w14:schemeClr w14:val="tx1"/>
                  </w14:solidFill>
                </w14:textFill>
              </w:rPr>
              <w:t>（</w:t>
            </w:r>
            <w:r>
              <w:rPr>
                <w:rFonts w:ascii="Times New Roman" w:hAnsi="Times New Roman" w:eastAsia="楷体_GB2312"/>
                <w:color w:val="000000" w:themeColor="text1"/>
                <w:sz w:val="20"/>
                <w:szCs w:val="20"/>
                <w:highlight w:val="none"/>
                <w14:textFill>
                  <w14:solidFill>
                    <w14:schemeClr w14:val="tx1"/>
                  </w14:solidFill>
                </w14:textFill>
              </w:rPr>
              <w:t>3</w:t>
            </w:r>
            <w:r>
              <w:rPr>
                <w:rFonts w:hint="eastAsia" w:ascii="Times New Roman" w:hAnsi="Times New Roman" w:eastAsia="楷体_GB2312"/>
                <w:color w:val="000000" w:themeColor="text1"/>
                <w:sz w:val="20"/>
                <w:szCs w:val="20"/>
                <w:highlight w:val="none"/>
                <w14:textFill>
                  <w14:solidFill>
                    <w14:schemeClr w14:val="tx1"/>
                  </w14:solidFill>
                </w14:textFill>
              </w:rPr>
              <w:t>）商品</w:t>
            </w:r>
            <w:r>
              <w:rPr>
                <w:rFonts w:ascii="Times New Roman" w:hAnsi="Times New Roman" w:eastAsia="楷体_GB2312"/>
                <w:color w:val="000000" w:themeColor="text1"/>
                <w:sz w:val="20"/>
                <w:szCs w:val="20"/>
                <w:highlight w:val="none"/>
                <w14:textFill>
                  <w14:solidFill>
                    <w14:schemeClr w14:val="tx1"/>
                  </w14:solidFill>
                </w14:textFill>
              </w:rPr>
              <w:t>及</w:t>
            </w:r>
            <w:r>
              <w:rPr>
                <w:rFonts w:hint="eastAsia" w:ascii="Times New Roman" w:hAnsi="Times New Roman" w:eastAsia="楷体_GB2312"/>
                <w:color w:val="000000" w:themeColor="text1"/>
                <w:sz w:val="20"/>
                <w:szCs w:val="20"/>
                <w:highlight w:val="none"/>
                <w14:textFill>
                  <w14:solidFill>
                    <w14:schemeClr w14:val="tx1"/>
                  </w14:solidFill>
                </w14:textFill>
              </w:rPr>
              <w:t>金融</w:t>
            </w:r>
            <w:r>
              <w:rPr>
                <w:rFonts w:ascii="Times New Roman" w:hAnsi="Times New Roman" w:eastAsia="楷体_GB2312"/>
                <w:color w:val="000000" w:themeColor="text1"/>
                <w:sz w:val="20"/>
                <w:szCs w:val="20"/>
                <w:highlight w:val="none"/>
                <w14:textFill>
                  <w14:solidFill>
                    <w14:schemeClr w14:val="tx1"/>
                  </w14:solidFill>
                </w14:textFill>
              </w:rPr>
              <w:t>衍生品类资产：</w:t>
            </w:r>
            <w:r>
              <w:rPr>
                <w:rFonts w:hint="eastAsia" w:ascii="Times New Roman" w:hAnsi="Times New Roman" w:eastAsia="楷体_GB2312"/>
                <w:color w:val="000000" w:themeColor="text1"/>
                <w:sz w:val="20"/>
                <w:szCs w:val="20"/>
                <w:highlight w:val="none"/>
                <w14:textFill>
                  <w14:solidFill>
                    <w14:schemeClr w14:val="tx1"/>
                  </w14:solidFill>
                </w14:textFill>
              </w:rPr>
              <w:t>商品现货，互换</w:t>
            </w:r>
            <w:r>
              <w:rPr>
                <w:rFonts w:ascii="Times New Roman" w:hAnsi="Times New Roman" w:eastAsia="楷体_GB2312"/>
                <w:color w:val="000000" w:themeColor="text1"/>
                <w:sz w:val="20"/>
                <w:szCs w:val="20"/>
                <w:highlight w:val="none"/>
                <w14:textFill>
                  <w14:solidFill>
                    <w14:schemeClr w14:val="tx1"/>
                  </w14:solidFill>
                </w14:textFill>
              </w:rPr>
              <w:t>、</w:t>
            </w:r>
            <w:r>
              <w:rPr>
                <w:rFonts w:hint="eastAsia" w:ascii="Times New Roman" w:hAnsi="Times New Roman" w:eastAsia="楷体_GB2312"/>
                <w:color w:val="000000" w:themeColor="text1"/>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tc>
      </w:tr>
      <w:tr w14:paraId="6E2B0927">
        <w:tblPrEx>
          <w:tblCellMar>
            <w:top w:w="0" w:type="dxa"/>
            <w:left w:w="108" w:type="dxa"/>
            <w:bottom w:w="0" w:type="dxa"/>
            <w:right w:w="108" w:type="dxa"/>
          </w:tblCellMar>
        </w:tblPrEx>
        <w:trPr>
          <w:trHeight w:val="780" w:hRule="atLeast"/>
        </w:trPr>
        <w:tc>
          <w:tcPr>
            <w:tcW w:w="2842" w:type="dxa"/>
            <w:tcBorders>
              <w:top w:val="single" w:color="auto" w:sz="4" w:space="0"/>
              <w:left w:val="single" w:color="000000" w:sz="8" w:space="0"/>
              <w:bottom w:val="single" w:color="auto" w:sz="4" w:space="0"/>
              <w:right w:val="single" w:color="auto" w:sz="4" w:space="0"/>
            </w:tcBorders>
            <w:vAlign w:val="center"/>
          </w:tcPr>
          <w:p w14:paraId="6AD2B669">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投资策略</w:t>
            </w:r>
          </w:p>
        </w:tc>
        <w:tc>
          <w:tcPr>
            <w:tcW w:w="6762" w:type="dxa"/>
            <w:tcBorders>
              <w:top w:val="single" w:color="auto" w:sz="4" w:space="0"/>
              <w:left w:val="single" w:color="auto" w:sz="4" w:space="0"/>
              <w:bottom w:val="single" w:color="auto" w:sz="4" w:space="0"/>
              <w:right w:val="single" w:color="000000" w:sz="8" w:space="0"/>
            </w:tcBorders>
            <w:vAlign w:val="center"/>
          </w:tcPr>
          <w:p w14:paraId="22987BDA">
            <w:pPr>
              <w:spacing w:line="300" w:lineRule="exact"/>
              <w:ind w:firstLine="400"/>
              <w:jc w:val="both"/>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_GB2312" w:hAnsi="楷体_GB2312" w:eastAsia="楷体_GB2312"/>
                <w:color w:val="000000" w:themeColor="text1"/>
                <w:sz w:val="20"/>
                <w:szCs w:val="20"/>
                <w:highlight w:val="none"/>
                <w14:textFill>
                  <w14:solidFill>
                    <w14:schemeClr w14:val="tx1"/>
                  </w14:solidFill>
                </w14:textFill>
              </w:rPr>
              <w:t>本产品通过综合分析经济形势、货币政策、利率走势、行业状况、信用风险等因素，自上而下判断宏观趋势和利率趋势，并自下而上结合内部信用评级制度，分析企业的市场地位、管理水平、发展趋势和财务状况等，作为产品投资的重要依据，以获取长期稳定的收益。</w:t>
            </w:r>
          </w:p>
        </w:tc>
      </w:tr>
      <w:tr w14:paraId="4F8C35FD">
        <w:tblPrEx>
          <w:tblCellMar>
            <w:top w:w="0" w:type="dxa"/>
            <w:left w:w="108" w:type="dxa"/>
            <w:bottom w:w="0" w:type="dxa"/>
            <w:right w:w="108" w:type="dxa"/>
          </w:tblCellMar>
        </w:tblPrEx>
        <w:trPr>
          <w:trHeight w:val="555" w:hRule="atLeast"/>
        </w:trPr>
        <w:tc>
          <w:tcPr>
            <w:tcW w:w="2842" w:type="dxa"/>
            <w:tcBorders>
              <w:top w:val="single" w:color="auto" w:sz="4" w:space="0"/>
              <w:left w:val="single" w:color="000000" w:sz="8" w:space="0"/>
              <w:bottom w:val="single" w:color="auto" w:sz="4" w:space="0"/>
              <w:right w:val="single" w:color="auto" w:sz="4" w:space="0"/>
            </w:tcBorders>
            <w:vAlign w:val="center"/>
          </w:tcPr>
          <w:p w14:paraId="040B016D">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b/>
                <w:bCs/>
                <w:color w:val="000000" w:themeColor="text1"/>
                <w:sz w:val="20"/>
                <w:szCs w:val="20"/>
                <w:highlight w:val="none"/>
                <w14:textFill>
                  <w14:solidFill>
                    <w14:schemeClr w14:val="tx1"/>
                  </w14:solidFill>
                </w14:textFill>
              </w:rPr>
              <w:t>资产种类</w:t>
            </w:r>
          </w:p>
        </w:tc>
        <w:tc>
          <w:tcPr>
            <w:tcW w:w="6762" w:type="dxa"/>
            <w:tcBorders>
              <w:top w:val="single" w:color="auto" w:sz="4" w:space="0"/>
              <w:left w:val="single" w:color="auto" w:sz="4" w:space="0"/>
              <w:bottom w:val="single" w:color="auto" w:sz="4" w:space="0"/>
              <w:right w:val="single" w:color="000000" w:sz="8" w:space="0"/>
            </w:tcBorders>
            <w:vAlign w:val="center"/>
          </w:tcPr>
          <w:p w14:paraId="35426793">
            <w:pPr>
              <w:ind w:right="29" w:rightChars="12"/>
              <w:jc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 w:hAnsi="楷体" w:eastAsia="楷体"/>
                <w:b/>
                <w:bCs/>
                <w:color w:val="000000"/>
                <w:sz w:val="20"/>
                <w:szCs w:val="20"/>
                <w:highlight w:val="none"/>
              </w:rPr>
              <w:t>投资比例</w:t>
            </w:r>
          </w:p>
        </w:tc>
      </w:tr>
      <w:tr w14:paraId="27A1AC2B">
        <w:tblPrEx>
          <w:tblCellMar>
            <w:top w:w="0" w:type="dxa"/>
            <w:left w:w="108" w:type="dxa"/>
            <w:bottom w:w="0" w:type="dxa"/>
            <w:right w:w="108" w:type="dxa"/>
          </w:tblCellMar>
        </w:tblPrEx>
        <w:trPr>
          <w:trHeight w:val="555" w:hRule="atLeast"/>
        </w:trPr>
        <w:tc>
          <w:tcPr>
            <w:tcW w:w="2842" w:type="dxa"/>
            <w:tcBorders>
              <w:top w:val="single" w:color="auto" w:sz="4" w:space="0"/>
              <w:left w:val="single" w:color="000000" w:sz="8" w:space="0"/>
              <w:bottom w:val="single" w:color="auto" w:sz="4" w:space="0"/>
              <w:right w:val="single" w:color="auto" w:sz="4" w:space="0"/>
            </w:tcBorders>
            <w:vAlign w:val="center"/>
          </w:tcPr>
          <w:p w14:paraId="4AB1A2B9">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债权类资产</w:t>
            </w:r>
          </w:p>
        </w:tc>
        <w:tc>
          <w:tcPr>
            <w:tcW w:w="6762" w:type="dxa"/>
            <w:tcBorders>
              <w:top w:val="single" w:color="auto" w:sz="4" w:space="0"/>
              <w:left w:val="single" w:color="auto" w:sz="4" w:space="0"/>
              <w:bottom w:val="single" w:color="auto" w:sz="4" w:space="0"/>
              <w:right w:val="single" w:color="000000" w:sz="8" w:space="0"/>
            </w:tcBorders>
            <w:vAlign w:val="center"/>
          </w:tcPr>
          <w:p w14:paraId="1BBC7358">
            <w:pPr>
              <w:ind w:right="29" w:rightChars="12"/>
              <w:jc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 w:hAnsi="楷体" w:eastAsia="楷体"/>
                <w:sz w:val="20"/>
                <w:szCs w:val="20"/>
                <w:highlight w:val="none"/>
              </w:rPr>
              <w:t>【80%-100%】</w:t>
            </w:r>
          </w:p>
        </w:tc>
      </w:tr>
      <w:tr w14:paraId="301D6BAD">
        <w:tblPrEx>
          <w:tblCellMar>
            <w:top w:w="0" w:type="dxa"/>
            <w:left w:w="108" w:type="dxa"/>
            <w:bottom w:w="0" w:type="dxa"/>
            <w:right w:w="108" w:type="dxa"/>
          </w:tblCellMar>
        </w:tblPrEx>
        <w:trPr>
          <w:trHeight w:val="555" w:hRule="atLeast"/>
        </w:trPr>
        <w:tc>
          <w:tcPr>
            <w:tcW w:w="2842" w:type="dxa"/>
            <w:tcBorders>
              <w:top w:val="single" w:color="auto" w:sz="4" w:space="0"/>
              <w:left w:val="single" w:color="000000" w:sz="8" w:space="0"/>
              <w:bottom w:val="single" w:color="auto" w:sz="4" w:space="0"/>
              <w:right w:val="single" w:color="auto" w:sz="4" w:space="0"/>
            </w:tcBorders>
            <w:vAlign w:val="center"/>
          </w:tcPr>
          <w:p w14:paraId="5B65B9AB">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其中，非标准化债权类资产</w:t>
            </w:r>
          </w:p>
        </w:tc>
        <w:tc>
          <w:tcPr>
            <w:tcW w:w="6762" w:type="dxa"/>
            <w:tcBorders>
              <w:top w:val="single" w:color="auto" w:sz="4" w:space="0"/>
              <w:left w:val="single" w:color="auto" w:sz="4" w:space="0"/>
              <w:bottom w:val="single" w:color="auto" w:sz="4" w:space="0"/>
              <w:right w:val="single" w:color="000000" w:sz="8" w:space="0"/>
            </w:tcBorders>
            <w:vAlign w:val="center"/>
          </w:tcPr>
          <w:p w14:paraId="3B193294">
            <w:pPr>
              <w:ind w:right="29" w:rightChars="12"/>
              <w:jc w:val="center"/>
              <w:rPr>
                <w:rFonts w:hint="eastAsia" w:ascii="仿宋" w:hAnsi="仿宋" w:eastAsia="仿宋" w:cs="宋体"/>
                <w:bCs/>
                <w:color w:val="000000" w:themeColor="text1"/>
                <w:kern w:val="0"/>
                <w:sz w:val="24"/>
                <w:highlight w:val="none"/>
                <w:lang w:bidi="ar"/>
                <w14:textFill>
                  <w14:solidFill>
                    <w14:schemeClr w14:val="tx1"/>
                  </w14:solidFill>
                </w14:textFill>
              </w:rPr>
            </w:pPr>
            <w:r>
              <w:rPr>
                <w:rFonts w:hint="eastAsia" w:ascii="楷体" w:hAnsi="楷体" w:eastAsia="楷体"/>
                <w:sz w:val="20"/>
                <w:szCs w:val="20"/>
                <w:highlight w:val="none"/>
              </w:rPr>
              <w:t>【0%-49%</w:t>
            </w:r>
            <w:r>
              <w:rPr>
                <w:rFonts w:ascii="楷体" w:hAnsi="楷体" w:eastAsia="楷体"/>
                <w:sz w:val="20"/>
                <w:szCs w:val="20"/>
                <w:highlight w:val="none"/>
              </w:rPr>
              <w:t>】</w:t>
            </w:r>
          </w:p>
        </w:tc>
      </w:tr>
      <w:tr w14:paraId="4F43549D">
        <w:tblPrEx>
          <w:tblCellMar>
            <w:top w:w="0" w:type="dxa"/>
            <w:left w:w="108" w:type="dxa"/>
            <w:bottom w:w="0" w:type="dxa"/>
            <w:right w:w="108" w:type="dxa"/>
          </w:tblCellMar>
        </w:tblPrEx>
        <w:trPr>
          <w:trHeight w:val="406" w:hRule="atLeast"/>
        </w:trPr>
        <w:tc>
          <w:tcPr>
            <w:tcW w:w="2842" w:type="dxa"/>
            <w:tcBorders>
              <w:top w:val="single" w:color="auto" w:sz="4" w:space="0"/>
              <w:left w:val="single" w:color="000000" w:sz="8" w:space="0"/>
              <w:bottom w:val="single" w:color="auto" w:sz="4" w:space="0"/>
              <w:right w:val="single" w:color="auto" w:sz="4" w:space="0"/>
            </w:tcBorders>
            <w:vAlign w:val="center"/>
          </w:tcPr>
          <w:p w14:paraId="05D558DF">
            <w:pPr>
              <w:widowControl/>
              <w:spacing w:line="560" w:lineRule="exact"/>
              <w:jc w:val="center"/>
              <w:textAlignment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权益类资产</w:t>
            </w:r>
          </w:p>
        </w:tc>
        <w:tc>
          <w:tcPr>
            <w:tcW w:w="6762" w:type="dxa"/>
            <w:tcBorders>
              <w:top w:val="single" w:color="auto" w:sz="4" w:space="0"/>
              <w:left w:val="single" w:color="auto" w:sz="4" w:space="0"/>
              <w:bottom w:val="single" w:color="auto" w:sz="4" w:space="0"/>
              <w:right w:val="single" w:color="000000" w:sz="8" w:space="0"/>
            </w:tcBorders>
            <w:vAlign w:val="center"/>
          </w:tcPr>
          <w:p w14:paraId="51CC628B">
            <w:pPr>
              <w:ind w:right="29" w:rightChars="12"/>
              <w:jc w:val="center"/>
              <w:rPr>
                <w:rFonts w:hint="eastAsia" w:ascii="仿宋" w:hAnsi="仿宋" w:eastAsia="仿宋" w:cs="宋体"/>
                <w:bCs/>
                <w:color w:val="000000" w:themeColor="text1"/>
                <w:kern w:val="0"/>
                <w:sz w:val="24"/>
                <w:highlight w:val="none"/>
                <w:lang w:bidi="ar"/>
                <w14:textFill>
                  <w14:solidFill>
                    <w14:schemeClr w14:val="tx1"/>
                  </w14:solidFill>
                </w14:textFill>
              </w:rPr>
            </w:pPr>
            <w:r>
              <w:rPr>
                <w:rFonts w:hint="eastAsia" w:ascii="楷体" w:hAnsi="楷体" w:eastAsia="楷体"/>
                <w:sz w:val="20"/>
                <w:szCs w:val="20"/>
                <w:highlight w:val="none"/>
              </w:rPr>
              <w:t>【0%】</w:t>
            </w:r>
          </w:p>
        </w:tc>
      </w:tr>
      <w:tr w14:paraId="73E987F1">
        <w:tblPrEx>
          <w:tblCellMar>
            <w:top w:w="0" w:type="dxa"/>
            <w:left w:w="108" w:type="dxa"/>
            <w:bottom w:w="0" w:type="dxa"/>
            <w:right w:w="108" w:type="dxa"/>
          </w:tblCellMar>
        </w:tblPrEx>
        <w:trPr>
          <w:trHeight w:val="555" w:hRule="atLeast"/>
        </w:trPr>
        <w:tc>
          <w:tcPr>
            <w:tcW w:w="2842" w:type="dxa"/>
            <w:tcBorders>
              <w:top w:val="nil"/>
              <w:left w:val="single" w:color="000000" w:sz="8" w:space="0"/>
              <w:bottom w:val="single" w:color="auto" w:sz="4" w:space="0"/>
              <w:right w:val="single" w:color="auto" w:sz="4" w:space="0"/>
            </w:tcBorders>
            <w:vAlign w:val="center"/>
          </w:tcPr>
          <w:p w14:paraId="4B6F1CB5">
            <w:pPr>
              <w:spacing w:line="300" w:lineRule="exact"/>
              <w:ind w:left="-2" w:leftChars="-1" w:right="36" w:rightChars="15"/>
              <w:jc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商品及金融衍生品类资产：持仓合约价值</w:t>
            </w:r>
          </w:p>
        </w:tc>
        <w:tc>
          <w:tcPr>
            <w:tcW w:w="6762" w:type="dxa"/>
            <w:tcBorders>
              <w:top w:val="nil"/>
              <w:left w:val="single" w:color="auto" w:sz="4" w:space="0"/>
              <w:bottom w:val="single" w:color="auto" w:sz="4" w:space="0"/>
              <w:right w:val="single" w:color="000000" w:sz="8" w:space="0"/>
            </w:tcBorders>
            <w:vAlign w:val="center"/>
          </w:tcPr>
          <w:p w14:paraId="1158FB9E">
            <w:pPr>
              <w:ind w:right="29" w:rightChars="12"/>
              <w:jc w:val="center"/>
              <w:rPr>
                <w:rFonts w:hint="eastAsia" w:ascii="仿宋" w:hAnsi="仿宋" w:eastAsia="仿宋" w:cs="宋体"/>
                <w:bCs/>
                <w:color w:val="000000" w:themeColor="text1"/>
                <w:kern w:val="0"/>
                <w:sz w:val="24"/>
                <w:highlight w:val="none"/>
                <w:lang w:bidi="ar"/>
                <w14:textFill>
                  <w14:solidFill>
                    <w14:schemeClr w14:val="tx1"/>
                  </w14:solidFill>
                </w14:textFill>
              </w:rPr>
            </w:pPr>
            <w:r>
              <w:rPr>
                <w:rFonts w:hint="eastAsia" w:ascii="楷体" w:hAnsi="楷体" w:eastAsia="楷体"/>
                <w:sz w:val="20"/>
                <w:szCs w:val="20"/>
                <w:highlight w:val="none"/>
              </w:rPr>
              <w:t>【0%-20%】</w:t>
            </w:r>
          </w:p>
        </w:tc>
      </w:tr>
      <w:tr w14:paraId="0DFFFBF1">
        <w:tblPrEx>
          <w:tblCellMar>
            <w:top w:w="0" w:type="dxa"/>
            <w:left w:w="108" w:type="dxa"/>
            <w:bottom w:w="0" w:type="dxa"/>
            <w:right w:w="108" w:type="dxa"/>
          </w:tblCellMar>
        </w:tblPrEx>
        <w:trPr>
          <w:trHeight w:val="555" w:hRule="atLeast"/>
        </w:trPr>
        <w:tc>
          <w:tcPr>
            <w:tcW w:w="2842" w:type="dxa"/>
            <w:tcBorders>
              <w:top w:val="single" w:color="auto" w:sz="4" w:space="0"/>
              <w:left w:val="single" w:color="000000" w:sz="8" w:space="0"/>
              <w:bottom w:val="nil"/>
              <w:right w:val="single" w:color="auto" w:sz="4" w:space="0"/>
            </w:tcBorders>
            <w:vAlign w:val="center"/>
          </w:tcPr>
          <w:p w14:paraId="5697BBA4">
            <w:pPr>
              <w:spacing w:line="300" w:lineRule="exact"/>
              <w:ind w:left="-2" w:leftChars="-1" w:right="36" w:rightChars="15"/>
              <w:jc w:val="center"/>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商品及金融衍生品类资产：衍生品账户权益</w:t>
            </w:r>
          </w:p>
        </w:tc>
        <w:tc>
          <w:tcPr>
            <w:tcW w:w="6762" w:type="dxa"/>
            <w:tcBorders>
              <w:top w:val="single" w:color="auto" w:sz="4" w:space="0"/>
              <w:left w:val="single" w:color="auto" w:sz="4" w:space="0"/>
              <w:bottom w:val="nil"/>
              <w:right w:val="single" w:color="000000" w:sz="8" w:space="0"/>
            </w:tcBorders>
            <w:vAlign w:val="center"/>
          </w:tcPr>
          <w:p w14:paraId="16066290">
            <w:pPr>
              <w:ind w:right="29" w:rightChars="12"/>
              <w:jc w:val="center"/>
              <w:rPr>
                <w:rFonts w:hint="eastAsia" w:ascii="仿宋_GB2312" w:hAnsi="等线" w:eastAsia="仿宋_GB2312" w:cs="仿宋_GB2312"/>
                <w:bCs/>
                <w:color w:val="000000" w:themeColor="text1"/>
                <w:sz w:val="24"/>
                <w:highlight w:val="none"/>
                <w14:textFill>
                  <w14:solidFill>
                    <w14:schemeClr w14:val="tx1"/>
                  </w14:solidFill>
                </w14:textFill>
              </w:rPr>
            </w:pPr>
            <w:r>
              <w:rPr>
                <w:rFonts w:hint="eastAsia" w:ascii="楷体" w:hAnsi="楷体" w:eastAsia="楷体"/>
                <w:sz w:val="20"/>
                <w:szCs w:val="20"/>
                <w:highlight w:val="none"/>
              </w:rPr>
              <w:t>【0%-20%】</w:t>
            </w:r>
          </w:p>
        </w:tc>
      </w:tr>
      <w:tr w14:paraId="31C86B3B">
        <w:tblPrEx>
          <w:tblCellMar>
            <w:top w:w="0" w:type="dxa"/>
            <w:left w:w="108" w:type="dxa"/>
            <w:bottom w:w="0" w:type="dxa"/>
            <w:right w:w="108" w:type="dxa"/>
          </w:tblCellMar>
        </w:tblPrEx>
        <w:trPr>
          <w:trHeight w:val="270" w:hRule="atLeast"/>
        </w:trPr>
        <w:tc>
          <w:tcPr>
            <w:tcW w:w="9604" w:type="dxa"/>
            <w:gridSpan w:val="2"/>
            <w:tcBorders>
              <w:top w:val="single" w:color="000000" w:sz="4" w:space="0"/>
              <w:left w:val="single" w:color="000000" w:sz="8" w:space="0"/>
              <w:bottom w:val="single" w:color="000000" w:sz="4" w:space="0"/>
              <w:right w:val="single" w:color="000000" w:sz="4" w:space="0"/>
            </w:tcBorders>
            <w:vAlign w:val="center"/>
          </w:tcPr>
          <w:p w14:paraId="19998678">
            <w:pPr>
              <w:widowControl/>
              <w:spacing w:line="560" w:lineRule="exact"/>
              <w:jc w:val="center"/>
              <w:textAlignment w:val="center"/>
              <w:rPr>
                <w:rFonts w:hint="eastAsia" w:ascii="楷体_GB2312" w:hAnsi="等线" w:eastAsia="楷体_GB2312" w:cs="楷体_GB2312"/>
                <w:bCs/>
                <w:color w:val="000000" w:themeColor="text1"/>
                <w:sz w:val="24"/>
                <w:highlight w:val="none"/>
                <w14:textFill>
                  <w14:solidFill>
                    <w14:schemeClr w14:val="tx1"/>
                  </w14:solidFill>
                </w14:textFill>
              </w:rPr>
            </w:pPr>
            <w:r>
              <w:rPr>
                <w:rFonts w:hint="eastAsia" w:ascii="楷体_GB2312" w:hAnsi="等线" w:eastAsia="楷体_GB2312" w:cs="楷体_GB2312"/>
                <w:b/>
                <w:color w:val="000000" w:themeColor="text1"/>
                <w:kern w:val="0"/>
                <w:sz w:val="24"/>
                <w:highlight w:val="none"/>
                <w:lang w:bidi="ar"/>
                <w14:textFill>
                  <w14:solidFill>
                    <w14:schemeClr w14:val="tx1"/>
                  </w14:solidFill>
                </w14:textFill>
              </w:rPr>
              <w:t>（八）其他约定</w:t>
            </w:r>
          </w:p>
        </w:tc>
      </w:tr>
      <w:tr w14:paraId="54FA536C">
        <w:tblPrEx>
          <w:tblCellMar>
            <w:top w:w="0" w:type="dxa"/>
            <w:left w:w="108" w:type="dxa"/>
            <w:bottom w:w="0" w:type="dxa"/>
            <w:right w:w="108" w:type="dxa"/>
          </w:tblCellMar>
        </w:tblPrEx>
        <w:trPr>
          <w:trHeight w:val="334" w:hRule="atLeast"/>
        </w:trPr>
        <w:tc>
          <w:tcPr>
            <w:tcW w:w="2842" w:type="dxa"/>
            <w:tcBorders>
              <w:top w:val="single" w:color="000000" w:sz="4" w:space="0"/>
              <w:left w:val="single" w:color="000000" w:sz="8" w:space="0"/>
              <w:bottom w:val="single" w:color="000000" w:sz="8" w:space="0"/>
              <w:right w:val="single" w:color="auto" w:sz="4" w:space="0"/>
            </w:tcBorders>
            <w:vAlign w:val="center"/>
          </w:tcPr>
          <w:p w14:paraId="70C694C4">
            <w:pPr>
              <w:widowControl/>
              <w:spacing w:line="560" w:lineRule="exact"/>
              <w:jc w:val="center"/>
              <w:textAlignment w:val="center"/>
              <w:rPr>
                <w:rFonts w:hint="eastAsia" w:ascii="仿宋_GB2312" w:hAnsi="等线" w:eastAsia="仿宋_GB2312" w:cs="仿宋_GB2312"/>
                <w:color w:val="000000" w:themeColor="text1"/>
                <w:sz w:val="24"/>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其他约定</w:t>
            </w:r>
          </w:p>
        </w:tc>
        <w:tc>
          <w:tcPr>
            <w:tcW w:w="6762" w:type="dxa"/>
            <w:tcBorders>
              <w:top w:val="single" w:color="000000" w:sz="4" w:space="0"/>
              <w:left w:val="single" w:color="auto" w:sz="4" w:space="0"/>
              <w:bottom w:val="single" w:color="000000" w:sz="8" w:space="0"/>
              <w:right w:val="single" w:color="000000" w:sz="8" w:space="0"/>
            </w:tcBorders>
            <w:shd w:val="clear" w:color="auto" w:fill="auto"/>
            <w:vAlign w:val="center"/>
          </w:tcPr>
          <w:p w14:paraId="0D4617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lang w:val="en-US" w:eastAsia="zh-CN" w:bidi="ar-SA"/>
              </w:rPr>
            </w:pPr>
            <w:r>
              <w:rPr>
                <w:rFonts w:hint="eastAsia" w:ascii="Times New Roman" w:eastAsia="楷体_GB2312" w:cs="楷体_GB2312"/>
                <w:i w:val="0"/>
                <w:iCs w:val="0"/>
                <w:color w:val="000000" w:themeColor="text1"/>
                <w:kern w:val="0"/>
                <w:sz w:val="20"/>
                <w:szCs w:val="20"/>
                <w:highlight w:val="none"/>
                <w:u w:val="none"/>
                <w:lang w:val="en-US" w:eastAsia="zh-CN" w:bidi="ar"/>
                <w14:textFill>
                  <w14:solidFill>
                    <w14:schemeClr w14:val="tx1"/>
                  </w14:solidFill>
                </w14:textFill>
              </w:rPr>
              <w:t>详见产品说明书。</w:t>
            </w:r>
          </w:p>
        </w:tc>
      </w:tr>
    </w:tbl>
    <w:p w14:paraId="01E33576">
      <w:pPr>
        <w:spacing w:line="300" w:lineRule="exact"/>
        <w:ind w:right="-792" w:rightChars="-330"/>
        <w:rPr>
          <w:color w:val="000000" w:themeColor="text1"/>
          <w:highlight w:val="none"/>
          <w14:textFill>
            <w14:solidFill>
              <w14:schemeClr w14:val="tx1"/>
            </w14:solidFill>
          </w14:textFill>
        </w:rPr>
      </w:pPr>
    </w:p>
    <w:p w14:paraId="0D4AD127">
      <w:pPr>
        <w:spacing w:line="300" w:lineRule="exact"/>
        <w:ind w:right="-792" w:rightChars="-330"/>
        <w:rPr>
          <w:color w:val="000000" w:themeColor="text1"/>
          <w:highlight w:val="none"/>
          <w14:textFill>
            <w14:solidFill>
              <w14:schemeClr w14:val="tx1"/>
            </w14:solidFill>
          </w14:textFill>
        </w:rPr>
      </w:pPr>
      <w:r>
        <w:rPr>
          <w:rFonts w:hint="eastAsia" w:ascii="黑体" w:hAnsi="Times New Roman" w:eastAsia="黑体" w:cs="黑体"/>
          <w:b/>
          <w:bCs/>
          <w:color w:val="000000" w:themeColor="text1"/>
          <w:sz w:val="20"/>
          <w:szCs w:val="20"/>
          <w:highlight w:val="none"/>
          <w14:textFill>
            <w14:solidFill>
              <w14:schemeClr w14:val="tx1"/>
            </w14:solidFill>
          </w14:textFill>
        </w:rPr>
        <w:t>重要须知</w:t>
      </w:r>
      <w:r>
        <w:rPr>
          <w:rFonts w:hint="eastAsia" w:ascii="黑体" w:hAnsi="Times New Roman" w:eastAsia="黑体" w:cs="黑体"/>
          <w:color w:val="000000" w:themeColor="text1"/>
          <w:sz w:val="20"/>
          <w:szCs w:val="20"/>
          <w:highlight w:val="none"/>
          <w14:textFill>
            <w14:solidFill>
              <w14:schemeClr w14:val="tx1"/>
            </w14:solidFill>
          </w14:textFill>
        </w:rPr>
        <w:t>：</w:t>
      </w:r>
    </w:p>
    <w:p w14:paraId="575147D5">
      <w:pPr>
        <w:snapToGrid w:val="0"/>
        <w:ind w:firstLine="402" w:firstLineChars="200"/>
        <w:jc w:val="both"/>
        <w:rPr>
          <w:b/>
          <w:color w:val="000000" w:themeColor="text1"/>
          <w:highlight w:val="none"/>
          <w14:textFill>
            <w14:solidFill>
              <w14:schemeClr w14:val="tx1"/>
            </w14:solidFill>
          </w14:textFill>
        </w:rPr>
      </w:pPr>
      <w:r>
        <w:rPr>
          <w:rFonts w:ascii="黑体" w:hAnsi="Times New Roman" w:eastAsia="黑体" w:cs="黑体"/>
          <w:b/>
          <w:color w:val="000000" w:themeColor="text1"/>
          <w:sz w:val="20"/>
          <w:szCs w:val="20"/>
          <w:highlight w:val="none"/>
          <w14:textFill>
            <w14:solidFill>
              <w14:schemeClr w14:val="tx1"/>
            </w14:solidFill>
          </w14:textFill>
        </w:rPr>
        <w:t>1</w:t>
      </w:r>
      <w:r>
        <w:rPr>
          <w:rFonts w:hint="eastAsia" w:ascii="黑体" w:hAnsi="Times New Roman" w:eastAsia="黑体" w:cs="黑体"/>
          <w:b/>
          <w:color w:val="000000" w:themeColor="text1"/>
          <w:sz w:val="20"/>
          <w:szCs w:val="20"/>
          <w:highlight w:val="none"/>
          <w14:textFill>
            <w14:solidFill>
              <w14:schemeClr w14:val="tx1"/>
            </w14:solidFill>
          </w14:textFill>
        </w:rPr>
        <w:t>．本理财产品的产品期限为【</w:t>
      </w:r>
      <w:r>
        <w:rPr>
          <w:rFonts w:ascii="黑体" w:hAnsi="Times New Roman" w:eastAsia="黑体" w:cs="黑体"/>
          <w:b/>
          <w:color w:val="000000" w:themeColor="text1"/>
          <w:sz w:val="20"/>
          <w:szCs w:val="20"/>
          <w:highlight w:val="none"/>
          <w14:textFill>
            <w14:solidFill>
              <w14:schemeClr w14:val="tx1"/>
            </w14:solidFill>
          </w14:textFill>
        </w:rPr>
        <w:t>197</w:t>
      </w:r>
      <w:r>
        <w:rPr>
          <w:rFonts w:hint="eastAsia" w:ascii="黑体" w:hAnsi="Times New Roman" w:eastAsia="黑体" w:cs="黑体"/>
          <w:b/>
          <w:color w:val="000000" w:themeColor="text1"/>
          <w:sz w:val="20"/>
          <w:szCs w:val="20"/>
          <w:highlight w:val="none"/>
          <w14:textFill>
            <w14:solidFill>
              <w14:schemeClr w14:val="tx1"/>
            </w14:solidFill>
          </w14:textFill>
        </w:rPr>
        <w:t>】天，到期日为</w:t>
      </w:r>
      <w:r>
        <w:rPr>
          <w:rFonts w:ascii="黑体" w:hAnsi="Times New Roman" w:eastAsia="黑体" w:cs="黑体"/>
          <w:b/>
          <w:color w:val="000000" w:themeColor="text1"/>
          <w:sz w:val="20"/>
          <w:szCs w:val="20"/>
          <w:highlight w:val="none"/>
          <w14:textFill>
            <w14:solidFill>
              <w14:schemeClr w14:val="tx1"/>
            </w14:solidFill>
          </w14:textFill>
        </w:rPr>
        <w:t>【2027】年【3】月【17】日</w:t>
      </w:r>
      <w:r>
        <w:rPr>
          <w:rFonts w:hint="eastAsia" w:ascii="黑体" w:hAnsi="Times New Roman" w:eastAsia="黑体" w:cs="黑体"/>
          <w:b/>
          <w:color w:val="000000" w:themeColor="text1"/>
          <w:sz w:val="20"/>
          <w:szCs w:val="20"/>
          <w:highlight w:val="none"/>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hAnsi="Times New Roman" w:eastAsia="黑体" w:cs="黑体"/>
          <w:color w:val="000000" w:themeColor="text1"/>
          <w:sz w:val="20"/>
          <w:szCs w:val="20"/>
          <w:highlight w:val="none"/>
          <w14:textFill>
            <w14:solidFill>
              <w14:schemeClr w14:val="tx1"/>
            </w14:solidFill>
          </w14:textFill>
        </w:rPr>
      </w:pPr>
      <w:r>
        <w:rPr>
          <w:rFonts w:ascii="黑体" w:hAnsi="Times New Roman" w:eastAsia="黑体" w:cs="黑体"/>
          <w:color w:val="000000" w:themeColor="text1"/>
          <w:sz w:val="20"/>
          <w:szCs w:val="20"/>
          <w:highlight w:val="none"/>
          <w14:textFill>
            <w14:solidFill>
              <w14:schemeClr w14:val="tx1"/>
            </w14:solidFill>
          </w14:textFill>
        </w:rPr>
        <w:t>2</w:t>
      </w:r>
      <w:r>
        <w:rPr>
          <w:rFonts w:hint="eastAsia" w:ascii="黑体" w:hAnsi="Times New Roman" w:eastAsia="黑体" w:cs="黑体"/>
          <w:color w:val="000000" w:themeColor="text1"/>
          <w:sz w:val="20"/>
          <w:szCs w:val="20"/>
          <w:highlight w:val="none"/>
          <w14:textFill>
            <w14:solidFill>
              <w14:schemeClr w14:val="tx1"/>
            </w14:solidFill>
          </w14:textFill>
        </w:rPr>
        <w:t>．</w:t>
      </w:r>
      <w:r>
        <w:rPr>
          <w:rFonts w:ascii="黑体" w:hAnsi="Times New Roman" w:eastAsia="黑体" w:cs="黑体"/>
          <w:color w:val="000000" w:themeColor="text1"/>
          <w:sz w:val="20"/>
          <w:szCs w:val="20"/>
          <w:highlight w:val="none"/>
          <w14:textFill>
            <w14:solidFill>
              <w14:schemeClr w14:val="tx1"/>
            </w14:solidFill>
          </w14:textFill>
        </w:rPr>
        <w:t>本</w:t>
      </w:r>
      <w:r>
        <w:rPr>
          <w:rFonts w:hint="eastAsia" w:ascii="黑体" w:hAnsi="Times New Roman" w:eastAsia="黑体" w:cs="黑体"/>
          <w:color w:val="000000" w:themeColor="text1"/>
          <w:sz w:val="20"/>
          <w:szCs w:val="20"/>
          <w:highlight w:val="none"/>
          <w14:textFill>
            <w14:solidFill>
              <w14:schemeClr w14:val="tx1"/>
            </w14:solidFill>
          </w14:textFill>
        </w:rPr>
        <w:t>理财产品的《信银理财理财</w:t>
      </w:r>
      <w:r>
        <w:rPr>
          <w:rFonts w:ascii="黑体" w:hAnsi="Times New Roman" w:eastAsia="黑体" w:cs="黑体"/>
          <w:color w:val="000000" w:themeColor="text1"/>
          <w:sz w:val="20"/>
          <w:szCs w:val="20"/>
          <w:highlight w:val="none"/>
          <w14:textFill>
            <w14:solidFill>
              <w14:schemeClr w14:val="tx1"/>
            </w14:solidFill>
          </w14:textFill>
        </w:rPr>
        <w:t>产品说明书</w:t>
      </w:r>
      <w:r>
        <w:rPr>
          <w:rFonts w:hint="eastAsia" w:ascii="黑体" w:hAnsi="Times New Roman" w:eastAsia="黑体" w:cs="黑体"/>
          <w:color w:val="000000" w:themeColor="text1"/>
          <w:sz w:val="20"/>
          <w:szCs w:val="20"/>
          <w:highlight w:val="none"/>
          <w14:textFill>
            <w14:solidFill>
              <w14:schemeClr w14:val="tx1"/>
            </w14:solidFill>
          </w14:textFill>
        </w:rPr>
        <w:t>》、</w:t>
      </w:r>
      <w:r>
        <w:rPr>
          <w:rFonts w:ascii="黑体" w:hAnsi="Times New Roman" w:eastAsia="黑体" w:cs="黑体"/>
          <w:color w:val="000000" w:themeColor="text1"/>
          <w:sz w:val="20"/>
          <w:szCs w:val="20"/>
          <w:highlight w:val="none"/>
          <w14:textFill>
            <w14:solidFill>
              <w14:schemeClr w14:val="tx1"/>
            </w14:solidFill>
          </w14:textFill>
        </w:rPr>
        <w:t>《</w:t>
      </w:r>
      <w:r>
        <w:rPr>
          <w:rFonts w:hint="eastAsia" w:ascii="黑体" w:hAnsi="Times New Roman" w:eastAsia="黑体" w:cs="黑体"/>
          <w:color w:val="000000" w:themeColor="text1"/>
          <w:sz w:val="20"/>
          <w:szCs w:val="20"/>
          <w:highlight w:val="none"/>
          <w14:textFill>
            <w14:solidFill>
              <w14:schemeClr w14:val="tx1"/>
            </w14:solidFill>
          </w14:textFill>
        </w:rPr>
        <w:t>信银</w:t>
      </w:r>
      <w:r>
        <w:rPr>
          <w:rFonts w:ascii="黑体" w:hAnsi="Times New Roman" w:eastAsia="黑体" w:cs="黑体"/>
          <w:color w:val="000000" w:themeColor="text1"/>
          <w:sz w:val="20"/>
          <w:szCs w:val="20"/>
          <w:highlight w:val="none"/>
          <w14:textFill>
            <w14:solidFill>
              <w14:schemeClr w14:val="tx1"/>
            </w14:solidFill>
          </w14:textFill>
        </w:rPr>
        <w:t>理财理财产品风险揭示书》</w:t>
      </w:r>
      <w:r>
        <w:rPr>
          <w:rFonts w:hint="eastAsia" w:ascii="黑体" w:hAnsi="Times New Roman" w:eastAsia="黑体" w:cs="黑体"/>
          <w:color w:val="000000" w:themeColor="text1"/>
          <w:sz w:val="20"/>
          <w:szCs w:val="20"/>
          <w:highlight w:val="none"/>
          <w14:textFill>
            <w14:solidFill>
              <w14:schemeClr w14:val="tx1"/>
            </w14:solidFill>
          </w14:textFill>
        </w:rPr>
        <w:t>、《信银理财理财产品投资协议书》</w:t>
      </w:r>
      <w:r>
        <w:rPr>
          <w:rFonts w:ascii="黑体" w:hAnsi="Times New Roman" w:eastAsia="黑体" w:cs="黑体"/>
          <w:color w:val="000000" w:themeColor="text1"/>
          <w:sz w:val="20"/>
          <w:szCs w:val="20"/>
          <w:highlight w:val="none"/>
          <w14:textFill>
            <w14:solidFill>
              <w14:schemeClr w14:val="tx1"/>
            </w14:solidFill>
          </w14:textFill>
        </w:rPr>
        <w:t>与《信银理财理财产品销售总协议》（含附件：客户权益须知专页）（或合作销售机构向投资者提供的理财产品销售协议文本）</w:t>
      </w:r>
      <w:r>
        <w:rPr>
          <w:rFonts w:hint="eastAsia" w:ascii="黑体" w:hAnsi="Times New Roman" w:eastAsia="黑体" w:cs="黑体"/>
          <w:color w:val="000000" w:themeColor="text1"/>
          <w:sz w:val="20"/>
          <w:szCs w:val="20"/>
          <w:highlight w:val="none"/>
          <w14:textFill>
            <w14:solidFill>
              <w14:schemeClr w14:val="tx1"/>
            </w14:solidFill>
          </w14:textFill>
        </w:rPr>
        <w:t>等文件及其不时有效修订与补充</w:t>
      </w:r>
      <w:r>
        <w:rPr>
          <w:rFonts w:ascii="黑体" w:hAnsi="Times New Roman" w:eastAsia="黑体" w:cs="黑体"/>
          <w:color w:val="000000" w:themeColor="text1"/>
          <w:sz w:val="20"/>
          <w:szCs w:val="20"/>
          <w:highlight w:val="none"/>
          <w14:textFill>
            <w14:solidFill>
              <w14:schemeClr w14:val="tx1"/>
            </w14:solidFill>
          </w14:textFill>
        </w:rPr>
        <w:t>共同构成</w:t>
      </w:r>
      <w:r>
        <w:rPr>
          <w:rFonts w:hint="eastAsia" w:ascii="黑体" w:hAnsi="Times New Roman" w:eastAsia="黑体" w:cs="黑体"/>
          <w:color w:val="000000" w:themeColor="text1"/>
          <w:sz w:val="20"/>
          <w:szCs w:val="20"/>
          <w:highlight w:val="none"/>
          <w14:textFill>
            <w14:solidFill>
              <w14:schemeClr w14:val="tx1"/>
            </w14:solidFill>
          </w14:textFill>
        </w:rPr>
        <w:t>理财产品销售文件</w:t>
      </w:r>
      <w:r>
        <w:rPr>
          <w:rFonts w:ascii="黑体" w:hAnsi="Times New Roman" w:eastAsia="黑体" w:cs="黑体"/>
          <w:color w:val="000000" w:themeColor="text1"/>
          <w:sz w:val="20"/>
          <w:szCs w:val="20"/>
          <w:highlight w:val="none"/>
          <w14:textFill>
            <w14:solidFill>
              <w14:schemeClr w14:val="tx1"/>
            </w14:solidFill>
          </w14:textFill>
        </w:rPr>
        <w:t>。</w:t>
      </w:r>
    </w:p>
    <w:p w14:paraId="3297E997">
      <w:pPr>
        <w:snapToGrid w:val="0"/>
        <w:ind w:firstLine="400" w:firstLineChars="200"/>
        <w:jc w:val="both"/>
        <w:rPr>
          <w:color w:val="000000" w:themeColor="text1"/>
          <w:highlight w:val="none"/>
          <w14:textFill>
            <w14:solidFill>
              <w14:schemeClr w14:val="tx1"/>
            </w14:solidFill>
          </w14:textFill>
        </w:rPr>
      </w:pPr>
      <w:r>
        <w:rPr>
          <w:rFonts w:ascii="黑体" w:hAnsi="Times New Roman" w:eastAsia="黑体" w:cs="黑体"/>
          <w:color w:val="000000" w:themeColor="text1"/>
          <w:sz w:val="20"/>
          <w:szCs w:val="20"/>
          <w:highlight w:val="none"/>
          <w14:textFill>
            <w14:solidFill>
              <w14:schemeClr w14:val="tx1"/>
            </w14:solidFill>
          </w14:textFill>
        </w:rPr>
        <w:t>3</w:t>
      </w:r>
      <w:r>
        <w:rPr>
          <w:rFonts w:hint="eastAsia" w:ascii="黑体" w:hAnsi="Times New Roman" w:eastAsia="黑体" w:cs="黑体"/>
          <w:color w:val="000000" w:themeColor="text1"/>
          <w:sz w:val="20"/>
          <w:szCs w:val="20"/>
          <w:highlight w:val="none"/>
          <w14:textFill>
            <w14:solidFill>
              <w14:schemeClr w14:val="tx1"/>
            </w14:solidFill>
          </w14:textFill>
        </w:rPr>
        <w:t>．本理财产品不等同于银行存款。</w:t>
      </w:r>
    </w:p>
    <w:p w14:paraId="56DCE517">
      <w:pPr>
        <w:snapToGrid w:val="0"/>
        <w:ind w:firstLine="400" w:firstLineChars="200"/>
        <w:jc w:val="both"/>
        <w:rPr>
          <w:color w:val="000000" w:themeColor="text1"/>
          <w:highlight w:val="none"/>
          <w14:textFill>
            <w14:solidFill>
              <w14:schemeClr w14:val="tx1"/>
            </w14:solidFill>
          </w14:textFill>
        </w:rPr>
      </w:pPr>
      <w:r>
        <w:rPr>
          <w:rFonts w:ascii="黑体" w:hAnsi="Times New Roman" w:eastAsia="黑体" w:cs="黑体"/>
          <w:color w:val="000000" w:themeColor="text1"/>
          <w:sz w:val="20"/>
          <w:szCs w:val="20"/>
          <w:highlight w:val="none"/>
          <w14:textFill>
            <w14:solidFill>
              <w14:schemeClr w14:val="tx1"/>
            </w14:solidFill>
          </w14:textFill>
        </w:rPr>
        <w:t>4</w:t>
      </w:r>
      <w:r>
        <w:rPr>
          <w:rFonts w:hint="eastAsia" w:ascii="黑体" w:hAnsi="Times New Roman" w:eastAsia="黑体" w:cs="黑体"/>
          <w:color w:val="000000" w:themeColor="text1"/>
          <w:sz w:val="20"/>
          <w:szCs w:val="20"/>
          <w:highlight w:val="none"/>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hAnsi="Times New Roman" w:eastAsia="黑体" w:cs="黑体"/>
          <w:color w:val="000000" w:themeColor="text1"/>
          <w:sz w:val="20"/>
          <w:szCs w:val="20"/>
          <w:highlight w:val="none"/>
          <w14:textFill>
            <w14:solidFill>
              <w14:schemeClr w14:val="tx1"/>
            </w14:solidFill>
          </w14:textFill>
        </w:rPr>
        <w:t>机构</w:t>
      </w:r>
      <w:r>
        <w:rPr>
          <w:rFonts w:hint="eastAsia" w:ascii="黑体" w:hAnsi="Times New Roman" w:eastAsia="黑体" w:cs="黑体"/>
          <w:color w:val="000000" w:themeColor="text1"/>
          <w:sz w:val="20"/>
          <w:szCs w:val="20"/>
          <w:highlight w:val="none"/>
          <w14:textFill>
            <w14:solidFill>
              <w14:schemeClr w14:val="tx1"/>
            </w14:solidFill>
          </w14:textFill>
        </w:rPr>
        <w:t>各营业场所或营业</w:t>
      </w:r>
      <w:r>
        <w:rPr>
          <w:rFonts w:ascii="黑体" w:hAnsi="Times New Roman" w:eastAsia="黑体" w:cs="黑体"/>
          <w:color w:val="000000" w:themeColor="text1"/>
          <w:sz w:val="20"/>
          <w:szCs w:val="20"/>
          <w:highlight w:val="none"/>
          <w14:textFill>
            <w14:solidFill>
              <w14:schemeClr w14:val="tx1"/>
            </w14:solidFill>
          </w14:textFill>
        </w:rPr>
        <w:t>网点</w:t>
      </w:r>
      <w:r>
        <w:rPr>
          <w:rFonts w:hint="eastAsia" w:ascii="黑体" w:hAnsi="Times New Roman" w:eastAsia="黑体" w:cs="黑体"/>
          <w:color w:val="000000" w:themeColor="text1"/>
          <w:sz w:val="20"/>
          <w:szCs w:val="20"/>
          <w:highlight w:val="none"/>
          <w14:textFill>
            <w14:solidFill>
              <w14:schemeClr w14:val="tx1"/>
            </w14:solidFill>
          </w14:textFill>
        </w:rPr>
        <w:t>咨询。</w:t>
      </w:r>
    </w:p>
    <w:p w14:paraId="422532DF">
      <w:pPr>
        <w:snapToGrid w:val="0"/>
        <w:ind w:firstLine="400" w:firstLineChars="200"/>
        <w:jc w:val="both"/>
        <w:rPr>
          <w:color w:val="000000" w:themeColor="text1"/>
          <w:highlight w:val="none"/>
          <w14:textFill>
            <w14:solidFill>
              <w14:schemeClr w14:val="tx1"/>
            </w14:solidFill>
          </w14:textFill>
        </w:rPr>
      </w:pPr>
      <w:r>
        <w:rPr>
          <w:rFonts w:ascii="黑体" w:hAnsi="Times New Roman" w:eastAsia="黑体" w:cs="黑体"/>
          <w:color w:val="000000" w:themeColor="text1"/>
          <w:sz w:val="20"/>
          <w:szCs w:val="20"/>
          <w:highlight w:val="none"/>
          <w14:textFill>
            <w14:solidFill>
              <w14:schemeClr w14:val="tx1"/>
            </w14:solidFill>
          </w14:textFill>
        </w:rPr>
        <w:t>5</w:t>
      </w:r>
      <w:r>
        <w:rPr>
          <w:rFonts w:hint="eastAsia" w:ascii="黑体" w:hAnsi="Times New Roman" w:eastAsia="黑体" w:cs="黑体"/>
          <w:color w:val="000000" w:themeColor="text1"/>
          <w:sz w:val="20"/>
          <w:szCs w:val="20"/>
          <w:highlight w:val="none"/>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val="000000" w:themeColor="text1"/>
          <w:highlight w:val="none"/>
          <w14:textFill>
            <w14:solidFill>
              <w14:schemeClr w14:val="tx1"/>
            </w14:solidFill>
          </w14:textFill>
        </w:rPr>
      </w:pPr>
      <w:r>
        <w:rPr>
          <w:rFonts w:ascii="黑体" w:hAnsi="Times New Roman" w:eastAsia="黑体" w:cs="黑体"/>
          <w:b/>
          <w:color w:val="000000" w:themeColor="text1"/>
          <w:sz w:val="20"/>
          <w:szCs w:val="20"/>
          <w:highlight w:val="none"/>
          <w14:textFill>
            <w14:solidFill>
              <w14:schemeClr w14:val="tx1"/>
            </w14:solidFill>
          </w14:textFill>
        </w:rPr>
        <w:t>6</w:t>
      </w:r>
      <w:r>
        <w:rPr>
          <w:rFonts w:hint="eastAsia" w:ascii="黑体" w:hAnsi="Times New Roman" w:eastAsia="黑体" w:cs="黑体"/>
          <w:b/>
          <w:color w:val="000000" w:themeColor="text1"/>
          <w:sz w:val="20"/>
          <w:szCs w:val="20"/>
          <w:highlight w:val="none"/>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val="000000" w:themeColor="text1"/>
          <w:highlight w:val="none"/>
          <w14:textFill>
            <w14:solidFill>
              <w14:schemeClr w14:val="tx1"/>
            </w14:solidFill>
          </w14:textFill>
        </w:rPr>
      </w:pPr>
      <w:r>
        <w:rPr>
          <w:rFonts w:ascii="黑体" w:hAnsi="Times New Roman" w:eastAsia="黑体"/>
          <w:color w:val="000000" w:themeColor="text1"/>
          <w:sz w:val="20"/>
          <w:szCs w:val="20"/>
          <w:highlight w:val="none"/>
          <w14:textFill>
            <w14:solidFill>
              <w14:schemeClr w14:val="tx1"/>
            </w14:solidFill>
          </w14:textFill>
        </w:rPr>
        <w:t> </w:t>
      </w:r>
    </w:p>
    <w:p w14:paraId="25097462">
      <w:pPr>
        <w:snapToGrid w:val="0"/>
        <w:ind w:firstLine="200"/>
        <w:jc w:val="both"/>
        <w:rPr>
          <w:b/>
          <w:color w:val="000000" w:themeColor="text1"/>
          <w:highlight w:val="none"/>
          <w14:textFill>
            <w14:solidFill>
              <w14:schemeClr w14:val="tx1"/>
            </w14:solidFill>
          </w14:textFill>
        </w:rPr>
      </w:pPr>
      <w:r>
        <w:rPr>
          <w:rFonts w:hint="eastAsia" w:ascii="黑体" w:hAnsi="Times New Roman" w:eastAsia="黑体" w:cs="黑体"/>
          <w:b/>
          <w:bCs/>
          <w:color w:val="000000" w:themeColor="text1"/>
          <w:sz w:val="20"/>
          <w:szCs w:val="20"/>
          <w:highlight w:val="none"/>
          <w14:textFill>
            <w14:solidFill>
              <w14:schemeClr w14:val="tx1"/>
            </w14:solidFill>
          </w14:textFill>
        </w:rPr>
        <w:t>风险提示：</w:t>
      </w:r>
    </w:p>
    <w:p w14:paraId="7B53214D">
      <w:pPr>
        <w:snapToGrid w:val="0"/>
        <w:ind w:firstLine="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highlight w:val="none"/>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6．</w:t>
      </w:r>
      <w:r>
        <w:rPr>
          <w:rFonts w:hint="eastAsia" w:ascii="黑体" w:hAnsi="Times New Roman" w:eastAsia="黑体"/>
          <w:b/>
          <w:color w:val="000000" w:themeColor="text1"/>
          <w:sz w:val="20"/>
          <w:szCs w:val="20"/>
          <w:highlight w:val="none"/>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highlight w:val="none"/>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highlight w:val="none"/>
          <w14:textFill>
            <w14:solidFill>
              <w14:schemeClr w14:val="tx1"/>
            </w14:solidFill>
          </w14:textFill>
        </w:rPr>
        <w:t>代销机构</w:t>
      </w:r>
      <w:r>
        <w:rPr>
          <w:rFonts w:hint="eastAsia" w:ascii="黑体" w:eastAsia="黑体"/>
          <w:b/>
          <w:color w:val="000000" w:themeColor="text1"/>
          <w:sz w:val="20"/>
          <w:szCs w:val="20"/>
          <w:highlight w:val="none"/>
          <w14:textFill>
            <w14:solidFill>
              <w14:schemeClr w14:val="tx1"/>
            </w14:solidFill>
          </w14:textFill>
        </w:rPr>
        <w:t>的有效联系方式变更的，应及时通知信银理财或</w:t>
      </w:r>
      <w:r>
        <w:rPr>
          <w:rFonts w:ascii="黑体" w:eastAsia="黑体"/>
          <w:b/>
          <w:color w:val="000000" w:themeColor="text1"/>
          <w:sz w:val="20"/>
          <w:szCs w:val="20"/>
          <w:highlight w:val="none"/>
          <w14:textFill>
            <w14:solidFill>
              <w14:schemeClr w14:val="tx1"/>
            </w14:solidFill>
          </w14:textFill>
        </w:rPr>
        <w:t>代销机构</w:t>
      </w:r>
      <w:r>
        <w:rPr>
          <w:rFonts w:hint="eastAsia" w:ascii="黑体" w:eastAsia="黑体"/>
          <w:b/>
          <w:color w:val="000000" w:themeColor="text1"/>
          <w:sz w:val="20"/>
          <w:szCs w:val="20"/>
          <w:highlight w:val="none"/>
          <w14:textFill>
            <w14:solidFill>
              <w14:schemeClr w14:val="tx1"/>
            </w14:solidFill>
          </w14:textFill>
        </w:rPr>
        <w:t>。如投资者未及时告知信银理财或</w:t>
      </w:r>
      <w:r>
        <w:rPr>
          <w:rFonts w:ascii="黑体" w:eastAsia="黑体"/>
          <w:b/>
          <w:color w:val="000000" w:themeColor="text1"/>
          <w:sz w:val="20"/>
          <w:szCs w:val="20"/>
          <w:highlight w:val="none"/>
          <w14:textFill>
            <w14:solidFill>
              <w14:schemeClr w14:val="tx1"/>
            </w14:solidFill>
          </w14:textFill>
        </w:rPr>
        <w:t>代销机构</w:t>
      </w:r>
      <w:r>
        <w:rPr>
          <w:rFonts w:hint="eastAsia" w:ascii="黑体" w:eastAsia="黑体"/>
          <w:b/>
          <w:color w:val="000000" w:themeColor="text1"/>
          <w:sz w:val="20"/>
          <w:szCs w:val="20"/>
          <w:highlight w:val="none"/>
          <w14:textFill>
            <w14:solidFill>
              <w14:schemeClr w14:val="tx1"/>
            </w14:solidFill>
          </w14:textFill>
        </w:rPr>
        <w:t>联系方式变更的，或因投资者其他原因导致信银理财或</w:t>
      </w:r>
      <w:r>
        <w:rPr>
          <w:rFonts w:ascii="黑体" w:eastAsia="黑体"/>
          <w:b/>
          <w:color w:val="000000" w:themeColor="text1"/>
          <w:sz w:val="20"/>
          <w:szCs w:val="20"/>
          <w:highlight w:val="none"/>
          <w14:textFill>
            <w14:solidFill>
              <w14:schemeClr w14:val="tx1"/>
            </w14:solidFill>
          </w14:textFill>
        </w:rPr>
        <w:t>代销机构</w:t>
      </w:r>
      <w:r>
        <w:rPr>
          <w:rFonts w:hint="eastAsia" w:ascii="黑体" w:eastAsia="黑体"/>
          <w:b/>
          <w:color w:val="000000" w:themeColor="text1"/>
          <w:sz w:val="20"/>
          <w:szCs w:val="20"/>
          <w:highlight w:val="none"/>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8．延期清算风险：</w:t>
      </w:r>
      <w:r>
        <w:rPr>
          <w:rFonts w:hint="eastAsia" w:ascii="黑体" w:eastAsia="黑体"/>
          <w:b/>
          <w:color w:val="000000" w:themeColor="text1"/>
          <w:sz w:val="20"/>
          <w:szCs w:val="20"/>
          <w:highlight w:val="none"/>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ascii="黑体" w:eastAsia="黑体"/>
          <w:b/>
          <w:color w:val="000000" w:themeColor="text1"/>
          <w:sz w:val="20"/>
          <w:szCs w:val="20"/>
          <w:highlight w:val="none"/>
          <w14:textFill>
            <w14:solidFill>
              <w14:schemeClr w14:val="tx1"/>
            </w14:solidFill>
          </w14:textFill>
        </w:rPr>
        <w:t>9</w:t>
      </w:r>
      <w:r>
        <w:rPr>
          <w:rFonts w:hint="eastAsia" w:ascii="黑体" w:eastAsia="黑体"/>
          <w:b/>
          <w:color w:val="000000" w:themeColor="text1"/>
          <w:sz w:val="20"/>
          <w:szCs w:val="20"/>
          <w:highlight w:val="none"/>
          <w14:textFill>
            <w14:solidFill>
              <w14:schemeClr w14:val="tx1"/>
            </w14:solidFill>
          </w14:textFill>
        </w:rPr>
        <w:t>．</w:t>
      </w:r>
      <w:r>
        <w:rPr>
          <w:rFonts w:ascii="黑体" w:eastAsia="黑体"/>
          <w:b/>
          <w:color w:val="000000" w:themeColor="text1"/>
          <w:sz w:val="20"/>
          <w:szCs w:val="20"/>
          <w:highlight w:val="none"/>
          <w14:textFill>
            <w14:solidFill>
              <w14:schemeClr w14:val="tx1"/>
            </w14:solidFill>
          </w14:textFill>
        </w:rPr>
        <w:t>理财产品不成立风险：如发生理财产品不成立条款约定之情形，信银理财有权通知</w:t>
      </w:r>
      <w:r>
        <w:rPr>
          <w:rFonts w:hint="eastAsia" w:ascii="黑体" w:eastAsia="黑体"/>
          <w:b/>
          <w:color w:val="000000" w:themeColor="text1"/>
          <w:sz w:val="20"/>
          <w:szCs w:val="20"/>
          <w:highlight w:val="none"/>
          <w14:textFill>
            <w14:solidFill>
              <w14:schemeClr w14:val="tx1"/>
            </w14:solidFill>
          </w14:textFill>
        </w:rPr>
        <w:t>（或</w:t>
      </w:r>
      <w:r>
        <w:rPr>
          <w:rFonts w:ascii="黑体" w:eastAsia="黑体"/>
          <w:b/>
          <w:color w:val="000000" w:themeColor="text1"/>
          <w:sz w:val="20"/>
          <w:szCs w:val="20"/>
          <w:highlight w:val="none"/>
          <w14:textFill>
            <w14:solidFill>
              <w14:schemeClr w14:val="tx1"/>
            </w14:solidFill>
          </w14:textFill>
        </w:rPr>
        <w:t>通过代销机构通知）投资者产品不成立。</w:t>
      </w:r>
    </w:p>
    <w:p w14:paraId="57F91A89">
      <w:pPr>
        <w:snapToGrid w:val="0"/>
        <w:ind w:firstLine="402" w:firstLineChars="200"/>
        <w:jc w:val="both"/>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10．不可抗力及意外事件风险：由于自然灾害、战争等不可抗力因素的出现或系统故障、通讯故障、投资市场停止交易</w:t>
      </w:r>
      <w:r>
        <w:rPr>
          <w:rFonts w:hint="eastAsia" w:ascii="黑体" w:hAnsi="Times New Roman" w:eastAsia="黑体" w:cs="黑体"/>
          <w:b/>
          <w:color w:val="000000" w:themeColor="text1"/>
          <w:sz w:val="20"/>
          <w:szCs w:val="20"/>
          <w:highlight w:val="none"/>
          <w:lang w:eastAsia="zh-CN"/>
          <w14:textFill>
            <w14:solidFill>
              <w14:schemeClr w14:val="tx1"/>
            </w14:solidFill>
          </w14:textFill>
        </w:rPr>
        <w:t>、</w:t>
      </w:r>
      <w:r>
        <w:rPr>
          <w:rFonts w:hint="eastAsia" w:ascii="黑体" w:hAnsi="Times New Roman" w:eastAsia="黑体" w:cs="黑体"/>
          <w:b/>
          <w:color w:val="000000" w:themeColor="text1"/>
          <w:sz w:val="20"/>
          <w:szCs w:val="20"/>
          <w:highlight w:val="none"/>
          <w14:textFill>
            <w14:solidFill>
              <w14:schemeClr w14:val="tx1"/>
            </w14:solidFill>
          </w14:textFill>
        </w:rPr>
        <w:t>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7D69E70">
      <w:pPr>
        <w:snapToGrid w:val="0"/>
        <w:ind w:firstLine="402" w:firstLineChars="200"/>
        <w:jc w:val="both"/>
        <w:rPr>
          <w:rFonts w:hint="eastAsia" w:ascii="黑体" w:hAnsi="Times New Roman" w:eastAsia="黑体" w:cs="黑体"/>
          <w:b/>
          <w:color w:val="000000" w:themeColor="text1"/>
          <w:sz w:val="20"/>
          <w:szCs w:val="20"/>
          <w:highlight w:val="none"/>
          <w:lang w:val="en-US" w:eastAsia="zh-CN"/>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11．</w:t>
      </w:r>
      <w:r>
        <w:rPr>
          <w:rFonts w:hint="eastAsia" w:ascii="黑体" w:hAnsi="Times New Roman" w:eastAsia="黑体" w:cs="黑体"/>
          <w:b/>
          <w:color w:val="000000" w:themeColor="text1"/>
          <w:sz w:val="20"/>
          <w:szCs w:val="20"/>
          <w:highlight w:val="none"/>
          <w:lang w:val="en-US" w:eastAsia="zh-CN"/>
          <w14:textFill>
            <w14:solidFill>
              <w14:schemeClr w14:val="tx1"/>
            </w14:solidFill>
          </w14:textFill>
        </w:rPr>
        <w:t>理财本金全部损失风险（</w:t>
      </w:r>
      <w:r>
        <w:rPr>
          <w:rFonts w:hint="eastAsia" w:ascii="黑体" w:eastAsia="黑体"/>
          <w:b/>
          <w:color w:val="000000" w:themeColor="text1"/>
          <w:sz w:val="20"/>
          <w:szCs w:val="20"/>
          <w:highlight w:val="none"/>
          <w:lang w:val="en-US" w:eastAsia="zh-CN"/>
          <w14:textFill>
            <w14:solidFill>
              <w14:schemeClr w14:val="tx1"/>
            </w14:solidFill>
          </w14:textFill>
        </w:rPr>
        <w:t>最不利投资情形下的投资结果）</w:t>
      </w:r>
      <w:r>
        <w:rPr>
          <w:rFonts w:ascii="黑体" w:eastAsia="黑体"/>
          <w:b/>
          <w:color w:val="000000" w:themeColor="text1"/>
          <w:sz w:val="20"/>
          <w:szCs w:val="20"/>
          <w:highlight w:val="none"/>
          <w14:textFill>
            <w14:solidFill>
              <w14:schemeClr w14:val="tx1"/>
            </w14:solidFill>
          </w14:textFill>
        </w:rPr>
        <w:t>：</w:t>
      </w:r>
      <w:r>
        <w:rPr>
          <w:rFonts w:hint="eastAsia" w:ascii="黑体" w:hAnsi="Times New Roman" w:eastAsia="黑体" w:cs="黑体"/>
          <w:b/>
          <w:color w:val="000000" w:themeColor="text1"/>
          <w:sz w:val="20"/>
          <w:szCs w:val="20"/>
          <w:highlight w:val="none"/>
          <w14:textFill>
            <w14:solidFill>
              <w14:schemeClr w14:val="tx1"/>
            </w14:solidFill>
          </w14:textFill>
        </w:rPr>
        <w:t>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w:t>
      </w:r>
      <w:r>
        <w:rPr>
          <w:rFonts w:hint="eastAsia" w:ascii="黑体" w:hAnsi="Times New Roman" w:eastAsia="黑体" w:cs="黑体"/>
          <w:b/>
          <w:color w:val="000000" w:themeColor="text1"/>
          <w:sz w:val="20"/>
          <w:szCs w:val="20"/>
          <w:highlight w:val="none"/>
          <w:lang w:eastAsia="zh-CN"/>
          <w14:textFill>
            <w14:solidFill>
              <w14:schemeClr w14:val="tx1"/>
            </w14:solidFill>
          </w14:textFill>
        </w:rPr>
        <w:t>，</w:t>
      </w:r>
      <w:r>
        <w:rPr>
          <w:rFonts w:hint="eastAsia" w:ascii="黑体" w:hAnsi="Times New Roman" w:eastAsia="黑体" w:cs="黑体"/>
          <w:b/>
          <w:color w:val="000000" w:themeColor="text1"/>
          <w:sz w:val="20"/>
          <w:szCs w:val="20"/>
          <w:highlight w:val="none"/>
          <w:lang w:val="en-US" w:eastAsia="zh-CN"/>
          <w14:textFill>
            <w14:solidFill>
              <w14:schemeClr w14:val="tx1"/>
            </w14:solidFill>
          </w14:textFill>
        </w:rPr>
        <w:t>最不利情形下投资者将可能损失全部本金及收益（如有）。</w:t>
      </w:r>
    </w:p>
    <w:p w14:paraId="4281B1B8">
      <w:pPr>
        <w:snapToGrid w:val="0"/>
        <w:ind w:firstLine="402" w:firstLineChars="200"/>
        <w:jc w:val="both"/>
        <w:rPr>
          <w:rFonts w:ascii="黑体" w:hAnsi="黑体" w:eastAsia="黑体"/>
          <w:b/>
          <w:color w:val="000000" w:themeColor="text1"/>
          <w:sz w:val="20"/>
          <w:szCs w:val="20"/>
          <w:highlight w:val="none"/>
          <w14:textFill>
            <w14:solidFill>
              <w14:schemeClr w14:val="tx1"/>
            </w14:solidFill>
          </w14:textFill>
        </w:rPr>
      </w:pPr>
      <w:r>
        <w:rPr>
          <w:rFonts w:ascii="黑体" w:hAnsi="黑体" w:eastAsia="黑体"/>
          <w:b/>
          <w:color w:val="000000" w:themeColor="text1"/>
          <w:sz w:val="20"/>
          <w:szCs w:val="20"/>
          <w:highlight w:val="none"/>
          <w14:textFill>
            <w14:solidFill>
              <w14:schemeClr w14:val="tx1"/>
            </w14:solidFill>
          </w14:textFill>
        </w:rPr>
        <w:t>12</w:t>
      </w:r>
      <w:r>
        <w:rPr>
          <w:rFonts w:hint="eastAsia" w:ascii="黑体" w:hAnsi="黑体" w:eastAsia="黑体"/>
          <w:b/>
          <w:color w:val="000000" w:themeColor="text1"/>
          <w:sz w:val="20"/>
          <w:szCs w:val="20"/>
          <w:highlight w:val="none"/>
          <w14:textFill>
            <w14:solidFill>
              <w14:schemeClr w14:val="tx1"/>
            </w14:solidFill>
          </w14:textFill>
        </w:rPr>
        <w:t>．</w:t>
      </w:r>
      <w:r>
        <w:rPr>
          <w:rFonts w:ascii="黑体" w:hAnsi="黑体" w:eastAsia="黑体"/>
          <w:b/>
          <w:color w:val="000000" w:themeColor="text1"/>
          <w:sz w:val="20"/>
          <w:szCs w:val="20"/>
          <w:highlight w:val="none"/>
          <w14:textFill>
            <w14:solidFill>
              <w14:schemeClr w14:val="tx1"/>
            </w14:solidFill>
          </w14:textFill>
        </w:rPr>
        <w:t>合作销售机构</w:t>
      </w:r>
      <w:r>
        <w:rPr>
          <w:rFonts w:hint="eastAsia" w:ascii="黑体" w:hAnsi="黑体" w:eastAsia="黑体"/>
          <w:b/>
          <w:color w:val="000000" w:themeColor="text1"/>
          <w:sz w:val="20"/>
          <w:szCs w:val="20"/>
          <w:highlight w:val="none"/>
          <w14:textFill>
            <w14:solidFill>
              <w14:schemeClr w14:val="tx1"/>
            </w14:solidFill>
          </w14:textFill>
        </w:rPr>
        <w:t>（代销</w:t>
      </w:r>
      <w:r>
        <w:rPr>
          <w:rFonts w:ascii="黑体" w:hAnsi="黑体" w:eastAsia="黑体"/>
          <w:b/>
          <w:color w:val="000000" w:themeColor="text1"/>
          <w:sz w:val="20"/>
          <w:szCs w:val="20"/>
          <w:highlight w:val="none"/>
          <w14:textFill>
            <w14:solidFill>
              <w14:schemeClr w14:val="tx1"/>
            </w14:solidFill>
          </w14:textFill>
        </w:rPr>
        <w:t>机构）风险：投资者</w:t>
      </w:r>
      <w:r>
        <w:rPr>
          <w:rFonts w:hint="eastAsia" w:ascii="黑体" w:hAnsi="黑体" w:eastAsia="黑体"/>
          <w:b/>
          <w:color w:val="000000" w:themeColor="text1"/>
          <w:sz w:val="20"/>
          <w:szCs w:val="20"/>
          <w:highlight w:val="none"/>
          <w14:textFill>
            <w14:solidFill>
              <w14:schemeClr w14:val="tx1"/>
            </w14:solidFill>
          </w14:textFill>
        </w:rPr>
        <w:t>通过</w:t>
      </w:r>
      <w:r>
        <w:rPr>
          <w:rFonts w:ascii="黑体" w:hAnsi="黑体" w:eastAsia="黑体"/>
          <w:b/>
          <w:color w:val="000000" w:themeColor="text1"/>
          <w:sz w:val="20"/>
          <w:szCs w:val="20"/>
          <w:highlight w:val="none"/>
          <w14:textFill>
            <w14:solidFill>
              <w14:schemeClr w14:val="tx1"/>
            </w14:solidFill>
          </w14:textFill>
        </w:rPr>
        <w:t>合作销售机构购买本理财产品</w:t>
      </w:r>
      <w:r>
        <w:rPr>
          <w:rFonts w:hint="eastAsia" w:ascii="黑体" w:hAnsi="黑体" w:eastAsia="黑体"/>
          <w:b/>
          <w:color w:val="000000" w:themeColor="text1"/>
          <w:sz w:val="20"/>
          <w:szCs w:val="20"/>
          <w:highlight w:val="none"/>
          <w14:textFill>
            <w14:solidFill>
              <w14:schemeClr w14:val="tx1"/>
            </w14:solidFill>
          </w14:textFill>
        </w:rPr>
        <w:t>的</w:t>
      </w:r>
      <w:r>
        <w:rPr>
          <w:rFonts w:ascii="黑体" w:hAnsi="黑体" w:eastAsia="黑体"/>
          <w:b/>
          <w:color w:val="000000" w:themeColor="text1"/>
          <w:sz w:val="20"/>
          <w:szCs w:val="20"/>
          <w:highlight w:val="none"/>
          <w14:textFill>
            <w14:solidFill>
              <w14:schemeClr w14:val="tx1"/>
            </w14:solidFill>
          </w14:textFill>
        </w:rPr>
        <w:t>，资金清算将通过合作销售机构进行</w:t>
      </w:r>
      <w:r>
        <w:rPr>
          <w:rFonts w:hint="eastAsia" w:ascii="黑体" w:hAnsi="黑体" w:eastAsia="黑体"/>
          <w:b/>
          <w:color w:val="000000" w:themeColor="text1"/>
          <w:sz w:val="20"/>
          <w:szCs w:val="20"/>
          <w:highlight w:val="none"/>
          <w14:textFill>
            <w14:solidFill>
              <w14:schemeClr w14:val="tx1"/>
            </w14:solidFill>
          </w14:textFill>
        </w:rPr>
        <w:t>，</w:t>
      </w:r>
      <w:r>
        <w:rPr>
          <w:rFonts w:ascii="黑体" w:hAnsi="黑体" w:eastAsia="黑体"/>
          <w:b/>
          <w:color w:val="000000" w:themeColor="text1"/>
          <w:sz w:val="20"/>
          <w:szCs w:val="20"/>
          <w:highlight w:val="none"/>
          <w14:textFill>
            <w14:solidFill>
              <w14:schemeClr w14:val="tx1"/>
            </w14:solidFill>
          </w14:textFill>
        </w:rPr>
        <w:t>如因合作销售机构</w:t>
      </w:r>
      <w:r>
        <w:rPr>
          <w:rFonts w:hint="eastAsia" w:ascii="黑体" w:hAnsi="黑体" w:eastAsia="黑体"/>
          <w:b/>
          <w:color w:val="000000" w:themeColor="text1"/>
          <w:sz w:val="20"/>
          <w:szCs w:val="20"/>
          <w:highlight w:val="none"/>
          <w14:textFill>
            <w14:solidFill>
              <w14:schemeClr w14:val="tx1"/>
            </w14:solidFill>
          </w14:textFill>
        </w:rPr>
        <w:t>资金清算</w:t>
      </w:r>
      <w:r>
        <w:rPr>
          <w:rFonts w:ascii="黑体" w:hAnsi="黑体" w:eastAsia="黑体"/>
          <w:b/>
          <w:color w:val="000000" w:themeColor="text1"/>
          <w:sz w:val="20"/>
          <w:szCs w:val="20"/>
          <w:highlight w:val="none"/>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highlight w:val="none"/>
          <w14:textFill>
            <w14:solidFill>
              <w14:schemeClr w14:val="tx1"/>
            </w14:solidFill>
          </w14:textFill>
        </w:rPr>
        <w:t>投资者</w:t>
      </w:r>
      <w:r>
        <w:rPr>
          <w:rFonts w:ascii="黑体" w:hAnsi="黑体" w:eastAsia="黑体"/>
          <w:b/>
          <w:color w:val="000000" w:themeColor="text1"/>
          <w:sz w:val="20"/>
          <w:szCs w:val="20"/>
          <w:highlight w:val="none"/>
          <w14:textFill>
            <w14:solidFill>
              <w14:schemeClr w14:val="tx1"/>
            </w14:solidFill>
          </w14:textFill>
        </w:rPr>
        <w:t>认购失败或</w:t>
      </w:r>
      <w:r>
        <w:rPr>
          <w:rFonts w:hint="eastAsia" w:ascii="黑体" w:hAnsi="黑体" w:eastAsia="黑体"/>
          <w:b/>
          <w:color w:val="000000" w:themeColor="text1"/>
          <w:sz w:val="20"/>
          <w:szCs w:val="20"/>
          <w:highlight w:val="none"/>
          <w14:textFill>
            <w14:solidFill>
              <w14:schemeClr w14:val="tx1"/>
            </w14:solidFill>
          </w14:textFill>
        </w:rPr>
        <w:t>理财</w:t>
      </w:r>
      <w:r>
        <w:rPr>
          <w:rFonts w:ascii="黑体" w:hAnsi="黑体" w:eastAsia="黑体"/>
          <w:b/>
          <w:color w:val="000000" w:themeColor="text1"/>
          <w:sz w:val="20"/>
          <w:szCs w:val="20"/>
          <w:highlight w:val="none"/>
          <w14:textFill>
            <w14:solidFill>
              <w14:schemeClr w14:val="tx1"/>
            </w14:solidFill>
          </w14:textFill>
        </w:rPr>
        <w:t>资金遭受损失。</w:t>
      </w:r>
      <w:r>
        <w:rPr>
          <w:rFonts w:hint="eastAsia" w:ascii="黑体" w:hAnsi="黑体" w:eastAsia="黑体"/>
          <w:b/>
          <w:color w:val="000000" w:themeColor="text1"/>
          <w:sz w:val="20"/>
          <w:szCs w:val="20"/>
          <w:highlight w:val="none"/>
          <w14:textFill>
            <w14:solidFill>
              <w14:schemeClr w14:val="tx1"/>
            </w14:solidFill>
          </w14:textFill>
        </w:rPr>
        <w:t>在</w:t>
      </w:r>
      <w:r>
        <w:rPr>
          <w:rFonts w:ascii="黑体" w:hAnsi="黑体" w:eastAsia="黑体"/>
          <w:b/>
          <w:color w:val="000000" w:themeColor="text1"/>
          <w:sz w:val="20"/>
          <w:szCs w:val="20"/>
          <w:highlight w:val="none"/>
          <w14:textFill>
            <w14:solidFill>
              <w14:schemeClr w14:val="tx1"/>
            </w14:solidFill>
          </w14:textFill>
        </w:rPr>
        <w:t>认购时，如果投资者在合作销售机构的资金账户余额</w:t>
      </w:r>
      <w:r>
        <w:rPr>
          <w:rFonts w:hint="eastAsia" w:ascii="黑体" w:hAnsi="黑体" w:eastAsia="黑体"/>
          <w:b/>
          <w:color w:val="000000" w:themeColor="text1"/>
          <w:sz w:val="20"/>
          <w:szCs w:val="20"/>
          <w:highlight w:val="none"/>
          <w14:textFill>
            <w14:solidFill>
              <w14:schemeClr w14:val="tx1"/>
            </w14:solidFill>
          </w14:textFill>
        </w:rPr>
        <w:t>不足</w:t>
      </w:r>
      <w:r>
        <w:rPr>
          <w:rFonts w:ascii="黑体" w:hAnsi="黑体" w:eastAsia="黑体"/>
          <w:b/>
          <w:color w:val="000000" w:themeColor="text1"/>
          <w:sz w:val="20"/>
          <w:szCs w:val="20"/>
          <w:highlight w:val="none"/>
          <w14:textFill>
            <w14:solidFill>
              <w14:schemeClr w14:val="tx1"/>
            </w14:solidFill>
          </w14:textFill>
        </w:rPr>
        <w:t>，或合作销售机构</w:t>
      </w:r>
      <w:r>
        <w:rPr>
          <w:rFonts w:hint="eastAsia" w:ascii="黑体" w:hAnsi="黑体" w:eastAsia="黑体"/>
          <w:b/>
          <w:color w:val="000000" w:themeColor="text1"/>
          <w:sz w:val="20"/>
          <w:szCs w:val="20"/>
          <w:highlight w:val="none"/>
          <w14:textFill>
            <w14:solidFill>
              <w14:schemeClr w14:val="tx1"/>
            </w14:solidFill>
          </w14:textFill>
        </w:rPr>
        <w:t>未及时将投资者认购</w:t>
      </w:r>
      <w:r>
        <w:rPr>
          <w:rFonts w:ascii="黑体" w:hAnsi="黑体" w:eastAsia="黑体"/>
          <w:b/>
          <w:color w:val="000000" w:themeColor="text1"/>
          <w:sz w:val="20"/>
          <w:szCs w:val="20"/>
          <w:highlight w:val="none"/>
          <w14:textFill>
            <w14:solidFill>
              <w14:schemeClr w14:val="tx1"/>
            </w14:solidFill>
          </w14:textFill>
        </w:rPr>
        <w:t>资金划转至信银理财，将导致投资者无法完成认购，因此造成的损失信银理财不承担责任；在</w:t>
      </w:r>
      <w:r>
        <w:rPr>
          <w:rFonts w:hint="eastAsia" w:ascii="黑体" w:hAnsi="黑体" w:eastAsia="黑体"/>
          <w:b/>
          <w:color w:val="000000" w:themeColor="text1"/>
          <w:sz w:val="20"/>
          <w:szCs w:val="20"/>
          <w:highlight w:val="none"/>
          <w14:textFill>
            <w14:solidFill>
              <w14:schemeClr w14:val="tx1"/>
            </w14:solidFill>
          </w14:textFill>
        </w:rPr>
        <w:t>赎回和</w:t>
      </w:r>
      <w:r>
        <w:rPr>
          <w:rFonts w:ascii="黑体" w:hAnsi="黑体" w:eastAsia="黑体"/>
          <w:b/>
          <w:color w:val="000000" w:themeColor="text1"/>
          <w:sz w:val="20"/>
          <w:szCs w:val="20"/>
          <w:highlight w:val="none"/>
          <w14:textFill>
            <w14:solidFill>
              <w14:schemeClr w14:val="tx1"/>
            </w14:solidFill>
          </w14:textFill>
        </w:rPr>
        <w:t>到期时，信银理财将投资者应得资金划转至合作</w:t>
      </w:r>
      <w:r>
        <w:rPr>
          <w:rFonts w:hint="eastAsia" w:ascii="黑体" w:hAnsi="黑体" w:eastAsia="黑体"/>
          <w:b/>
          <w:color w:val="000000" w:themeColor="text1"/>
          <w:sz w:val="20"/>
          <w:szCs w:val="20"/>
          <w:highlight w:val="none"/>
          <w14:textFill>
            <w14:solidFill>
              <w14:schemeClr w14:val="tx1"/>
            </w14:solidFill>
          </w14:textFill>
        </w:rPr>
        <w:t>销售</w:t>
      </w:r>
      <w:r>
        <w:rPr>
          <w:rFonts w:ascii="黑体" w:hAnsi="黑体" w:eastAsia="黑体"/>
          <w:b/>
          <w:color w:val="000000" w:themeColor="text1"/>
          <w:sz w:val="20"/>
          <w:szCs w:val="20"/>
          <w:highlight w:val="none"/>
          <w14:textFill>
            <w14:solidFill>
              <w14:schemeClr w14:val="tx1"/>
            </w14:solidFill>
          </w14:textFill>
        </w:rPr>
        <w:t>机构</w:t>
      </w:r>
      <w:r>
        <w:rPr>
          <w:rFonts w:hint="eastAsia" w:ascii="黑体" w:hAnsi="黑体" w:eastAsia="黑体"/>
          <w:b/>
          <w:color w:val="000000" w:themeColor="text1"/>
          <w:sz w:val="20"/>
          <w:szCs w:val="20"/>
          <w:highlight w:val="none"/>
          <w14:textFill>
            <w14:solidFill>
              <w14:schemeClr w14:val="tx1"/>
            </w14:solidFill>
          </w14:textFill>
        </w:rPr>
        <w:t>指定账户</w:t>
      </w:r>
      <w:r>
        <w:rPr>
          <w:rFonts w:ascii="黑体" w:hAnsi="黑体" w:eastAsia="黑体"/>
          <w:b/>
          <w:color w:val="000000" w:themeColor="text1"/>
          <w:sz w:val="20"/>
          <w:szCs w:val="20"/>
          <w:highlight w:val="none"/>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highlight w:val="none"/>
          <w14:textFill>
            <w14:solidFill>
              <w14:schemeClr w14:val="tx1"/>
            </w14:solidFill>
          </w14:textFill>
        </w:rPr>
        <w:t>。</w:t>
      </w:r>
      <w:r>
        <w:rPr>
          <w:rFonts w:ascii="黑体" w:hAnsi="黑体" w:eastAsia="黑体"/>
          <w:b/>
          <w:color w:val="000000" w:themeColor="text1"/>
          <w:sz w:val="20"/>
          <w:szCs w:val="20"/>
          <w:highlight w:val="none"/>
          <w14:textFill>
            <w14:solidFill>
              <w14:schemeClr w14:val="tx1"/>
            </w14:solidFill>
          </w14:textFill>
        </w:rPr>
        <w:t>若</w:t>
      </w:r>
      <w:r>
        <w:rPr>
          <w:rFonts w:hint="eastAsia" w:ascii="黑体" w:hAnsi="黑体" w:eastAsia="黑体"/>
          <w:b/>
          <w:color w:val="000000" w:themeColor="text1"/>
          <w:sz w:val="20"/>
          <w:szCs w:val="20"/>
          <w:highlight w:val="none"/>
          <w14:textFill>
            <w14:solidFill>
              <w14:schemeClr w14:val="tx1"/>
            </w14:solidFill>
          </w14:textFill>
        </w:rPr>
        <w:t>合作</w:t>
      </w:r>
      <w:r>
        <w:rPr>
          <w:rFonts w:ascii="黑体" w:hAnsi="黑体" w:eastAsia="黑体"/>
          <w:b/>
          <w:color w:val="000000" w:themeColor="text1"/>
          <w:sz w:val="20"/>
          <w:szCs w:val="20"/>
          <w:highlight w:val="none"/>
          <w14:textFill>
            <w14:solidFill>
              <w14:schemeClr w14:val="tx1"/>
            </w14:solidFill>
          </w14:textFill>
        </w:rPr>
        <w:t>销售机构未及时进行划付，因此造成的</w:t>
      </w:r>
      <w:r>
        <w:rPr>
          <w:rFonts w:hint="eastAsia" w:ascii="黑体" w:hAnsi="黑体" w:eastAsia="黑体"/>
          <w:b/>
          <w:color w:val="000000" w:themeColor="text1"/>
          <w:sz w:val="20"/>
          <w:szCs w:val="20"/>
          <w:highlight w:val="none"/>
          <w14:textFill>
            <w14:solidFill>
              <w14:schemeClr w14:val="tx1"/>
            </w14:solidFill>
          </w14:textFill>
        </w:rPr>
        <w:t>损失</w:t>
      </w:r>
      <w:r>
        <w:rPr>
          <w:rFonts w:ascii="黑体" w:hAnsi="黑体" w:eastAsia="黑体"/>
          <w:b/>
          <w:color w:val="000000" w:themeColor="text1"/>
          <w:sz w:val="20"/>
          <w:szCs w:val="20"/>
          <w:highlight w:val="none"/>
          <w14:textFill>
            <w14:solidFill>
              <w14:schemeClr w14:val="tx1"/>
            </w14:solidFill>
          </w14:textFill>
        </w:rPr>
        <w:t>信银理财不承担任何责任。</w:t>
      </w:r>
    </w:p>
    <w:p w14:paraId="74EAAF49">
      <w:pPr>
        <w:spacing w:line="300" w:lineRule="atLeast"/>
        <w:ind w:firstLine="402" w:firstLineChars="200"/>
        <w:jc w:val="both"/>
        <w:rPr>
          <w:rFonts w:ascii="黑体" w:hAnsi="黑体" w:eastAsia="黑体"/>
          <w:b/>
          <w:color w:val="000000" w:themeColor="text1"/>
          <w:sz w:val="20"/>
          <w:szCs w:val="20"/>
          <w:highlight w:val="none"/>
          <w14:textFill>
            <w14:solidFill>
              <w14:schemeClr w14:val="tx1"/>
            </w14:solidFill>
          </w14:textFill>
        </w:rPr>
      </w:pPr>
      <w:r>
        <w:rPr>
          <w:rFonts w:ascii="黑体" w:hAnsi="黑体" w:eastAsia="黑体"/>
          <w:b/>
          <w:color w:val="000000" w:themeColor="text1"/>
          <w:sz w:val="20"/>
          <w:szCs w:val="20"/>
          <w:highlight w:val="none"/>
          <w14:textFill>
            <w14:solidFill>
              <w14:schemeClr w14:val="tx1"/>
            </w14:solidFill>
          </w14:textFill>
        </w:rPr>
        <w:t>13</w:t>
      </w:r>
      <w:r>
        <w:rPr>
          <w:rFonts w:hint="eastAsia" w:ascii="黑体" w:hAnsi="黑体" w:eastAsia="黑体"/>
          <w:b/>
          <w:color w:val="000000" w:themeColor="text1"/>
          <w:sz w:val="20"/>
          <w:szCs w:val="20"/>
          <w:highlight w:val="none"/>
          <w14:textFill>
            <w14:solidFill>
              <w14:schemeClr w14:val="tx1"/>
            </w14:solidFill>
          </w14:textFill>
        </w:rPr>
        <w:t>．操作风险：如本理财产品管理人、</w:t>
      </w:r>
      <w:r>
        <w:rPr>
          <w:rFonts w:ascii="黑体" w:hAnsi="黑体" w:eastAsia="黑体"/>
          <w:b/>
          <w:color w:val="000000" w:themeColor="text1"/>
          <w:sz w:val="20"/>
          <w:szCs w:val="20"/>
          <w:highlight w:val="none"/>
          <w14:textFill>
            <w14:solidFill>
              <w14:schemeClr w14:val="tx1"/>
            </w14:solidFill>
          </w14:textFill>
        </w:rPr>
        <w:t>代销机构</w:t>
      </w:r>
      <w:r>
        <w:rPr>
          <w:rFonts w:hint="eastAsia" w:ascii="黑体" w:hAnsi="黑体" w:eastAsia="黑体"/>
          <w:b/>
          <w:color w:val="000000" w:themeColor="text1"/>
          <w:sz w:val="20"/>
          <w:szCs w:val="20"/>
          <w:highlight w:val="none"/>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hint="eastAsia" w:ascii="黑体" w:hAnsi="黑体" w:eastAsia="黑体"/>
          <w:b/>
          <w:color w:val="000000" w:themeColor="text1"/>
          <w:sz w:val="20"/>
          <w:szCs w:val="20"/>
          <w:highlight w:val="none"/>
          <w:lang w:eastAsia="zh-CN"/>
          <w14:textFill>
            <w14:solidFill>
              <w14:schemeClr w14:val="tx1"/>
            </w14:solidFill>
          </w14:textFill>
        </w:rPr>
      </w:pPr>
      <w:r>
        <w:rPr>
          <w:rFonts w:hint="eastAsia" w:ascii="黑体" w:hAnsi="黑体" w:eastAsia="黑体"/>
          <w:b/>
          <w:color w:val="000000" w:themeColor="text1"/>
          <w:sz w:val="20"/>
          <w:szCs w:val="20"/>
          <w:highlight w:val="none"/>
          <w:lang w:eastAsia="zh-CN"/>
          <w14:textFill>
            <w14:solidFill>
              <w14:schemeClr w14:val="tx1"/>
            </w14:solidFill>
          </w14:textFill>
        </w:rPr>
        <w:t>14.关联交易风险：在合法合规且履行应履行的内外部程序后，理财产品可能与管理人及其控股股东、实际控制人等发生关联交易。本理财产品可能通过管理人的关联方进行托管、销售或作为投资顾问（如有），本理财产品的销售机构、托管人及投资顾问（如有）以说明书披露为准。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97E3557">
      <w:pPr>
        <w:spacing w:line="300" w:lineRule="atLeast"/>
        <w:ind w:firstLine="402" w:firstLineChars="200"/>
        <w:jc w:val="both"/>
        <w:rPr>
          <w:rFonts w:hint="eastAsia" w:ascii="黑体" w:hAnsi="黑体" w:eastAsia="黑体"/>
          <w:b/>
          <w:color w:val="000000" w:themeColor="text1"/>
          <w:sz w:val="20"/>
          <w:szCs w:val="20"/>
          <w:highlight w:val="none"/>
          <w14:textFill>
            <w14:solidFill>
              <w14:schemeClr w14:val="tx1"/>
            </w14:solidFill>
          </w14:textFill>
        </w:rPr>
      </w:pPr>
      <w:r>
        <w:rPr>
          <w:rFonts w:hint="eastAsia" w:ascii="黑体" w:hAnsi="黑体" w:eastAsia="黑体"/>
          <w:b/>
          <w:color w:val="000000" w:themeColor="text1"/>
          <w:sz w:val="20"/>
          <w:szCs w:val="20"/>
          <w:highlight w:val="none"/>
          <w14:textFill>
            <w14:solidFill>
              <w14:schemeClr w14:val="tx1"/>
            </w14:solidFill>
          </w14:textFill>
        </w:rPr>
        <w:t>以上风险事项仅为列举性质，未能详尽列明投资本产品可能面临的全部风险和可能导致投资者投资本金及收益损失的所有因素，请投资者充分评估投资风险。理财产品管理人承诺以诚实守信、勤勉尽职的原则管理和运用理财产品资金，在理财产品募集、存续、终止各环节实施全面风险管理，对产品面临的上述风险持续进行识别、评估、监测、报告，对不同风险特性采用分散、对冲、转移、规避、补偿或缓释等手段对风险进行控制。管理人上述风险管控措施为管理人基于正常市场环境及合理预期而设，不构成管理人对理财产品风险的完全消除或对理财产品本金安全和理财产品收益的任何承诺与保证。理财产品在实际运作中仍可能因市场、政策、不可抗力等各类因素而遭受超出管理人风险控制措施覆盖范围的风险事件，从而导致理财产品净值波动乃至本金损失。</w:t>
      </w:r>
    </w:p>
    <w:p w14:paraId="3115A60B">
      <w:pPr>
        <w:spacing w:line="300" w:lineRule="atLeast"/>
        <w:ind w:right="36"/>
        <w:rPr>
          <w:rFonts w:ascii="黑体" w:hAnsi="黑体" w:eastAsia="黑体"/>
          <w:color w:val="000000" w:themeColor="text1"/>
          <w:sz w:val="20"/>
          <w:szCs w:val="20"/>
          <w:highlight w:val="none"/>
          <w14:textFill>
            <w14:solidFill>
              <w14:schemeClr w14:val="tx1"/>
            </w14:solidFill>
          </w14:textFill>
        </w:rPr>
      </w:pPr>
    </w:p>
    <w:p w14:paraId="2A932026">
      <w:pPr>
        <w:snapToGrid w:val="0"/>
        <w:ind w:left="-2" w:leftChars="-1" w:right="53" w:rightChars="22"/>
        <w:rPr>
          <w:rFonts w:ascii="黑体" w:hAnsi="Times New Roman" w:eastAsia="黑体" w:cs="黑体"/>
          <w:b/>
          <w:bCs/>
          <w:color w:val="000000" w:themeColor="text1"/>
          <w:sz w:val="20"/>
          <w:szCs w:val="20"/>
          <w:highlight w:val="none"/>
          <w14:textFill>
            <w14:solidFill>
              <w14:schemeClr w14:val="tx1"/>
            </w14:solidFill>
          </w14:textFill>
        </w:rPr>
      </w:pPr>
      <w:r>
        <w:rPr>
          <w:rFonts w:hint="eastAsia" w:ascii="黑体" w:hAnsi="Times New Roman" w:eastAsia="黑体" w:cs="黑体"/>
          <w:b/>
          <w:bCs/>
          <w:color w:val="000000" w:themeColor="text1"/>
          <w:sz w:val="20"/>
          <w:szCs w:val="20"/>
          <w:highlight w:val="none"/>
          <w14:textFill>
            <w14:solidFill>
              <w14:schemeClr w14:val="tx1"/>
            </w14:solidFill>
          </w14:textFill>
        </w:rPr>
        <w:t>释义与</w:t>
      </w:r>
      <w:r>
        <w:rPr>
          <w:rFonts w:ascii="黑体" w:hAnsi="Times New Roman" w:eastAsia="黑体" w:cs="黑体"/>
          <w:b/>
          <w:bCs/>
          <w:color w:val="000000" w:themeColor="text1"/>
          <w:sz w:val="20"/>
          <w:szCs w:val="20"/>
          <w:highlight w:val="none"/>
          <w14:textFill>
            <w14:solidFill>
              <w14:schemeClr w14:val="tx1"/>
            </w14:solidFill>
          </w14:textFill>
        </w:rPr>
        <w:t>定义：</w:t>
      </w:r>
    </w:p>
    <w:p w14:paraId="1E80C41F">
      <w:p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在</w:t>
      </w:r>
      <w:r>
        <w:rPr>
          <w:rFonts w:ascii="黑体" w:hAnsi="黑体" w:eastAsia="黑体"/>
          <w:color w:val="000000" w:themeColor="text1"/>
          <w:sz w:val="20"/>
          <w:szCs w:val="20"/>
          <w:highlight w:val="none"/>
          <w14:textFill>
            <w14:solidFill>
              <w14:schemeClr w14:val="tx1"/>
            </w14:solidFill>
          </w14:textFill>
        </w:rPr>
        <w:t>本产品说明书中，除非上下文另有明确约定，下列用词将具有如下含义：</w:t>
      </w:r>
    </w:p>
    <w:p w14:paraId="1DDFA2EE">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5．理财产品资产净值</w:t>
      </w:r>
      <w:r>
        <w:rPr>
          <w:rFonts w:ascii="黑体" w:hAnsi="黑体" w:eastAsia="黑体"/>
          <w:color w:val="000000" w:themeColor="text1"/>
          <w:sz w:val="20"/>
          <w:szCs w:val="20"/>
          <w:highlight w:val="none"/>
          <w14:textFill>
            <w14:solidFill>
              <w14:schemeClr w14:val="tx1"/>
            </w14:solidFill>
          </w14:textFill>
        </w:rPr>
        <w:t>/资产净值</w:t>
      </w:r>
      <w:r>
        <w:rPr>
          <w:rFonts w:hint="eastAsia" w:ascii="黑体" w:hAnsi="黑体" w:eastAsia="黑体"/>
          <w:color w:val="000000" w:themeColor="text1"/>
          <w:sz w:val="20"/>
          <w:szCs w:val="20"/>
          <w:highlight w:val="none"/>
          <w14:textFill>
            <w14:solidFill>
              <w14:schemeClr w14:val="tx1"/>
            </w14:solidFill>
          </w14:textFill>
        </w:rPr>
        <w:t>/净资产</w:t>
      </w:r>
      <w:r>
        <w:rPr>
          <w:rFonts w:ascii="黑体" w:hAnsi="黑体" w:eastAsia="黑体"/>
          <w:color w:val="000000" w:themeColor="text1"/>
          <w:sz w:val="20"/>
          <w:szCs w:val="20"/>
          <w:highlight w:val="none"/>
          <w14:textFill>
            <w14:solidFill>
              <w14:schemeClr w14:val="tx1"/>
            </w14:solidFill>
          </w14:textFill>
        </w:rPr>
        <w:t>：资产净值=产品资产总值-产品负</w:t>
      </w:r>
      <w:r>
        <w:rPr>
          <w:rFonts w:hint="eastAsia" w:ascii="黑体" w:hAnsi="黑体" w:eastAsia="黑体"/>
          <w:color w:val="000000" w:themeColor="text1"/>
          <w:sz w:val="20"/>
          <w:szCs w:val="20"/>
          <w:highlight w:val="none"/>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6．</w:t>
      </w:r>
      <w:r>
        <w:rPr>
          <w:rFonts w:ascii="黑体" w:hAnsi="黑体" w:eastAsia="黑体"/>
          <w:color w:val="000000" w:themeColor="text1"/>
          <w:sz w:val="20"/>
          <w:szCs w:val="20"/>
          <w:highlight w:val="none"/>
          <w14:textFill>
            <w14:solidFill>
              <w14:schemeClr w14:val="tx1"/>
            </w14:solidFill>
          </w14:textFill>
        </w:rPr>
        <w:t>理财产品单位净值/单位净值/</w:t>
      </w:r>
      <w:r>
        <w:rPr>
          <w:rFonts w:hint="eastAsia" w:ascii="黑体" w:hAnsi="黑体" w:eastAsia="黑体"/>
          <w:color w:val="000000" w:themeColor="text1"/>
          <w:sz w:val="20"/>
          <w:szCs w:val="20"/>
          <w:highlight w:val="none"/>
          <w14:textFill>
            <w14:solidFill>
              <w14:schemeClr w14:val="tx1"/>
            </w14:solidFill>
          </w14:textFill>
        </w:rPr>
        <w:t>份额净值</w:t>
      </w:r>
      <w:r>
        <w:rPr>
          <w:rFonts w:ascii="黑体" w:hAnsi="黑体" w:eastAsia="黑体"/>
          <w:color w:val="000000" w:themeColor="text1"/>
          <w:sz w:val="20"/>
          <w:szCs w:val="20"/>
          <w:highlight w:val="none"/>
          <w14:textFill>
            <w14:solidFill>
              <w14:schemeClr w14:val="tx1"/>
            </w14:solidFill>
          </w14:textFill>
        </w:rPr>
        <w:t>：指理财产品份额的单位净值，即每1</w:t>
      </w:r>
      <w:r>
        <w:rPr>
          <w:rFonts w:hint="eastAsia" w:ascii="黑体" w:hAnsi="黑体" w:eastAsia="黑体"/>
          <w:color w:val="000000" w:themeColor="text1"/>
          <w:sz w:val="20"/>
          <w:szCs w:val="20"/>
          <w:highlight w:val="none"/>
          <w14:textFill>
            <w14:solidFill>
              <w14:schemeClr w14:val="tx1"/>
            </w14:solidFill>
          </w14:textFill>
        </w:rPr>
        <w:t>份理财产品份额以人民币计价的价格。理财产品单位净值</w:t>
      </w:r>
      <w:r>
        <w:rPr>
          <w:rFonts w:ascii="黑体" w:hAnsi="黑体" w:eastAsia="黑体"/>
          <w:color w:val="000000" w:themeColor="text1"/>
          <w:sz w:val="20"/>
          <w:szCs w:val="20"/>
          <w:highlight w:val="none"/>
          <w14:textFill>
            <w14:solidFill>
              <w14:schemeClr w14:val="tx1"/>
            </w14:solidFill>
          </w14:textFill>
        </w:rPr>
        <w:t>=当日理财产品资产净值/当日理财产品存续份额</w:t>
      </w:r>
      <w:r>
        <w:rPr>
          <w:rFonts w:hint="eastAsia" w:ascii="黑体" w:hAnsi="黑体" w:eastAsia="黑体"/>
          <w:color w:val="000000" w:themeColor="text1"/>
          <w:sz w:val="20"/>
          <w:szCs w:val="20"/>
          <w:highlight w:val="none"/>
          <w14:textFill>
            <w14:solidFill>
              <w14:schemeClr w14:val="tx1"/>
            </w14:solidFill>
          </w14:textFill>
        </w:rPr>
        <w:t>。</w:t>
      </w:r>
    </w:p>
    <w:p w14:paraId="1B1F5FC5">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7．理财</w:t>
      </w:r>
      <w:r>
        <w:rPr>
          <w:rFonts w:ascii="黑体" w:hAnsi="黑体" w:eastAsia="黑体"/>
          <w:color w:val="000000" w:themeColor="text1"/>
          <w:sz w:val="20"/>
          <w:szCs w:val="20"/>
          <w:highlight w:val="none"/>
          <w14:textFill>
            <w14:solidFill>
              <w14:schemeClr w14:val="tx1"/>
            </w14:solidFill>
          </w14:textFill>
        </w:rPr>
        <w:t>产品本金</w:t>
      </w:r>
      <w:r>
        <w:rPr>
          <w:rFonts w:hint="eastAsia" w:ascii="黑体" w:hAnsi="黑体" w:eastAsia="黑体"/>
          <w:color w:val="000000" w:themeColor="text1"/>
          <w:sz w:val="20"/>
          <w:szCs w:val="20"/>
          <w:highlight w:val="none"/>
          <w14:textFill>
            <w14:solidFill>
              <w14:schemeClr w14:val="tx1"/>
            </w14:solidFill>
          </w14:textFill>
        </w:rPr>
        <w:t>/投资本金/本金</w:t>
      </w:r>
      <w:r>
        <w:rPr>
          <w:rFonts w:ascii="黑体" w:hAnsi="黑体" w:eastAsia="黑体"/>
          <w:color w:val="000000" w:themeColor="text1"/>
          <w:sz w:val="20"/>
          <w:szCs w:val="20"/>
          <w:highlight w:val="none"/>
          <w14:textFill>
            <w14:solidFill>
              <w14:schemeClr w14:val="tx1"/>
            </w14:solidFill>
          </w14:textFill>
        </w:rPr>
        <w:t>：指投资者为认购理财</w:t>
      </w:r>
      <w:r>
        <w:rPr>
          <w:rFonts w:hint="eastAsia" w:ascii="黑体" w:hAnsi="黑体" w:eastAsia="黑体"/>
          <w:color w:val="000000" w:themeColor="text1"/>
          <w:sz w:val="20"/>
          <w:szCs w:val="20"/>
          <w:highlight w:val="none"/>
          <w14:textFill>
            <w14:solidFill>
              <w14:schemeClr w14:val="tx1"/>
            </w14:solidFill>
          </w14:textFill>
        </w:rPr>
        <w:t>产品</w:t>
      </w:r>
      <w:r>
        <w:rPr>
          <w:rFonts w:ascii="黑体" w:hAnsi="黑体" w:eastAsia="黑体"/>
          <w:color w:val="000000" w:themeColor="text1"/>
          <w:sz w:val="20"/>
          <w:szCs w:val="20"/>
          <w:highlight w:val="none"/>
          <w14:textFill>
            <w14:solidFill>
              <w14:schemeClr w14:val="tx1"/>
            </w14:solidFill>
          </w14:textFill>
        </w:rPr>
        <w:t>份额而向理财产品管理人交付的货币资金</w:t>
      </w:r>
      <w:r>
        <w:rPr>
          <w:rFonts w:hint="eastAsia" w:ascii="黑体" w:hAnsi="黑体" w:eastAsia="黑体"/>
          <w:color w:val="000000" w:themeColor="text1"/>
          <w:sz w:val="20"/>
          <w:szCs w:val="20"/>
          <w:highlight w:val="none"/>
          <w14:textFill>
            <w14:solidFill>
              <w14:schemeClr w14:val="tx1"/>
            </w14:solidFill>
          </w14:textFill>
        </w:rPr>
        <w:t>，扣除认购费后</w:t>
      </w:r>
      <w:r>
        <w:rPr>
          <w:rFonts w:ascii="黑体" w:hAnsi="黑体" w:eastAsia="黑体"/>
          <w:color w:val="000000" w:themeColor="text1"/>
          <w:sz w:val="20"/>
          <w:szCs w:val="20"/>
          <w:highlight w:val="none"/>
          <w14:textFill>
            <w14:solidFill>
              <w14:schemeClr w14:val="tx1"/>
            </w14:solidFill>
          </w14:textFill>
        </w:rPr>
        <w:t>即投资者的投资</w:t>
      </w:r>
      <w:r>
        <w:rPr>
          <w:rFonts w:hint="eastAsia" w:ascii="黑体" w:hAnsi="黑体" w:eastAsia="黑体"/>
          <w:color w:val="000000" w:themeColor="text1"/>
          <w:sz w:val="20"/>
          <w:szCs w:val="20"/>
          <w:highlight w:val="none"/>
          <w14:textFill>
            <w14:solidFill>
              <w14:schemeClr w14:val="tx1"/>
            </w14:solidFill>
          </w14:textFill>
        </w:rPr>
        <w:t>本金。</w:t>
      </w:r>
      <w:r>
        <w:rPr>
          <w:rFonts w:ascii="黑体" w:hAnsi="黑体" w:eastAsia="黑体"/>
          <w:color w:val="000000" w:themeColor="text1"/>
          <w:sz w:val="20"/>
          <w:szCs w:val="20"/>
          <w:highlight w:val="none"/>
          <w14:textFill>
            <w14:solidFill>
              <w14:schemeClr w14:val="tx1"/>
            </w14:solidFill>
          </w14:textFill>
        </w:rPr>
        <w:t>本金</w:t>
      </w:r>
      <w:r>
        <w:rPr>
          <w:rFonts w:hint="eastAsia" w:ascii="黑体" w:hAnsi="黑体" w:eastAsia="黑体"/>
          <w:color w:val="000000" w:themeColor="text1"/>
          <w:sz w:val="20"/>
          <w:szCs w:val="20"/>
          <w:highlight w:val="none"/>
          <w14:textFill>
            <w14:solidFill>
              <w14:schemeClr w14:val="tx1"/>
            </w14:solidFill>
          </w14:textFill>
        </w:rPr>
        <w:t>的</w:t>
      </w:r>
      <w:r>
        <w:rPr>
          <w:rFonts w:ascii="黑体" w:hAnsi="黑体" w:eastAsia="黑体"/>
          <w:color w:val="000000" w:themeColor="text1"/>
          <w:sz w:val="20"/>
          <w:szCs w:val="20"/>
          <w:highlight w:val="none"/>
          <w14:textFill>
            <w14:solidFill>
              <w14:schemeClr w14:val="tx1"/>
            </w14:solidFill>
          </w14:textFill>
        </w:rPr>
        <w:t>称谓</w:t>
      </w:r>
      <w:r>
        <w:rPr>
          <w:rFonts w:ascii="黑体" w:hAnsi="黑体" w:eastAsia="黑体"/>
          <w:sz w:val="20"/>
          <w:szCs w:val="20"/>
          <w:highlight w:val="none"/>
        </w:rPr>
        <w:t>仅为产品估值和核算方便而设，</w:t>
      </w:r>
      <w:r>
        <w:rPr>
          <w:rFonts w:hint="eastAsia" w:ascii="黑体" w:hAnsi="黑体" w:eastAsia="黑体"/>
          <w:color w:val="000000" w:themeColor="text1"/>
          <w:sz w:val="20"/>
          <w:szCs w:val="20"/>
          <w:highlight w:val="none"/>
          <w14:textFill>
            <w14:solidFill>
              <w14:schemeClr w14:val="tx1"/>
            </w14:solidFill>
          </w14:textFill>
        </w:rPr>
        <w:t>不代表对</w:t>
      </w:r>
      <w:r>
        <w:rPr>
          <w:rFonts w:ascii="黑体" w:hAnsi="黑体" w:eastAsia="黑体"/>
          <w:color w:val="000000" w:themeColor="text1"/>
          <w:sz w:val="20"/>
          <w:szCs w:val="20"/>
          <w:highlight w:val="none"/>
          <w14:textFill>
            <w14:solidFill>
              <w14:schemeClr w14:val="tx1"/>
            </w14:solidFill>
          </w14:textFill>
        </w:rPr>
        <w:t>投资资金不受损失的承诺。</w:t>
      </w:r>
    </w:p>
    <w:p w14:paraId="777990EA">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8．理财产品</w:t>
      </w:r>
      <w:r>
        <w:rPr>
          <w:rFonts w:ascii="黑体" w:hAnsi="黑体" w:eastAsia="黑体"/>
          <w:color w:val="000000" w:themeColor="text1"/>
          <w:sz w:val="20"/>
          <w:szCs w:val="20"/>
          <w:highlight w:val="none"/>
          <w14:textFill>
            <w14:solidFill>
              <w14:schemeClr w14:val="tx1"/>
            </w14:solidFill>
          </w14:textFill>
        </w:rPr>
        <w:t>收益</w:t>
      </w:r>
      <w:r>
        <w:rPr>
          <w:rFonts w:hint="eastAsia" w:ascii="黑体" w:hAnsi="黑体" w:eastAsia="黑体"/>
          <w:color w:val="000000" w:themeColor="text1"/>
          <w:sz w:val="20"/>
          <w:szCs w:val="20"/>
          <w:highlight w:val="none"/>
          <w14:textFill>
            <w14:solidFill>
              <w14:schemeClr w14:val="tx1"/>
            </w14:solidFill>
          </w14:textFill>
        </w:rPr>
        <w:t>/投资</w:t>
      </w:r>
      <w:r>
        <w:rPr>
          <w:rFonts w:ascii="黑体" w:hAnsi="黑体" w:eastAsia="黑体"/>
          <w:color w:val="000000" w:themeColor="text1"/>
          <w:sz w:val="20"/>
          <w:szCs w:val="20"/>
          <w:highlight w:val="none"/>
          <w14:textFill>
            <w14:solidFill>
              <w14:schemeClr w14:val="tx1"/>
            </w14:solidFill>
          </w14:textFill>
        </w:rPr>
        <w:t>收益</w:t>
      </w:r>
      <w:r>
        <w:rPr>
          <w:rFonts w:hint="eastAsia" w:ascii="黑体" w:hAnsi="黑体" w:eastAsia="黑体"/>
          <w:color w:val="000000" w:themeColor="text1"/>
          <w:sz w:val="20"/>
          <w:szCs w:val="20"/>
          <w:highlight w:val="none"/>
          <w14:textFill>
            <w14:solidFill>
              <w14:schemeClr w14:val="tx1"/>
            </w14:solidFill>
          </w14:textFill>
        </w:rPr>
        <w:t>/收益</w:t>
      </w:r>
      <w:r>
        <w:rPr>
          <w:rFonts w:ascii="黑体" w:hAnsi="黑体" w:eastAsia="黑体"/>
          <w:color w:val="000000" w:themeColor="text1"/>
          <w:sz w:val="20"/>
          <w:szCs w:val="20"/>
          <w:highlight w:val="none"/>
          <w14:textFill>
            <w14:solidFill>
              <w14:schemeClr w14:val="tx1"/>
            </w14:solidFill>
          </w14:textFill>
        </w:rPr>
        <w:t>：</w:t>
      </w:r>
      <w:r>
        <w:rPr>
          <w:rFonts w:hint="eastAsia" w:ascii="黑体" w:hAnsi="黑体" w:eastAsia="黑体"/>
          <w:color w:val="000000" w:themeColor="text1"/>
          <w:sz w:val="20"/>
          <w:szCs w:val="20"/>
          <w:highlight w:val="none"/>
          <w14:textFill>
            <w14:solidFill>
              <w14:schemeClr w14:val="tx1"/>
            </w14:solidFill>
          </w14:textFill>
        </w:rPr>
        <w:t>指</w:t>
      </w:r>
      <w:r>
        <w:rPr>
          <w:rFonts w:ascii="黑体" w:hAnsi="黑体" w:eastAsia="黑体"/>
          <w:color w:val="000000" w:themeColor="text1"/>
          <w:sz w:val="20"/>
          <w:szCs w:val="20"/>
          <w:highlight w:val="none"/>
          <w14:textFill>
            <w14:solidFill>
              <w14:schemeClr w14:val="tx1"/>
            </w14:solidFill>
          </w14:textFill>
        </w:rPr>
        <w:t>投资者投资理财产品获得的投资收益。</w:t>
      </w:r>
    </w:p>
    <w:p w14:paraId="4508E9F2">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ascii="黑体" w:hAnsi="黑体" w:eastAsia="黑体"/>
          <w:color w:val="000000" w:themeColor="text1"/>
          <w:sz w:val="20"/>
          <w:szCs w:val="20"/>
          <w:highlight w:val="none"/>
          <w14:textFill>
            <w14:solidFill>
              <w14:schemeClr w14:val="tx1"/>
            </w14:solidFill>
          </w14:textFill>
        </w:rPr>
        <w:t>9</w:t>
      </w:r>
      <w:r>
        <w:rPr>
          <w:rFonts w:hint="eastAsia" w:ascii="黑体" w:hAnsi="黑体" w:eastAsia="黑体"/>
          <w:color w:val="000000" w:themeColor="text1"/>
          <w:sz w:val="20"/>
          <w:szCs w:val="20"/>
          <w:highlight w:val="none"/>
          <w14:textFill>
            <w14:solidFill>
              <w14:schemeClr w14:val="tx1"/>
            </w14:solidFill>
          </w14:textFill>
        </w:rPr>
        <w:t>．合作销售机构/代销机构：指</w:t>
      </w:r>
      <w:r>
        <w:rPr>
          <w:rFonts w:ascii="黑体" w:hAnsi="黑体" w:eastAsia="黑体"/>
          <w:color w:val="000000" w:themeColor="text1"/>
          <w:sz w:val="20"/>
          <w:szCs w:val="20"/>
          <w:highlight w:val="none"/>
          <w14:textFill>
            <w14:solidFill>
              <w14:schemeClr w14:val="tx1"/>
            </w14:solidFill>
          </w14:textFill>
        </w:rPr>
        <w:t>接受</w:t>
      </w:r>
      <w:r>
        <w:rPr>
          <w:rFonts w:hint="eastAsia" w:ascii="黑体" w:hAnsi="黑体" w:eastAsia="黑体"/>
          <w:color w:val="000000" w:themeColor="text1"/>
          <w:sz w:val="20"/>
          <w:szCs w:val="20"/>
          <w:highlight w:val="none"/>
          <w14:textFill>
            <w14:solidFill>
              <w14:schemeClr w14:val="tx1"/>
            </w14:solidFill>
          </w14:textFill>
        </w:rPr>
        <w:t>信银</w:t>
      </w:r>
      <w:r>
        <w:rPr>
          <w:rFonts w:ascii="黑体" w:hAnsi="黑体" w:eastAsia="黑体"/>
          <w:color w:val="000000" w:themeColor="text1"/>
          <w:sz w:val="20"/>
          <w:szCs w:val="20"/>
          <w:highlight w:val="none"/>
          <w14:textFill>
            <w14:solidFill>
              <w14:schemeClr w14:val="tx1"/>
            </w14:solidFill>
          </w14:textFill>
        </w:rPr>
        <w:t>理财委托</w:t>
      </w:r>
      <w:r>
        <w:rPr>
          <w:rFonts w:hint="eastAsia" w:ascii="黑体" w:hAnsi="黑体" w:eastAsia="黑体"/>
          <w:color w:val="000000" w:themeColor="text1"/>
          <w:sz w:val="20"/>
          <w:szCs w:val="20"/>
          <w:highlight w:val="none"/>
          <w14:textFill>
            <w14:solidFill>
              <w14:schemeClr w14:val="tx1"/>
            </w14:solidFill>
          </w14:textFill>
        </w:rPr>
        <w:t>在</w:t>
      </w:r>
      <w:r>
        <w:rPr>
          <w:rFonts w:ascii="黑体" w:hAnsi="黑体" w:eastAsia="黑体"/>
          <w:color w:val="000000" w:themeColor="text1"/>
          <w:sz w:val="20"/>
          <w:szCs w:val="20"/>
          <w:highlight w:val="none"/>
          <w14:textFill>
            <w14:solidFill>
              <w14:schemeClr w14:val="tx1"/>
            </w14:solidFill>
          </w14:textFill>
        </w:rPr>
        <w:t>其销售渠道</w:t>
      </w:r>
      <w:r>
        <w:rPr>
          <w:rFonts w:hint="eastAsia" w:ascii="黑体" w:hAnsi="黑体" w:eastAsia="黑体"/>
          <w:color w:val="000000" w:themeColor="text1"/>
          <w:sz w:val="20"/>
          <w:szCs w:val="20"/>
          <w:highlight w:val="none"/>
          <w14:textFill>
            <w14:solidFill>
              <w14:schemeClr w14:val="tx1"/>
            </w14:solidFill>
          </w14:textFill>
        </w:rPr>
        <w:t>代理</w:t>
      </w:r>
      <w:r>
        <w:rPr>
          <w:rFonts w:ascii="黑体" w:hAnsi="黑体" w:eastAsia="黑体"/>
          <w:color w:val="000000" w:themeColor="text1"/>
          <w:sz w:val="20"/>
          <w:szCs w:val="20"/>
          <w:highlight w:val="none"/>
          <w14:textFill>
            <w14:solidFill>
              <w14:schemeClr w14:val="tx1"/>
            </w14:solidFill>
          </w14:textFill>
        </w:rPr>
        <w:t>销售信银理财依法发行的理财产品的机构。</w:t>
      </w:r>
    </w:p>
    <w:p w14:paraId="48AD85FA">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ascii="黑体" w:hAnsi="黑体" w:eastAsia="黑体"/>
          <w:color w:val="000000" w:themeColor="text1"/>
          <w:sz w:val="20"/>
          <w:szCs w:val="20"/>
          <w:highlight w:val="none"/>
          <w14:textFill>
            <w14:solidFill>
              <w14:schemeClr w14:val="tx1"/>
            </w14:solidFill>
          </w14:textFill>
        </w:rPr>
        <w:t>10</w:t>
      </w:r>
      <w:r>
        <w:rPr>
          <w:rFonts w:hint="eastAsia" w:ascii="黑体" w:hAnsi="黑体" w:eastAsia="黑体"/>
          <w:color w:val="000000" w:themeColor="text1"/>
          <w:sz w:val="20"/>
          <w:szCs w:val="20"/>
          <w:highlight w:val="none"/>
          <w14:textFill>
            <w14:solidFill>
              <w14:schemeClr w14:val="tx1"/>
            </w14:solidFill>
          </w14:textFill>
        </w:rPr>
        <w:t>．监管</w:t>
      </w:r>
      <w:r>
        <w:rPr>
          <w:rFonts w:ascii="黑体" w:hAnsi="黑体" w:eastAsia="黑体"/>
          <w:color w:val="000000" w:themeColor="text1"/>
          <w:sz w:val="20"/>
          <w:szCs w:val="20"/>
          <w:highlight w:val="none"/>
          <w14:textFill>
            <w14:solidFill>
              <w14:schemeClr w14:val="tx1"/>
            </w14:solidFill>
          </w14:textFill>
        </w:rPr>
        <w:t>机构：</w:t>
      </w:r>
      <w:r>
        <w:rPr>
          <w:rFonts w:hint="eastAsia" w:ascii="黑体" w:hAnsi="黑体" w:eastAsia="黑体"/>
          <w:color w:val="000000" w:themeColor="text1"/>
          <w:sz w:val="20"/>
          <w:szCs w:val="20"/>
          <w:highlight w:val="none"/>
          <w14:textFill>
            <w14:solidFill>
              <w14:schemeClr w14:val="tx1"/>
            </w14:solidFill>
          </w14:textFill>
        </w:rPr>
        <w:t>指对管理人（包括理财产品管理人、理财</w:t>
      </w:r>
      <w:r>
        <w:rPr>
          <w:rFonts w:ascii="黑体" w:hAnsi="黑体" w:eastAsia="黑体"/>
          <w:color w:val="000000" w:themeColor="text1"/>
          <w:sz w:val="20"/>
          <w:szCs w:val="20"/>
          <w:highlight w:val="none"/>
          <w14:textFill>
            <w14:solidFill>
              <w14:schemeClr w14:val="tx1"/>
            </w14:solidFill>
          </w14:textFill>
        </w:rPr>
        <w:t>产品</w:t>
      </w:r>
      <w:r>
        <w:rPr>
          <w:rFonts w:hint="eastAsia" w:ascii="黑体" w:hAnsi="黑体" w:eastAsia="黑体"/>
          <w:color w:val="000000" w:themeColor="text1"/>
          <w:sz w:val="20"/>
          <w:szCs w:val="20"/>
          <w:highlight w:val="none"/>
          <w14:textFill>
            <w14:solidFill>
              <w14:schemeClr w14:val="tx1"/>
            </w14:solidFill>
          </w14:textFill>
        </w:rPr>
        <w:t>所投资的资管产品的管理人</w:t>
      </w:r>
      <w:r>
        <w:rPr>
          <w:rFonts w:ascii="黑体" w:hAnsi="黑体" w:eastAsia="黑体"/>
          <w:color w:val="000000" w:themeColor="text1"/>
          <w:sz w:val="20"/>
          <w:szCs w:val="20"/>
          <w:highlight w:val="none"/>
          <w14:textFill>
            <w14:solidFill>
              <w14:schemeClr w14:val="tx1"/>
            </w14:solidFill>
          </w14:textFill>
        </w:rPr>
        <w:t>/</w:t>
      </w:r>
      <w:r>
        <w:rPr>
          <w:rFonts w:hint="eastAsia" w:ascii="黑体" w:hAnsi="黑体" w:eastAsia="黑体"/>
          <w:color w:val="000000" w:themeColor="text1"/>
          <w:sz w:val="20"/>
          <w:szCs w:val="20"/>
          <w:highlight w:val="none"/>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highlight w:val="none"/>
          <w14:textFill>
            <w14:solidFill>
              <w14:schemeClr w14:val="tx1"/>
            </w14:solidFill>
          </w14:textFill>
        </w:rPr>
        <w:t>。</w:t>
      </w:r>
    </w:p>
    <w:p w14:paraId="29BC2341">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ascii="黑体" w:hAnsi="黑体" w:eastAsia="黑体"/>
          <w:color w:val="000000" w:themeColor="text1"/>
          <w:sz w:val="20"/>
          <w:szCs w:val="20"/>
          <w:highlight w:val="none"/>
          <w14:textFill>
            <w14:solidFill>
              <w14:schemeClr w14:val="tx1"/>
            </w14:solidFill>
          </w14:textFill>
        </w:rPr>
        <w:t>11</w:t>
      </w:r>
      <w:r>
        <w:rPr>
          <w:rFonts w:hint="eastAsia" w:ascii="黑体" w:hAnsi="黑体" w:eastAsia="黑体"/>
          <w:color w:val="000000" w:themeColor="text1"/>
          <w:sz w:val="20"/>
          <w:szCs w:val="20"/>
          <w:highlight w:val="none"/>
          <w14:textFill>
            <w14:solidFill>
              <w14:schemeClr w14:val="tx1"/>
            </w14:solidFill>
          </w14:textFill>
        </w:rPr>
        <w:t>．适用</w:t>
      </w:r>
      <w:r>
        <w:rPr>
          <w:rFonts w:ascii="黑体" w:hAnsi="黑体" w:eastAsia="黑体"/>
          <w:color w:val="000000" w:themeColor="text1"/>
          <w:sz w:val="20"/>
          <w:szCs w:val="20"/>
          <w:highlight w:val="none"/>
          <w14:textFill>
            <w14:solidFill>
              <w14:schemeClr w14:val="tx1"/>
            </w14:solidFill>
          </w14:textFill>
        </w:rPr>
        <w:t>法律：</w:t>
      </w:r>
      <w:r>
        <w:rPr>
          <w:rFonts w:hint="eastAsia" w:ascii="黑体" w:hAnsi="黑体" w:eastAsia="黑体"/>
          <w:color w:val="000000" w:themeColor="text1"/>
          <w:sz w:val="20"/>
          <w:szCs w:val="20"/>
          <w:highlight w:val="none"/>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ascii="黑体" w:hAnsi="黑体" w:eastAsia="黑体"/>
          <w:color w:val="000000" w:themeColor="text1"/>
          <w:sz w:val="20"/>
          <w:szCs w:val="20"/>
          <w:highlight w:val="none"/>
          <w14:textFill>
            <w14:solidFill>
              <w14:schemeClr w14:val="tx1"/>
            </w14:solidFill>
          </w14:textFill>
        </w:rPr>
        <w:t>12</w:t>
      </w:r>
      <w:r>
        <w:rPr>
          <w:rFonts w:hint="eastAsia" w:ascii="黑体" w:hAnsi="黑体" w:eastAsia="黑体"/>
          <w:color w:val="000000" w:themeColor="text1"/>
          <w:sz w:val="20"/>
          <w:szCs w:val="20"/>
          <w:highlight w:val="none"/>
          <w14:textFill>
            <w14:solidFill>
              <w14:schemeClr w14:val="tx1"/>
            </w14:solidFill>
          </w14:textFill>
        </w:rPr>
        <w:t>．不可抗力：指理财</w:t>
      </w:r>
      <w:r>
        <w:rPr>
          <w:rFonts w:ascii="黑体" w:hAnsi="黑体" w:eastAsia="黑体"/>
          <w:color w:val="000000" w:themeColor="text1"/>
          <w:sz w:val="20"/>
          <w:szCs w:val="20"/>
          <w:highlight w:val="none"/>
          <w14:textFill>
            <w14:solidFill>
              <w14:schemeClr w14:val="tx1"/>
            </w14:solidFill>
          </w14:textFill>
        </w:rPr>
        <w:t>产品</w:t>
      </w:r>
      <w:r>
        <w:rPr>
          <w:rFonts w:hint="eastAsia" w:ascii="黑体" w:hAnsi="黑体" w:eastAsia="黑体"/>
          <w:color w:val="000000" w:themeColor="text1"/>
          <w:sz w:val="20"/>
          <w:szCs w:val="20"/>
          <w:highlight w:val="none"/>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w:t>
      </w:r>
      <w:r>
        <w:rPr>
          <w:rFonts w:ascii="黑体" w:hAnsi="黑体" w:eastAsia="黑体"/>
          <w:color w:val="000000" w:themeColor="text1"/>
          <w:sz w:val="20"/>
          <w:szCs w:val="20"/>
          <w:highlight w:val="none"/>
          <w14:textFill>
            <w14:solidFill>
              <w14:schemeClr w14:val="tx1"/>
            </w14:solidFill>
          </w14:textFill>
        </w:rPr>
        <w:t>1</w:t>
      </w:r>
      <w:r>
        <w:rPr>
          <w:rFonts w:hint="eastAsia" w:ascii="黑体" w:hAnsi="黑体" w:eastAsia="黑体"/>
          <w:color w:val="000000" w:themeColor="text1"/>
          <w:sz w:val="20"/>
          <w:szCs w:val="20"/>
          <w:highlight w:val="none"/>
          <w14:textFill>
            <w14:solidFill>
              <w14:schemeClr w14:val="tx1"/>
            </w14:solidFill>
          </w14:textFill>
        </w:rPr>
        <w:t>）地震、台风、海啸、洪水、火灾、停电、瘟疫；</w:t>
      </w:r>
    </w:p>
    <w:p w14:paraId="4E153AAC">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w:t>
      </w:r>
      <w:r>
        <w:rPr>
          <w:rFonts w:ascii="黑体" w:hAnsi="黑体" w:eastAsia="黑体"/>
          <w:color w:val="000000" w:themeColor="text1"/>
          <w:sz w:val="20"/>
          <w:szCs w:val="20"/>
          <w:highlight w:val="none"/>
          <w14:textFill>
            <w14:solidFill>
              <w14:schemeClr w14:val="tx1"/>
            </w14:solidFill>
          </w14:textFill>
        </w:rPr>
        <w:t>2</w:t>
      </w:r>
      <w:r>
        <w:rPr>
          <w:rFonts w:hint="eastAsia" w:ascii="黑体" w:hAnsi="黑体" w:eastAsia="黑体"/>
          <w:color w:val="000000" w:themeColor="text1"/>
          <w:sz w:val="20"/>
          <w:szCs w:val="20"/>
          <w:highlight w:val="none"/>
          <w14:textFill>
            <w14:solidFill>
              <w14:schemeClr w14:val="tx1"/>
            </w14:solidFill>
          </w14:textFill>
        </w:rPr>
        <w:t>）战争、政变、恐怖主义行动、骚乱、罢工；</w:t>
      </w:r>
    </w:p>
    <w:p w14:paraId="7E3AD067">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w:t>
      </w:r>
      <w:r>
        <w:rPr>
          <w:rFonts w:ascii="黑体" w:hAnsi="黑体" w:eastAsia="黑体"/>
          <w:color w:val="000000" w:themeColor="text1"/>
          <w:sz w:val="20"/>
          <w:szCs w:val="20"/>
          <w:highlight w:val="none"/>
          <w14:textFill>
            <w14:solidFill>
              <w14:schemeClr w14:val="tx1"/>
            </w14:solidFill>
          </w14:textFill>
        </w:rPr>
        <w:t>3</w:t>
      </w:r>
      <w:r>
        <w:rPr>
          <w:rFonts w:hint="eastAsia" w:ascii="黑体" w:hAnsi="黑体" w:eastAsia="黑体"/>
          <w:color w:val="000000" w:themeColor="text1"/>
          <w:sz w:val="20"/>
          <w:szCs w:val="20"/>
          <w:highlight w:val="none"/>
          <w14:textFill>
            <w14:solidFill>
              <w14:schemeClr w14:val="tx1"/>
            </w14:solidFill>
          </w14:textFill>
        </w:rPr>
        <w:t>）新的适用法律或国家政策的颁布或实施、对原适用法律或国家政策的修改；</w:t>
      </w:r>
    </w:p>
    <w:p w14:paraId="7138C285">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w:t>
      </w:r>
      <w:r>
        <w:rPr>
          <w:rFonts w:ascii="黑体" w:hAnsi="黑体" w:eastAsia="黑体"/>
          <w:color w:val="000000" w:themeColor="text1"/>
          <w:sz w:val="20"/>
          <w:szCs w:val="20"/>
          <w:highlight w:val="none"/>
          <w14:textFill>
            <w14:solidFill>
              <w14:schemeClr w14:val="tx1"/>
            </w14:solidFill>
          </w14:textFill>
        </w:rPr>
        <w:t>4</w:t>
      </w:r>
      <w:r>
        <w:rPr>
          <w:rFonts w:hint="eastAsia" w:ascii="黑体" w:hAnsi="黑体" w:eastAsia="黑体"/>
          <w:color w:val="000000" w:themeColor="text1"/>
          <w:sz w:val="20"/>
          <w:szCs w:val="20"/>
          <w:highlight w:val="none"/>
          <w14:textFill>
            <w14:solidFill>
              <w14:schemeClr w14:val="tx1"/>
            </w14:solidFill>
          </w14:textFill>
        </w:rPr>
        <w:t>）金融管理部门强制要求（该等强制要求不可归咎于任何一方）；</w:t>
      </w:r>
    </w:p>
    <w:p w14:paraId="74C60AB6">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w:t>
      </w:r>
      <w:r>
        <w:rPr>
          <w:rFonts w:ascii="黑体" w:hAnsi="黑体" w:eastAsia="黑体"/>
          <w:color w:val="000000" w:themeColor="text1"/>
          <w:sz w:val="20"/>
          <w:szCs w:val="20"/>
          <w:highlight w:val="none"/>
          <w14:textFill>
            <w14:solidFill>
              <w14:schemeClr w14:val="tx1"/>
            </w14:solidFill>
          </w14:textFill>
        </w:rPr>
        <w:t>5</w:t>
      </w:r>
      <w:r>
        <w:rPr>
          <w:rFonts w:hint="eastAsia" w:ascii="黑体" w:hAnsi="黑体" w:eastAsia="黑体"/>
          <w:color w:val="000000" w:themeColor="text1"/>
          <w:sz w:val="20"/>
          <w:szCs w:val="20"/>
          <w:highlight w:val="none"/>
          <w14:textFill>
            <w14:solidFill>
              <w14:schemeClr w14:val="tx1"/>
            </w14:solidFill>
          </w14:textFill>
        </w:rPr>
        <w:t>）因理财产品各方和</w:t>
      </w:r>
      <w:r>
        <w:rPr>
          <w:rFonts w:ascii="黑体" w:hAnsi="黑体" w:eastAsia="黑体"/>
          <w:color w:val="000000" w:themeColor="text1"/>
          <w:sz w:val="20"/>
          <w:szCs w:val="20"/>
          <w:highlight w:val="none"/>
          <w14:textFill>
            <w14:solidFill>
              <w14:schemeClr w14:val="tx1"/>
            </w14:solidFill>
          </w14:textFill>
        </w:rPr>
        <w:t>/</w:t>
      </w:r>
      <w:r>
        <w:rPr>
          <w:rFonts w:hint="eastAsia" w:ascii="黑体" w:hAnsi="黑体" w:eastAsia="黑体"/>
          <w:color w:val="000000" w:themeColor="text1"/>
          <w:sz w:val="20"/>
          <w:szCs w:val="20"/>
          <w:highlight w:val="none"/>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highlight w:val="none"/>
          <w14:textFill>
            <w14:solidFill>
              <w14:schemeClr w14:val="tx1"/>
            </w14:solidFill>
          </w14:textFill>
        </w:rPr>
        <w:t>/</w:t>
      </w:r>
      <w:r>
        <w:rPr>
          <w:rFonts w:hint="eastAsia" w:ascii="黑体" w:hAnsi="黑体" w:eastAsia="黑体"/>
          <w:color w:val="000000" w:themeColor="text1"/>
          <w:sz w:val="20"/>
          <w:szCs w:val="20"/>
          <w:highlight w:val="none"/>
          <w14:textFill>
            <w14:solidFill>
              <w14:schemeClr w14:val="tx1"/>
            </w14:solidFill>
          </w14:textFill>
        </w:rPr>
        <w:t>或其关联方之服务、营业的中断或者延迟。</w:t>
      </w:r>
    </w:p>
    <w:p w14:paraId="2272F832">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13．流动性受限资产：是指由于法律法规、监管、合同或操作障碍等原因无法以合理价格予以变现的资产，包括到期日在</w:t>
      </w:r>
      <w:r>
        <w:rPr>
          <w:rFonts w:ascii="黑体" w:hAnsi="黑体" w:eastAsia="黑体"/>
          <w:color w:val="000000" w:themeColor="text1"/>
          <w:sz w:val="20"/>
          <w:szCs w:val="20"/>
          <w:highlight w:val="none"/>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14．信银理财电子渠道：指信银理财官方网站（</w:t>
      </w:r>
      <w:r>
        <w:rPr>
          <w:rStyle w:val="12"/>
          <w:rFonts w:ascii="黑体" w:hAnsi="黑体" w:eastAsia="黑体"/>
          <w:sz w:val="20"/>
          <w:szCs w:val="20"/>
          <w:highlight w:val="none"/>
        </w:rPr>
        <w:fldChar w:fldCharType="begin"/>
      </w:r>
      <w:r>
        <w:rPr>
          <w:rStyle w:val="12"/>
          <w:rFonts w:ascii="黑体" w:hAnsi="黑体" w:eastAsia="黑体"/>
          <w:sz w:val="20"/>
          <w:szCs w:val="20"/>
          <w:highlight w:val="none"/>
        </w:rPr>
        <w:instrText xml:space="preserve"> HYPERLINK "http://www.citic-wealth.com" </w:instrText>
      </w:r>
      <w:r>
        <w:rPr>
          <w:rStyle w:val="12"/>
          <w:rFonts w:ascii="黑体" w:hAnsi="黑体" w:eastAsia="黑体"/>
          <w:sz w:val="20"/>
          <w:szCs w:val="20"/>
          <w:highlight w:val="none"/>
        </w:rPr>
        <w:fldChar w:fldCharType="separate"/>
      </w:r>
      <w:r>
        <w:rPr>
          <w:rStyle w:val="12"/>
          <w:rFonts w:ascii="黑体" w:hAnsi="黑体" w:eastAsia="黑体"/>
          <w:sz w:val="20"/>
          <w:szCs w:val="20"/>
          <w:highlight w:val="none"/>
        </w:rPr>
        <w:t>http://www.citic-wealth.com</w:t>
      </w:r>
      <w:r>
        <w:rPr>
          <w:rStyle w:val="12"/>
          <w:rFonts w:ascii="黑体" w:hAnsi="黑体" w:eastAsia="黑体"/>
          <w:sz w:val="20"/>
          <w:szCs w:val="20"/>
          <w:highlight w:val="none"/>
        </w:rPr>
        <w:fldChar w:fldCharType="end"/>
      </w:r>
      <w:r>
        <w:rPr>
          <w:rFonts w:hint="eastAsia" w:ascii="黑体" w:hAnsi="黑体" w:eastAsia="黑体"/>
          <w:color w:val="000000" w:themeColor="text1"/>
          <w:sz w:val="20"/>
          <w:szCs w:val="20"/>
          <w:highlight w:val="none"/>
          <w14:textFill>
            <w14:solidFill>
              <w14:schemeClr w14:val="tx1"/>
            </w14:solidFill>
          </w14:textFill>
        </w:rPr>
        <w:t>）</w:t>
      </w:r>
      <w:r>
        <w:rPr>
          <w:rFonts w:ascii="黑体" w:hAnsi="黑体" w:eastAsia="黑体"/>
          <w:color w:val="000000" w:themeColor="text1"/>
          <w:sz w:val="20"/>
          <w:szCs w:val="20"/>
          <w:highlight w:val="none"/>
          <w14:textFill>
            <w14:solidFill>
              <w14:schemeClr w14:val="tx1"/>
            </w14:solidFill>
          </w14:textFill>
        </w:rPr>
        <w:t>、信银理财APP。</w:t>
      </w:r>
    </w:p>
    <w:p w14:paraId="4FCE737A">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15．信银理财直销渠道：指信银理财电子渠道及营业场所。</w:t>
      </w:r>
    </w:p>
    <w:p w14:paraId="6B4EF93D">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16．销售机构：指信银理财及代销机构</w:t>
      </w:r>
      <w:r>
        <w:rPr>
          <w:rFonts w:hint="eastAsia" w:ascii="黑体" w:hAnsi="黑体" w:eastAsia="黑体"/>
          <w:color w:val="000000" w:themeColor="text1"/>
          <w:sz w:val="20"/>
          <w:szCs w:val="20"/>
          <w:highlight w:val="none"/>
          <w:lang w:eastAsia="zh-CN"/>
          <w14:textFill>
            <w14:solidFill>
              <w14:schemeClr w14:val="tx1"/>
            </w14:solidFill>
          </w14:textFill>
        </w:rPr>
        <w:t>，</w:t>
      </w:r>
      <w:r>
        <w:rPr>
          <w:rFonts w:hint="eastAsia" w:ascii="黑体" w:hAnsi="黑体" w:eastAsia="黑体"/>
          <w:color w:val="000000" w:themeColor="text1"/>
          <w:sz w:val="20"/>
          <w:szCs w:val="20"/>
          <w:highlight w:val="none"/>
          <w:lang w:val="en-US" w:eastAsia="zh-CN"/>
          <w14:textFill>
            <w14:solidFill>
              <w14:schemeClr w14:val="tx1"/>
            </w14:solidFill>
          </w14:textFill>
        </w:rPr>
        <w:t>具体</w:t>
      </w:r>
      <w:r>
        <w:rPr>
          <w:rFonts w:hint="eastAsia" w:ascii="黑体" w:hAnsi="黑体" w:eastAsia="黑体"/>
          <w:b w:val="0"/>
          <w:color w:val="000000" w:themeColor="text1"/>
          <w:sz w:val="20"/>
          <w:szCs w:val="20"/>
          <w:highlight w:val="none"/>
          <w:lang w:val="en-US" w:eastAsia="zh-CN"/>
          <w14:textFill>
            <w14:solidFill>
              <w14:schemeClr w14:val="tx1"/>
            </w14:solidFill>
          </w14:textFill>
        </w:rPr>
        <w:t>详见说明书披露。</w:t>
      </w:r>
    </w:p>
    <w:p w14:paraId="77627480">
      <w:pPr>
        <w:pStyle w:val="20"/>
        <w:numPr>
          <w:ilvl w:val="255"/>
          <w:numId w:val="0"/>
        </w:numPr>
        <w:spacing w:line="300" w:lineRule="atLeast"/>
        <w:ind w:firstLine="400" w:firstLineChars="200"/>
        <w:jc w:val="both"/>
        <w:rPr>
          <w:rFonts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20"/>
        <w:numPr>
          <w:ilvl w:val="255"/>
          <w:numId w:val="0"/>
        </w:numPr>
        <w:spacing w:line="300" w:lineRule="atLeast"/>
        <w:ind w:firstLine="400" w:firstLineChars="200"/>
        <w:jc w:val="both"/>
        <w:rPr>
          <w:rFonts w:hint="eastAsia"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4D3D6CBC">
      <w:pPr>
        <w:pStyle w:val="20"/>
        <w:numPr>
          <w:ilvl w:val="255"/>
          <w:numId w:val="0"/>
        </w:numPr>
        <w:spacing w:line="300" w:lineRule="atLeast"/>
        <w:ind w:right="36" w:firstLine="400" w:firstLineChars="200"/>
        <w:jc w:val="left"/>
        <w:rPr>
          <w:rFonts w:hint="eastAsia" w:ascii="黑体" w:hAnsi="黑体" w:eastAsia="黑体"/>
          <w:color w:val="000000" w:themeColor="text1"/>
          <w:sz w:val="20"/>
          <w:szCs w:val="20"/>
          <w:highlight w:val="none"/>
          <w14:textFill>
            <w14:solidFill>
              <w14:schemeClr w14:val="tx1"/>
            </w14:solidFill>
          </w14:textFill>
        </w:rPr>
      </w:pPr>
      <w:r>
        <w:rPr>
          <w:rFonts w:hint="eastAsia" w:ascii="黑体" w:hAnsi="黑体" w:eastAsia="黑体"/>
          <w:color w:val="000000" w:themeColor="text1"/>
          <w:sz w:val="20"/>
          <w:szCs w:val="20"/>
          <w:highlight w:val="none"/>
          <w:lang w:val="en-US" w:eastAsia="zh-CN"/>
          <w14:textFill>
            <w14:solidFill>
              <w14:schemeClr w14:val="tx1"/>
            </w14:solidFill>
          </w14:textFill>
        </w:rPr>
        <w:t>19</w:t>
      </w:r>
      <w:r>
        <w:rPr>
          <w:rFonts w:ascii="黑体" w:hAnsi="黑体" w:eastAsia="黑体"/>
          <w:color w:val="000000" w:themeColor="text1"/>
          <w:sz w:val="20"/>
          <w:szCs w:val="20"/>
          <w:highlight w:val="none"/>
          <w14:textFill>
            <w14:solidFill>
              <w14:schemeClr w14:val="tx1"/>
            </w14:solidFill>
          </w14:textFill>
        </w:rPr>
        <w:t>．收益分配基准日：指本理财产品管理人以该日日终产品份额净值计算并确定可供分配的投资收益的日期。</w:t>
      </w:r>
      <w:r>
        <w:rPr>
          <w:rFonts w:ascii="黑体" w:hAnsi="黑体" w:eastAsia="黑体"/>
          <w:color w:val="000000" w:themeColor="text1"/>
          <w:sz w:val="20"/>
          <w:szCs w:val="20"/>
          <w:highlight w:val="none"/>
          <w14:textFill>
            <w14:solidFill>
              <w14:schemeClr w14:val="tx1"/>
            </w14:solidFill>
          </w14:textFill>
        </w:rPr>
        <w:br w:type="textWrapping"/>
      </w:r>
      <w:r>
        <w:rPr>
          <w:rFonts w:ascii="黑体" w:hAnsi="黑体" w:eastAsia="黑体"/>
          <w:color w:val="000000" w:themeColor="text1"/>
          <w:sz w:val="20"/>
          <w:szCs w:val="20"/>
          <w:highlight w:val="none"/>
          <w14:textFill>
            <w14:solidFill>
              <w14:schemeClr w14:val="tx1"/>
            </w14:solidFill>
          </w14:textFill>
        </w:rPr>
        <w:t xml:space="preserve">    2</w:t>
      </w:r>
      <w:r>
        <w:rPr>
          <w:rFonts w:hint="eastAsia" w:ascii="黑体" w:hAnsi="黑体" w:eastAsia="黑体"/>
          <w:color w:val="000000" w:themeColor="text1"/>
          <w:sz w:val="20"/>
          <w:szCs w:val="20"/>
          <w:highlight w:val="none"/>
          <w:lang w:val="en-US" w:eastAsia="zh-CN"/>
          <w14:textFill>
            <w14:solidFill>
              <w14:schemeClr w14:val="tx1"/>
            </w14:solidFill>
          </w14:textFill>
        </w:rPr>
        <w:t>0</w:t>
      </w:r>
      <w:r>
        <w:rPr>
          <w:rFonts w:ascii="黑体" w:hAnsi="黑体" w:eastAsia="黑体"/>
          <w:color w:val="000000" w:themeColor="text1"/>
          <w:sz w:val="20"/>
          <w:szCs w:val="20"/>
          <w:highlight w:val="none"/>
          <w14:textFill>
            <w14:solidFill>
              <w14:schemeClr w14:val="tx1"/>
            </w14:solidFill>
          </w14:textFill>
        </w:rPr>
        <w:t>．权益登记日：指本理财产品管理人以该日日终登记在册的本理财产品份额全体持有人确定收益分配对象的日期。</w:t>
      </w:r>
    </w:p>
    <w:p w14:paraId="0F96C1C8">
      <w:pPr>
        <w:snapToGrid w:val="0"/>
        <w:ind w:left="-2" w:leftChars="-1" w:right="53" w:rightChars="22"/>
        <w:rPr>
          <w:rFonts w:ascii="黑体" w:hAnsi="Times New Roman" w:eastAsia="黑体" w:cs="黑体"/>
          <w:b/>
          <w:bCs/>
          <w:color w:val="000000" w:themeColor="text1"/>
          <w:sz w:val="20"/>
          <w:szCs w:val="20"/>
          <w:highlight w:val="none"/>
          <w14:textFill>
            <w14:solidFill>
              <w14:schemeClr w14:val="tx1"/>
            </w14:solidFill>
          </w14:textFill>
        </w:rPr>
      </w:pPr>
      <w:r>
        <w:rPr>
          <w:rFonts w:ascii="黑体" w:hAnsi="Times New Roman" w:eastAsia="黑体" w:cs="黑体"/>
          <w:b/>
          <w:bCs/>
          <w:color w:val="000000" w:themeColor="text1"/>
          <w:sz w:val="20"/>
          <w:szCs w:val="20"/>
          <w:highlight w:val="none"/>
          <w14:textFill>
            <w14:solidFill>
              <w14:schemeClr w14:val="tx1"/>
            </w14:solidFill>
          </w14:textFill>
        </w:rPr>
        <w:t> </w:t>
      </w:r>
      <w:r>
        <w:rPr>
          <w:rFonts w:hint="eastAsia" w:ascii="黑体" w:hAnsi="Times New Roman" w:eastAsia="黑体" w:cs="黑体"/>
          <w:b/>
          <w:bCs/>
          <w:color w:val="000000" w:themeColor="text1"/>
          <w:sz w:val="20"/>
          <w:szCs w:val="20"/>
          <w:highlight w:val="none"/>
          <w14:textFill>
            <w14:solidFill>
              <w14:schemeClr w14:val="tx1"/>
            </w14:solidFill>
          </w14:textFill>
        </w:rPr>
        <w:t>理财产品风险评级及</w:t>
      </w:r>
      <w:r>
        <w:rPr>
          <w:rFonts w:ascii="黑体" w:hAnsi="Times New Roman" w:eastAsia="黑体" w:cs="黑体"/>
          <w:b/>
          <w:bCs/>
          <w:color w:val="000000" w:themeColor="text1"/>
          <w:sz w:val="20"/>
          <w:szCs w:val="20"/>
          <w:highlight w:val="none"/>
          <w14:textFill>
            <w14:solidFill>
              <w14:schemeClr w14:val="tx1"/>
            </w14:solidFill>
          </w14:textFill>
        </w:rPr>
        <w:t>与投资者</w:t>
      </w:r>
      <w:r>
        <w:rPr>
          <w:rFonts w:hint="eastAsia" w:ascii="黑体" w:hAnsi="Times New Roman" w:eastAsia="黑体" w:cs="黑体"/>
          <w:b/>
          <w:bCs/>
          <w:color w:val="000000" w:themeColor="text1"/>
          <w:sz w:val="20"/>
          <w:szCs w:val="20"/>
          <w:highlight w:val="none"/>
          <w14:textFill>
            <w14:solidFill>
              <w14:schemeClr w14:val="tx1"/>
            </w14:solidFill>
          </w14:textFill>
        </w:rPr>
        <w:t>类型</w:t>
      </w:r>
      <w:r>
        <w:rPr>
          <w:rFonts w:ascii="黑体" w:hAnsi="Times New Roman" w:eastAsia="黑体" w:cs="黑体"/>
          <w:b/>
          <w:bCs/>
          <w:color w:val="000000" w:themeColor="text1"/>
          <w:sz w:val="20"/>
          <w:szCs w:val="20"/>
          <w:highlight w:val="none"/>
          <w14:textFill>
            <w14:solidFill>
              <w14:schemeClr w14:val="tx1"/>
            </w14:solidFill>
          </w14:textFill>
        </w:rPr>
        <w:t>对应关系</w:t>
      </w:r>
      <w:r>
        <w:rPr>
          <w:rFonts w:hint="eastAsia" w:ascii="黑体" w:hAnsi="Times New Roman" w:eastAsia="黑体" w:cs="黑体"/>
          <w:b/>
          <w:bCs/>
          <w:color w:val="000000" w:themeColor="text1"/>
          <w:sz w:val="20"/>
          <w:szCs w:val="20"/>
          <w:highlight w:val="none"/>
          <w14:textFill>
            <w14:solidFill>
              <w14:schemeClr w14:val="tx1"/>
            </w14:solidFill>
          </w14:textFill>
        </w:rPr>
        <w:t>：</w:t>
      </w:r>
    </w:p>
    <w:p w14:paraId="525AFA1F">
      <w:pPr>
        <w:snapToGrid w:val="0"/>
        <w:ind w:left="-2" w:leftChars="-1" w:right="53" w:rightChars="22"/>
        <w:rPr>
          <w:rFonts w:ascii="黑体" w:hAnsi="Times New Roman" w:eastAsia="黑体" w:cs="黑体"/>
          <w:b/>
          <w:bCs/>
          <w:color w:val="000000" w:themeColor="text1"/>
          <w:sz w:val="20"/>
          <w:szCs w:val="20"/>
          <w:highlight w:val="none"/>
          <w14:textFill>
            <w14:solidFill>
              <w14:schemeClr w14:val="tx1"/>
            </w14:solidFill>
          </w14:textFill>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2366"/>
        <w:gridCol w:w="3764"/>
      </w:tblGrid>
      <w:tr w14:paraId="0860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2F62CB8A">
            <w:pPr>
              <w:adjustRightInd w:val="0"/>
              <w:jc w:val="center"/>
              <w:textAlignment w:val="baseline"/>
              <w:outlineLvl w:val="0"/>
              <w:rPr>
                <w:rFonts w:ascii="楷体" w:hAnsi="楷体" w:eastAsia="楷体" w:cs="楷体"/>
                <w:b/>
                <w:color w:val="000000"/>
                <w:highlight w:val="none"/>
              </w:rPr>
            </w:pPr>
            <w:r>
              <w:rPr>
                <w:rFonts w:hint="eastAsia" w:ascii="楷体" w:hAnsi="楷体" w:eastAsia="楷体" w:cs="楷体"/>
                <w:b/>
                <w:color w:val="000000"/>
                <w:highlight w:val="none"/>
              </w:rPr>
              <w:t>产品</w:t>
            </w:r>
            <w:r>
              <w:rPr>
                <w:rFonts w:ascii="楷体" w:hAnsi="楷体" w:eastAsia="楷体" w:cs="楷体"/>
                <w:b/>
                <w:color w:val="000000"/>
                <w:highlight w:val="none"/>
              </w:rPr>
              <w:t>风险评级</w:t>
            </w:r>
          </w:p>
        </w:tc>
        <w:tc>
          <w:tcPr>
            <w:tcW w:w="2710" w:type="dxa"/>
            <w:vAlign w:val="center"/>
          </w:tcPr>
          <w:p w14:paraId="1695DDE9">
            <w:pPr>
              <w:adjustRightInd w:val="0"/>
              <w:jc w:val="center"/>
              <w:textAlignment w:val="baseline"/>
              <w:outlineLvl w:val="0"/>
              <w:rPr>
                <w:rFonts w:ascii="楷体" w:hAnsi="楷体" w:eastAsia="楷体" w:cs="楷体"/>
                <w:b/>
                <w:color w:val="000000"/>
                <w:highlight w:val="none"/>
              </w:rPr>
            </w:pPr>
            <w:r>
              <w:rPr>
                <w:rFonts w:ascii="楷体" w:hAnsi="楷体" w:eastAsia="楷体" w:cs="楷体"/>
                <w:b/>
                <w:color w:val="000000"/>
                <w:highlight w:val="none"/>
              </w:rPr>
              <w:t>风险程度</w:t>
            </w:r>
          </w:p>
        </w:tc>
        <w:tc>
          <w:tcPr>
            <w:tcW w:w="4327" w:type="dxa"/>
            <w:vAlign w:val="center"/>
          </w:tcPr>
          <w:p w14:paraId="1029746E">
            <w:pPr>
              <w:adjustRightInd w:val="0"/>
              <w:jc w:val="center"/>
              <w:textAlignment w:val="baseline"/>
              <w:outlineLvl w:val="0"/>
              <w:rPr>
                <w:rFonts w:ascii="楷体" w:hAnsi="楷体" w:eastAsia="楷体" w:cs="楷体"/>
                <w:b/>
                <w:color w:val="000000"/>
                <w:highlight w:val="none"/>
              </w:rPr>
            </w:pPr>
            <w:r>
              <w:rPr>
                <w:rFonts w:hint="eastAsia" w:ascii="楷体" w:hAnsi="楷体" w:eastAsia="楷体" w:cs="楷体"/>
                <w:b/>
                <w:color w:val="000000"/>
                <w:kern w:val="2"/>
                <w:highlight w:val="none"/>
              </w:rPr>
              <w:t>适合投资者类型</w:t>
            </w:r>
          </w:p>
        </w:tc>
      </w:tr>
      <w:tr w14:paraId="326A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5713153">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PR1级</w:t>
            </w:r>
          </w:p>
        </w:tc>
        <w:tc>
          <w:tcPr>
            <w:tcW w:w="2710" w:type="dxa"/>
            <w:vAlign w:val="center"/>
          </w:tcPr>
          <w:p w14:paraId="7EBF8FBC">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低</w:t>
            </w:r>
          </w:p>
        </w:tc>
        <w:tc>
          <w:tcPr>
            <w:tcW w:w="4327" w:type="dxa"/>
            <w:vAlign w:val="center"/>
          </w:tcPr>
          <w:p w14:paraId="48987A97">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kern w:val="2"/>
                <w:sz w:val="21"/>
                <w:szCs w:val="21"/>
                <w:highlight w:val="none"/>
              </w:rPr>
              <w:t>谨慎型、稳健型、平衡型、进取型、激进型</w:t>
            </w:r>
          </w:p>
        </w:tc>
      </w:tr>
      <w:tr w14:paraId="70A7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055A059B">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PR2级</w:t>
            </w:r>
          </w:p>
        </w:tc>
        <w:tc>
          <w:tcPr>
            <w:tcW w:w="2710" w:type="dxa"/>
            <w:vAlign w:val="center"/>
          </w:tcPr>
          <w:p w14:paraId="1DA79A45">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中低</w:t>
            </w:r>
          </w:p>
        </w:tc>
        <w:tc>
          <w:tcPr>
            <w:tcW w:w="4327" w:type="dxa"/>
            <w:vAlign w:val="center"/>
          </w:tcPr>
          <w:p w14:paraId="5FB6EADF">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kern w:val="2"/>
                <w:sz w:val="21"/>
                <w:szCs w:val="21"/>
                <w:highlight w:val="none"/>
              </w:rPr>
              <w:t>稳健型、平衡型、进取型、激进型</w:t>
            </w:r>
          </w:p>
        </w:tc>
      </w:tr>
      <w:tr w14:paraId="19CD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9D1EA47">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PR3级</w:t>
            </w:r>
          </w:p>
        </w:tc>
        <w:tc>
          <w:tcPr>
            <w:tcW w:w="2710" w:type="dxa"/>
            <w:vAlign w:val="center"/>
          </w:tcPr>
          <w:p w14:paraId="4AAA9B0A">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szCs w:val="21"/>
                <w:highlight w:val="none"/>
              </w:rPr>
              <w:t>中等</w:t>
            </w:r>
          </w:p>
        </w:tc>
        <w:tc>
          <w:tcPr>
            <w:tcW w:w="4327" w:type="dxa"/>
            <w:vAlign w:val="center"/>
          </w:tcPr>
          <w:p w14:paraId="5CFE2FEB">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kern w:val="2"/>
                <w:sz w:val="21"/>
                <w:szCs w:val="21"/>
                <w:highlight w:val="none"/>
              </w:rPr>
              <w:t>平衡型、进取型、激进型</w:t>
            </w:r>
          </w:p>
        </w:tc>
      </w:tr>
      <w:tr w14:paraId="2750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3150E7D">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PR4级</w:t>
            </w:r>
          </w:p>
        </w:tc>
        <w:tc>
          <w:tcPr>
            <w:tcW w:w="2710" w:type="dxa"/>
            <w:vAlign w:val="center"/>
          </w:tcPr>
          <w:p w14:paraId="7198B426">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szCs w:val="21"/>
                <w:highlight w:val="none"/>
              </w:rPr>
              <w:t>中高</w:t>
            </w:r>
          </w:p>
        </w:tc>
        <w:tc>
          <w:tcPr>
            <w:tcW w:w="4327" w:type="dxa"/>
            <w:vAlign w:val="center"/>
          </w:tcPr>
          <w:p w14:paraId="7746408B">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kern w:val="2"/>
                <w:sz w:val="21"/>
                <w:szCs w:val="21"/>
                <w:highlight w:val="none"/>
              </w:rPr>
              <w:t>进取型、激进型</w:t>
            </w:r>
          </w:p>
        </w:tc>
      </w:tr>
      <w:tr w14:paraId="623C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D09A3A2">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PR5级</w:t>
            </w:r>
          </w:p>
        </w:tc>
        <w:tc>
          <w:tcPr>
            <w:tcW w:w="2710" w:type="dxa"/>
            <w:vAlign w:val="center"/>
          </w:tcPr>
          <w:p w14:paraId="7BD6D5DA">
            <w:pPr>
              <w:adjustRightInd w:val="0"/>
              <w:jc w:val="center"/>
              <w:textAlignment w:val="baseline"/>
              <w:outlineLvl w:val="0"/>
              <w:rPr>
                <w:rFonts w:ascii="楷体" w:hAnsi="楷体" w:eastAsia="楷体" w:cs="楷体"/>
                <w:color w:val="000000"/>
                <w:szCs w:val="21"/>
                <w:highlight w:val="none"/>
              </w:rPr>
            </w:pPr>
            <w:r>
              <w:rPr>
                <w:rFonts w:ascii="楷体" w:hAnsi="楷体" w:eastAsia="楷体" w:cs="楷体"/>
                <w:color w:val="000000"/>
                <w:szCs w:val="21"/>
                <w:highlight w:val="none"/>
              </w:rPr>
              <w:t>高</w:t>
            </w:r>
          </w:p>
        </w:tc>
        <w:tc>
          <w:tcPr>
            <w:tcW w:w="4327" w:type="dxa"/>
            <w:vAlign w:val="center"/>
          </w:tcPr>
          <w:p w14:paraId="762AD7B7">
            <w:pPr>
              <w:adjustRightInd w:val="0"/>
              <w:jc w:val="center"/>
              <w:textAlignment w:val="baseline"/>
              <w:outlineLvl w:val="0"/>
              <w:rPr>
                <w:rFonts w:ascii="楷体" w:hAnsi="楷体" w:eastAsia="楷体" w:cs="楷体"/>
                <w:color w:val="000000"/>
                <w:szCs w:val="21"/>
                <w:highlight w:val="none"/>
              </w:rPr>
            </w:pPr>
            <w:r>
              <w:rPr>
                <w:rFonts w:hint="eastAsia" w:ascii="楷体" w:hAnsi="楷体" w:eastAsia="楷体" w:cs="楷体"/>
                <w:color w:val="000000"/>
                <w:kern w:val="2"/>
                <w:sz w:val="21"/>
                <w:szCs w:val="21"/>
                <w:highlight w:val="none"/>
              </w:rPr>
              <w:t>激进型</w:t>
            </w:r>
          </w:p>
        </w:tc>
      </w:tr>
    </w:tbl>
    <w:p w14:paraId="590B0D59">
      <w:pPr>
        <w:snapToGrid w:val="0"/>
        <w:ind w:left="-2" w:leftChars="-1" w:right="53" w:rightChars="22" w:firstLine="0"/>
        <w:outlineLvl w:val="9"/>
        <w:rPr>
          <w:rFonts w:hint="eastAsia" w:ascii="黑体" w:hAnsi="Times New Roman" w:eastAsia="黑体" w:cs="黑体"/>
          <w:b/>
          <w:bCs/>
          <w:color w:val="auto"/>
          <w:sz w:val="20"/>
          <w:szCs w:val="20"/>
          <w:highlight w:val="none"/>
          <w:lang w:val="en-US" w:eastAsia="zh-CN"/>
        </w:rPr>
      </w:pPr>
      <w:r>
        <w:rPr>
          <w:rFonts w:hint="eastAsia" w:ascii="黑体" w:hAnsi="Times New Roman" w:eastAsia="黑体" w:cs="黑体"/>
          <w:b/>
          <w:bCs/>
          <w:color w:val="auto"/>
          <w:sz w:val="20"/>
          <w:szCs w:val="20"/>
          <w:highlight w:val="none"/>
          <w:lang w:val="en-US" w:eastAsia="zh-CN"/>
        </w:rPr>
        <w:t>投资者通过本产品合作销售机构办理的，以合作销售机构的投资者风险测评结果、产品风险评级以及二者的对应关系为准。</w:t>
      </w:r>
    </w:p>
    <w:p w14:paraId="4643FD06">
      <w:pPr>
        <w:snapToGrid w:val="0"/>
        <w:ind w:left="433" w:right="53" w:rightChars="22" w:hanging="435"/>
        <w:outlineLvl w:val="0"/>
        <w:rPr>
          <w:rFonts w:hint="default" w:ascii="黑体" w:hAnsi="Times New Roman" w:eastAsia="黑体" w:cs="黑体"/>
          <w:color w:val="000000" w:themeColor="text1"/>
          <w:sz w:val="20"/>
          <w:szCs w:val="20"/>
          <w:highlight w:val="none"/>
          <w:lang w:val="en-US" w:eastAsia="zh-CN"/>
          <w14:textFill>
            <w14:solidFill>
              <w14:schemeClr w14:val="tx1"/>
            </w14:solidFill>
          </w14:textFill>
        </w:rPr>
      </w:pPr>
    </w:p>
    <w:p w14:paraId="5DA403D6">
      <w:pPr>
        <w:snapToGrid w:val="0"/>
        <w:ind w:left="433" w:right="53" w:rightChars="22" w:hanging="435"/>
        <w:outlineLvl w:val="0"/>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一、</w:t>
      </w:r>
      <w:r>
        <w:rPr>
          <w:rFonts w:ascii="Times New Roman" w:hAnsi="Times New Roman" w:eastAsia="黑体"/>
          <w:color w:val="000000" w:themeColor="text1"/>
          <w:sz w:val="14"/>
          <w:szCs w:val="14"/>
          <w:highlight w:val="none"/>
          <w14:textFill>
            <w14:solidFill>
              <w14:schemeClr w14:val="tx1"/>
            </w14:solidFill>
          </w14:textFill>
        </w:rPr>
        <w:t xml:space="preserve"> </w:t>
      </w:r>
      <w:r>
        <w:rPr>
          <w:rFonts w:hint="eastAsia" w:ascii="黑体" w:hAnsi="Times New Roman" w:eastAsia="黑体" w:cs="黑体"/>
          <w:color w:val="000000" w:themeColor="text1"/>
          <w:sz w:val="20"/>
          <w:szCs w:val="20"/>
          <w:highlight w:val="none"/>
          <w14:textFill>
            <w14:solidFill>
              <w14:schemeClr w14:val="tx1"/>
            </w14:solidFill>
          </w14:textFill>
        </w:rPr>
        <w:t>产品投资范围</w:t>
      </w:r>
    </w:p>
    <w:p w14:paraId="683DC93B">
      <w:pPr>
        <w:snapToGrid w:val="0"/>
        <w:ind w:left="433" w:right="53" w:rightChars="22" w:firstLine="0" w:firstLineChars="0"/>
        <w:outlineLvl w:val="0"/>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1</w:t>
      </w:r>
      <w:r>
        <w:rPr>
          <w:rFonts w:hint="eastAsia" w:ascii="楷体_GB2312" w:eastAsia="楷体_GB2312"/>
          <w:color w:val="000000" w:themeColor="text1"/>
          <w:sz w:val="20"/>
          <w:szCs w:val="20"/>
          <w:highlight w:val="none"/>
          <w14:textFill>
            <w14:solidFill>
              <w14:schemeClr w14:val="tx1"/>
            </w14:solidFill>
          </w14:textFill>
        </w:rPr>
        <w:t>．产品投资策略：</w:t>
      </w:r>
    </w:p>
    <w:p w14:paraId="2E9FE289">
      <w:pPr>
        <w:spacing w:line="300" w:lineRule="exact"/>
        <w:ind w:left="-2" w:leftChars="-1" w:right="36" w:rightChars="15" w:firstLine="422"/>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本产品通过综合分析经济形势、货币政策、利率走势、行业状况、信用风险等因素，自上而下判断宏观趋势和利率趋势，并自下而上结合内部信用评级制度，分析企业的市场地位、管理水平、发展趋势和财务状况等，作为产品投资的重要依据，以获取长期稳定的收益。</w:t>
      </w:r>
    </w:p>
    <w:p w14:paraId="032DBAE6">
      <w:pPr>
        <w:spacing w:line="300" w:lineRule="exact"/>
        <w:ind w:left="-2" w:leftChars="0" w:right="36" w:rightChars="15" w:firstLine="420" w:firstLineChars="0"/>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2</w:t>
      </w:r>
      <w:r>
        <w:rPr>
          <w:rFonts w:hint="eastAsia" w:ascii="楷体_GB2312" w:eastAsia="楷体_GB2312"/>
          <w:color w:val="000000" w:themeColor="text1"/>
          <w:sz w:val="20"/>
          <w:szCs w:val="20"/>
          <w:highlight w:val="none"/>
          <w14:textFill>
            <w14:solidFill>
              <w14:schemeClr w14:val="tx1"/>
            </w14:solidFill>
          </w14:textFill>
        </w:rPr>
        <w:t>．本理财产品存续期间，投资于以下投资对象：</w:t>
      </w:r>
    </w:p>
    <w:p w14:paraId="37379198">
      <w:pPr>
        <w:spacing w:line="300" w:lineRule="exact"/>
        <w:ind w:right="36" w:rightChars="15"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（1）债权类资产</w:t>
      </w:r>
    </w:p>
    <w:p w14:paraId="04B61E15">
      <w:pPr>
        <w:spacing w:line="300" w:lineRule="exact"/>
        <w:ind w:right="36" w:rightChars="15"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a</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货币市场类：现金、存款、大额</w:t>
      </w:r>
      <w:r>
        <w:rPr>
          <w:rFonts w:ascii="楷体_GB2312" w:eastAsia="楷体_GB2312"/>
          <w:color w:val="000000" w:themeColor="text1"/>
          <w:sz w:val="20"/>
          <w:szCs w:val="20"/>
          <w:highlight w:val="none"/>
          <w14:textFill>
            <w14:solidFill>
              <w14:schemeClr w14:val="tx1"/>
            </w14:solidFill>
          </w14:textFill>
        </w:rPr>
        <w:t>存单、同业存单、</w:t>
      </w:r>
      <w:r>
        <w:rPr>
          <w:rFonts w:hint="eastAsia" w:ascii="楷体_GB2312" w:eastAsia="楷体_GB2312"/>
          <w:color w:val="000000" w:themeColor="text1"/>
          <w:sz w:val="20"/>
          <w:szCs w:val="20"/>
          <w:highlight w:val="none"/>
          <w14:textFill>
            <w14:solidFill>
              <w14:schemeClr w14:val="tx1"/>
            </w14:solidFill>
          </w14:textFill>
        </w:rPr>
        <w:t>货币基金、质押式回购和其他货币市场类资产；</w:t>
      </w:r>
    </w:p>
    <w:p w14:paraId="710C6F30">
      <w:pPr>
        <w:spacing w:line="300" w:lineRule="exact"/>
        <w:ind w:left="-2" w:leftChars="-1" w:right="36" w:rightChars="15" w:firstLine="422"/>
        <w:jc w:val="both"/>
        <w:rPr>
          <w:rFonts w:ascii="Times New Roman" w:hAnsi="Times New Roman"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b.固定收益类：国债</w:t>
      </w:r>
      <w:r>
        <w:rPr>
          <w:rFonts w:ascii="楷体_GB2312" w:eastAsia="楷体_GB2312"/>
          <w:color w:val="000000" w:themeColor="text1"/>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highlight w:val="none"/>
          <w14:textFill>
            <w14:solidFill>
              <w14:schemeClr w14:val="tx1"/>
            </w14:solidFill>
          </w14:textFill>
        </w:rPr>
        <w:t>资产支持证券、非公开定向债务融资工具、债券型</w:t>
      </w:r>
      <w:r>
        <w:rPr>
          <w:rFonts w:ascii="楷体_GB2312" w:eastAsia="楷体_GB2312"/>
          <w:color w:val="000000" w:themeColor="text1"/>
          <w:sz w:val="20"/>
          <w:szCs w:val="20"/>
          <w:highlight w:val="none"/>
          <w14:textFill>
            <w14:solidFill>
              <w14:schemeClr w14:val="tx1"/>
            </w14:solidFill>
          </w14:textFill>
        </w:rPr>
        <w:t>证券投资</w:t>
      </w:r>
      <w:r>
        <w:rPr>
          <w:rFonts w:hint="eastAsia" w:ascii="楷体_GB2312" w:eastAsia="楷体_GB2312"/>
          <w:color w:val="000000" w:themeColor="text1"/>
          <w:sz w:val="20"/>
          <w:szCs w:val="20"/>
          <w:highlight w:val="none"/>
          <w14:textFill>
            <w14:solidFill>
              <w14:schemeClr w14:val="tx1"/>
            </w14:solidFill>
          </w14:textFill>
        </w:rPr>
        <w:t>基金、</w:t>
      </w:r>
      <w:r>
        <w:rPr>
          <w:rFonts w:ascii="楷体_GB2312" w:eastAsia="楷体_GB2312"/>
          <w:color w:val="000000" w:themeColor="text1"/>
          <w:sz w:val="20"/>
          <w:szCs w:val="20"/>
          <w:highlight w:val="none"/>
          <w14:textFill>
            <w14:solidFill>
              <w14:schemeClr w14:val="tx1"/>
            </w14:solidFill>
          </w14:textFill>
        </w:rPr>
        <w:t>非标准化债权类资产</w:t>
      </w:r>
      <w:r>
        <w:rPr>
          <w:rFonts w:hint="eastAsia" w:ascii="楷体_GB2312" w:eastAsia="楷体_GB2312"/>
          <w:color w:val="000000" w:themeColor="text1"/>
          <w:sz w:val="20"/>
          <w:szCs w:val="20"/>
          <w:highlight w:val="none"/>
          <w14:textFill>
            <w14:solidFill>
              <w14:schemeClr w14:val="tx1"/>
            </w14:solidFill>
          </w14:textFill>
        </w:rPr>
        <w:t>和其他固定收益类资产；</w:t>
      </w:r>
    </w:p>
    <w:p w14:paraId="76EF9675">
      <w:pPr>
        <w:spacing w:line="300" w:lineRule="exact"/>
        <w:ind w:left="-2" w:leftChars="-1" w:right="36" w:rightChars="15" w:firstLine="422"/>
        <w:jc w:val="both"/>
        <w:rPr>
          <w:rFonts w:ascii="Times New Roman" w:hAnsi="Times New Roman" w:eastAsia="楷体_GB2312"/>
          <w:color w:val="000000" w:themeColor="text1"/>
          <w:sz w:val="20"/>
          <w:szCs w:val="20"/>
          <w:highlight w:val="none"/>
          <w14:textFill>
            <w14:solidFill>
              <w14:schemeClr w14:val="tx1"/>
            </w14:solidFill>
          </w14:textFill>
        </w:rPr>
      </w:pPr>
      <w:r>
        <w:rPr>
          <w:rFonts w:hint="eastAsia" w:ascii="Times New Roman" w:hAnsi="Times New Roman" w:eastAsia="楷体_GB2312"/>
          <w:color w:val="000000" w:themeColor="text1"/>
          <w:sz w:val="20"/>
          <w:szCs w:val="20"/>
          <w:highlight w:val="none"/>
          <w14:textFill>
            <w14:solidFill>
              <w14:schemeClr w14:val="tx1"/>
            </w14:solidFill>
          </w14:textFill>
        </w:rPr>
        <w:t>（</w:t>
      </w:r>
      <w:r>
        <w:rPr>
          <w:rFonts w:ascii="Times New Roman" w:hAnsi="Times New Roman" w:eastAsia="楷体_GB2312"/>
          <w:color w:val="000000" w:themeColor="text1"/>
          <w:sz w:val="20"/>
          <w:szCs w:val="20"/>
          <w:highlight w:val="none"/>
          <w14:textFill>
            <w14:solidFill>
              <w14:schemeClr w14:val="tx1"/>
            </w14:solidFill>
          </w14:textFill>
        </w:rPr>
        <w:t>2）</w:t>
      </w:r>
      <w:r>
        <w:rPr>
          <w:rFonts w:hint="eastAsia" w:ascii="Times New Roman" w:hAnsi="Times New Roman" w:eastAsia="楷体_GB2312"/>
          <w:color w:val="000000" w:themeColor="text1"/>
          <w:sz w:val="20"/>
          <w:szCs w:val="20"/>
          <w:highlight w:val="none"/>
          <w14:textFill>
            <w14:solidFill>
              <w14:schemeClr w14:val="tx1"/>
            </w14:solidFill>
          </w14:textFill>
        </w:rPr>
        <w:t>权益</w:t>
      </w:r>
      <w:r>
        <w:rPr>
          <w:rFonts w:ascii="Times New Roman" w:hAnsi="Times New Roman" w:eastAsia="楷体_GB2312"/>
          <w:color w:val="000000" w:themeColor="text1"/>
          <w:sz w:val="20"/>
          <w:szCs w:val="20"/>
          <w:highlight w:val="none"/>
          <w14:textFill>
            <w14:solidFill>
              <w14:schemeClr w14:val="tx1"/>
            </w14:solidFill>
          </w14:textFill>
        </w:rPr>
        <w:t>类</w:t>
      </w:r>
      <w:r>
        <w:rPr>
          <w:rFonts w:hint="eastAsia" w:ascii="Times New Roman" w:hAnsi="Times New Roman" w:eastAsia="楷体_GB2312"/>
          <w:color w:val="000000" w:themeColor="text1"/>
          <w:sz w:val="20"/>
          <w:szCs w:val="20"/>
          <w:highlight w:val="none"/>
          <w14:textFill>
            <w14:solidFill>
              <w14:schemeClr w14:val="tx1"/>
            </w14:solidFill>
          </w14:textFill>
        </w:rPr>
        <w:t>资产</w:t>
      </w:r>
      <w:r>
        <w:rPr>
          <w:rFonts w:ascii="Times New Roman" w:hAnsi="Times New Roman" w:eastAsia="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上市</w:t>
      </w:r>
      <w:r>
        <w:rPr>
          <w:rFonts w:ascii="楷体_GB2312" w:eastAsia="楷体_GB2312" w:cs="楷体_GB2312"/>
          <w:color w:val="000000" w:themeColor="text1"/>
          <w:sz w:val="20"/>
          <w:szCs w:val="20"/>
          <w:highlight w:val="none"/>
          <w14:textFill>
            <w14:solidFill>
              <w14:schemeClr w14:val="tx1"/>
            </w14:solidFill>
          </w14:textFill>
        </w:rPr>
        <w:t>交易</w:t>
      </w:r>
      <w:r>
        <w:rPr>
          <w:rFonts w:hint="eastAsia" w:ascii="楷体_GB2312" w:eastAsia="楷体_GB2312" w:cs="楷体_GB2312"/>
          <w:color w:val="000000" w:themeColor="text1"/>
          <w:sz w:val="20"/>
          <w:szCs w:val="20"/>
          <w:highlight w:val="none"/>
          <w14:textFill>
            <w14:solidFill>
              <w14:schemeClr w14:val="tx1"/>
            </w14:solidFill>
          </w14:textFill>
        </w:rPr>
        <w:t>的</w:t>
      </w:r>
      <w:r>
        <w:rPr>
          <w:rFonts w:ascii="楷体_GB2312" w:eastAsia="楷体_GB2312" w:cs="楷体_GB2312"/>
          <w:color w:val="000000" w:themeColor="text1"/>
          <w:sz w:val="20"/>
          <w:szCs w:val="20"/>
          <w:highlight w:val="none"/>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highlight w:val="none"/>
          <w14:textFill>
            <w14:solidFill>
              <w14:schemeClr w14:val="tx1"/>
            </w14:solidFill>
          </w14:textFill>
        </w:rPr>
        <w:t>。</w:t>
      </w:r>
    </w:p>
    <w:p w14:paraId="6C290A87">
      <w:pPr>
        <w:spacing w:line="300" w:lineRule="exact"/>
        <w:ind w:left="-2" w:leftChars="-1" w:right="36" w:rightChars="15" w:firstLine="422"/>
        <w:jc w:val="both"/>
        <w:rPr>
          <w:rFonts w:ascii="Times New Roman" w:hAnsi="Times New Roman" w:eastAsia="楷体_GB2312"/>
          <w:color w:val="000000" w:themeColor="text1"/>
          <w:sz w:val="20"/>
          <w:szCs w:val="20"/>
          <w:highlight w:val="none"/>
          <w14:textFill>
            <w14:solidFill>
              <w14:schemeClr w14:val="tx1"/>
            </w14:solidFill>
          </w14:textFill>
        </w:rPr>
      </w:pPr>
      <w:r>
        <w:rPr>
          <w:rFonts w:hint="eastAsia" w:ascii="Times New Roman" w:hAnsi="Times New Roman" w:eastAsia="楷体_GB2312"/>
          <w:color w:val="000000" w:themeColor="text1"/>
          <w:sz w:val="20"/>
          <w:szCs w:val="20"/>
          <w:highlight w:val="none"/>
          <w14:textFill>
            <w14:solidFill>
              <w14:schemeClr w14:val="tx1"/>
            </w14:solidFill>
          </w14:textFill>
        </w:rPr>
        <w:t>（</w:t>
      </w:r>
      <w:r>
        <w:rPr>
          <w:rFonts w:ascii="Times New Roman" w:hAnsi="Times New Roman" w:eastAsia="楷体_GB2312"/>
          <w:color w:val="000000" w:themeColor="text1"/>
          <w:sz w:val="20"/>
          <w:szCs w:val="20"/>
          <w:highlight w:val="none"/>
          <w14:textFill>
            <w14:solidFill>
              <w14:schemeClr w14:val="tx1"/>
            </w14:solidFill>
          </w14:textFill>
        </w:rPr>
        <w:t>3</w:t>
      </w:r>
      <w:r>
        <w:rPr>
          <w:rFonts w:hint="eastAsia" w:ascii="Times New Roman" w:hAnsi="Times New Roman" w:eastAsia="楷体_GB2312"/>
          <w:color w:val="000000" w:themeColor="text1"/>
          <w:sz w:val="20"/>
          <w:szCs w:val="20"/>
          <w:highlight w:val="none"/>
          <w14:textFill>
            <w14:solidFill>
              <w14:schemeClr w14:val="tx1"/>
            </w14:solidFill>
          </w14:textFill>
        </w:rPr>
        <w:t>）商品</w:t>
      </w:r>
      <w:r>
        <w:rPr>
          <w:rFonts w:ascii="Times New Roman" w:hAnsi="Times New Roman" w:eastAsia="楷体_GB2312"/>
          <w:color w:val="000000" w:themeColor="text1"/>
          <w:sz w:val="20"/>
          <w:szCs w:val="20"/>
          <w:highlight w:val="none"/>
          <w14:textFill>
            <w14:solidFill>
              <w14:schemeClr w14:val="tx1"/>
            </w14:solidFill>
          </w14:textFill>
        </w:rPr>
        <w:t>及</w:t>
      </w:r>
      <w:r>
        <w:rPr>
          <w:rFonts w:hint="eastAsia" w:ascii="Times New Roman" w:hAnsi="Times New Roman" w:eastAsia="楷体_GB2312"/>
          <w:color w:val="000000" w:themeColor="text1"/>
          <w:sz w:val="20"/>
          <w:szCs w:val="20"/>
          <w:highlight w:val="none"/>
          <w14:textFill>
            <w14:solidFill>
              <w14:schemeClr w14:val="tx1"/>
            </w14:solidFill>
          </w14:textFill>
        </w:rPr>
        <w:t>金融</w:t>
      </w:r>
      <w:r>
        <w:rPr>
          <w:rFonts w:ascii="Times New Roman" w:hAnsi="Times New Roman" w:eastAsia="楷体_GB2312"/>
          <w:color w:val="000000" w:themeColor="text1"/>
          <w:sz w:val="20"/>
          <w:szCs w:val="20"/>
          <w:highlight w:val="none"/>
          <w14:textFill>
            <w14:solidFill>
              <w14:schemeClr w14:val="tx1"/>
            </w14:solidFill>
          </w14:textFill>
        </w:rPr>
        <w:t>衍生品类资产：</w:t>
      </w:r>
      <w:r>
        <w:rPr>
          <w:rFonts w:hint="eastAsia" w:ascii="Times New Roman" w:hAnsi="Times New Roman" w:eastAsia="楷体_GB2312"/>
          <w:color w:val="000000" w:themeColor="text1"/>
          <w:sz w:val="20"/>
          <w:szCs w:val="20"/>
          <w:highlight w:val="none"/>
          <w14:textFill>
            <w14:solidFill>
              <w14:schemeClr w14:val="tx1"/>
            </w14:solidFill>
          </w14:textFill>
        </w:rPr>
        <w:t>商品现货，互换</w:t>
      </w:r>
      <w:r>
        <w:rPr>
          <w:rFonts w:ascii="Times New Roman" w:hAnsi="Times New Roman" w:eastAsia="楷体_GB2312"/>
          <w:color w:val="000000" w:themeColor="text1"/>
          <w:sz w:val="20"/>
          <w:szCs w:val="20"/>
          <w:highlight w:val="none"/>
          <w14:textFill>
            <w14:solidFill>
              <w14:schemeClr w14:val="tx1"/>
            </w14:solidFill>
          </w14:textFill>
        </w:rPr>
        <w:t>、</w:t>
      </w:r>
      <w:r>
        <w:rPr>
          <w:rFonts w:hint="eastAsia" w:ascii="Times New Roman" w:hAnsi="Times New Roman" w:eastAsia="楷体_GB2312"/>
          <w:color w:val="000000" w:themeColor="text1"/>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right="36" w:rightChars="15" w:firstLine="420" w:firstLineChars="0"/>
        <w:jc w:val="both"/>
        <w:rPr>
          <w:rFonts w:ascii="Times New Roman" w:hAnsi="Times New Roman"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3</w:t>
      </w:r>
      <w:r>
        <w:rPr>
          <w:rFonts w:hint="eastAsia" w:ascii="楷体_GB2312" w:eastAsia="楷体_GB2312"/>
          <w:color w:val="000000" w:themeColor="text1"/>
          <w:sz w:val="20"/>
          <w:szCs w:val="20"/>
          <w:highlight w:val="none"/>
          <w14:textFill>
            <w14:solidFill>
              <w14:schemeClr w14:val="tx1"/>
            </w14:solidFill>
          </w14:textFill>
        </w:rPr>
        <w:t>．</w:t>
      </w:r>
      <w:r>
        <w:rPr>
          <w:rFonts w:hint="eastAsia" w:ascii="Times New Roman" w:hAnsi="Times New Roman" w:eastAsia="楷体_GB2312"/>
          <w:color w:val="000000" w:themeColor="text1"/>
          <w:sz w:val="20"/>
          <w:szCs w:val="20"/>
          <w:highlight w:val="none"/>
          <w14:textFill>
            <w14:solidFill>
              <w14:schemeClr w14:val="tx1"/>
            </w14:solidFill>
          </w14:textFill>
        </w:rPr>
        <w:t>各</w:t>
      </w:r>
      <w:r>
        <w:rPr>
          <w:rFonts w:ascii="Times New Roman" w:hAnsi="Times New Roman" w:eastAsia="楷体_GB2312"/>
          <w:color w:val="000000" w:themeColor="text1"/>
          <w:sz w:val="20"/>
          <w:szCs w:val="20"/>
          <w:highlight w:val="none"/>
          <w14:textFill>
            <w14:solidFill>
              <w14:schemeClr w14:val="tx1"/>
            </w14:solidFill>
          </w14:textFill>
        </w:rPr>
        <w:t>投资对象投资比例为：</w:t>
      </w:r>
    </w:p>
    <w:tbl>
      <w:tblPr>
        <w:tblStyle w:val="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13"/>
        <w:gridCol w:w="3815"/>
      </w:tblGrid>
      <w:tr w14:paraId="4CFBB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DF0D605">
            <w:pPr>
              <w:ind w:right="29" w:rightChars="12"/>
              <w:jc w:val="center"/>
              <w:rPr>
                <w:rFonts w:ascii="楷体" w:hAnsi="楷体" w:eastAsia="楷体"/>
                <w:b/>
                <w:bCs/>
                <w:color w:val="000000" w:themeColor="text1"/>
                <w:sz w:val="20"/>
                <w:szCs w:val="20"/>
                <w:highlight w:val="none"/>
                <w14:textFill>
                  <w14:solidFill>
                    <w14:schemeClr w14:val="tx1"/>
                  </w14:solidFill>
                </w14:textFill>
              </w:rPr>
            </w:pPr>
            <w:r>
              <w:rPr>
                <w:rFonts w:hint="eastAsia" w:ascii="楷体" w:hAnsi="楷体" w:eastAsia="楷体"/>
                <w:b/>
                <w:bCs/>
                <w:color w:val="000000" w:themeColor="text1"/>
                <w:sz w:val="20"/>
                <w:szCs w:val="20"/>
                <w:highlight w:val="none"/>
                <w14:textFill>
                  <w14:solidFill>
                    <w14:schemeClr w14:val="tx1"/>
                  </w14:solidFill>
                </w14:textFill>
              </w:rPr>
              <w:t>资产种类</w:t>
            </w:r>
          </w:p>
        </w:tc>
        <w:tc>
          <w:tcPr>
            <w:tcW w:w="2237" w:type="pct"/>
            <w:vAlign w:val="center"/>
          </w:tcPr>
          <w:p w14:paraId="1BA084F8">
            <w:pPr>
              <w:ind w:right="29" w:rightChars="12"/>
              <w:jc w:val="center"/>
              <w:rPr>
                <w:rFonts w:ascii="楷体" w:hAnsi="楷体" w:eastAsia="楷体"/>
                <w:b/>
                <w:bCs/>
                <w:color w:val="000000" w:themeColor="text1"/>
                <w:sz w:val="20"/>
                <w:szCs w:val="20"/>
                <w:highlight w:val="none"/>
                <w14:textFill>
                  <w14:solidFill>
                    <w14:schemeClr w14:val="tx1"/>
                  </w14:solidFill>
                </w14:textFill>
              </w:rPr>
            </w:pPr>
            <w:r>
              <w:rPr>
                <w:rFonts w:hint="eastAsia" w:ascii="楷体" w:hAnsi="楷体" w:eastAsia="楷体"/>
                <w:b/>
                <w:bCs/>
                <w:color w:val="000000" w:themeColor="text1"/>
                <w:sz w:val="20"/>
                <w:szCs w:val="20"/>
                <w:highlight w:val="none"/>
                <w14:textFill>
                  <w14:solidFill>
                    <w14:schemeClr w14:val="tx1"/>
                  </w14:solidFill>
                </w14:textFill>
              </w:rPr>
              <w:t>投资比例</w:t>
            </w:r>
          </w:p>
        </w:tc>
      </w:tr>
      <w:tr w14:paraId="06148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23BD7430">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债权类资产</w:t>
            </w:r>
          </w:p>
        </w:tc>
        <w:tc>
          <w:tcPr>
            <w:tcW w:w="2237" w:type="pct"/>
            <w:vAlign w:val="center"/>
          </w:tcPr>
          <w:p w14:paraId="002CA2BD">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【80%-100%】</w:t>
            </w:r>
          </w:p>
        </w:tc>
      </w:tr>
      <w:tr w14:paraId="2066F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C95E97D">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其中</w:t>
            </w:r>
            <w:r>
              <w:rPr>
                <w:rFonts w:ascii="楷体" w:hAnsi="楷体" w:eastAsia="楷体"/>
                <w:color w:val="000000" w:themeColor="text1"/>
                <w:sz w:val="20"/>
                <w:szCs w:val="20"/>
                <w:highlight w:val="none"/>
                <w14:textFill>
                  <w14:solidFill>
                    <w14:schemeClr w14:val="tx1"/>
                  </w14:solidFill>
                </w14:textFill>
              </w:rPr>
              <w:t>，非标准化债权类资产</w:t>
            </w:r>
          </w:p>
        </w:tc>
        <w:tc>
          <w:tcPr>
            <w:tcW w:w="2237" w:type="pct"/>
            <w:vAlign w:val="center"/>
          </w:tcPr>
          <w:p w14:paraId="06CBEEFC">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【0%-49%</w:t>
            </w:r>
            <w:r>
              <w:rPr>
                <w:rFonts w:ascii="楷体" w:hAnsi="楷体" w:eastAsia="楷体"/>
                <w:color w:val="000000" w:themeColor="text1"/>
                <w:sz w:val="20"/>
                <w:szCs w:val="20"/>
                <w:highlight w:val="none"/>
                <w14:textFill>
                  <w14:solidFill>
                    <w14:schemeClr w14:val="tx1"/>
                  </w14:solidFill>
                </w14:textFill>
              </w:rPr>
              <w:t>】</w:t>
            </w:r>
          </w:p>
        </w:tc>
      </w:tr>
      <w:tr w14:paraId="76D43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01F568B0">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权益类资产</w:t>
            </w:r>
          </w:p>
        </w:tc>
        <w:tc>
          <w:tcPr>
            <w:tcW w:w="2237" w:type="pct"/>
            <w:vAlign w:val="center"/>
          </w:tcPr>
          <w:p w14:paraId="4CAD7C05">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【0%】</w:t>
            </w:r>
          </w:p>
        </w:tc>
      </w:tr>
      <w:tr w14:paraId="6F4EE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1BFAE4AE">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商品</w:t>
            </w:r>
            <w:r>
              <w:rPr>
                <w:rFonts w:ascii="楷体" w:hAnsi="楷体" w:eastAsia="楷体"/>
                <w:color w:val="000000" w:themeColor="text1"/>
                <w:sz w:val="20"/>
                <w:szCs w:val="20"/>
                <w:highlight w:val="none"/>
                <w14:textFill>
                  <w14:solidFill>
                    <w14:schemeClr w14:val="tx1"/>
                  </w14:solidFill>
                </w14:textFill>
              </w:rPr>
              <w:t>及</w:t>
            </w:r>
            <w:r>
              <w:rPr>
                <w:rFonts w:hint="eastAsia" w:ascii="楷体" w:hAnsi="楷体" w:eastAsia="楷体"/>
                <w:color w:val="000000" w:themeColor="text1"/>
                <w:sz w:val="20"/>
                <w:szCs w:val="20"/>
                <w:highlight w:val="none"/>
                <w14:textFill>
                  <w14:solidFill>
                    <w14:schemeClr w14:val="tx1"/>
                  </w14:solidFill>
                </w14:textFill>
              </w:rPr>
              <w:t>金融</w:t>
            </w:r>
            <w:r>
              <w:rPr>
                <w:rFonts w:ascii="楷体" w:hAnsi="楷体" w:eastAsia="楷体"/>
                <w:color w:val="000000" w:themeColor="text1"/>
                <w:sz w:val="20"/>
                <w:szCs w:val="20"/>
                <w:highlight w:val="none"/>
                <w14:textFill>
                  <w14:solidFill>
                    <w14:schemeClr w14:val="tx1"/>
                  </w14:solidFill>
                </w14:textFill>
              </w:rPr>
              <w:t>衍生品类</w:t>
            </w:r>
            <w:r>
              <w:rPr>
                <w:rFonts w:hint="eastAsia" w:ascii="楷体" w:hAnsi="楷体" w:eastAsia="楷体"/>
                <w:color w:val="000000" w:themeColor="text1"/>
                <w:sz w:val="20"/>
                <w:szCs w:val="20"/>
                <w:highlight w:val="none"/>
                <w14:textFill>
                  <w14:solidFill>
                    <w14:schemeClr w14:val="tx1"/>
                  </w14:solidFill>
                </w14:textFill>
              </w:rPr>
              <w:t>资产：持仓合约价值</w:t>
            </w:r>
          </w:p>
        </w:tc>
        <w:tc>
          <w:tcPr>
            <w:tcW w:w="2237" w:type="pct"/>
            <w:vAlign w:val="center"/>
          </w:tcPr>
          <w:p w14:paraId="6612C441">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【0%-20%】</w:t>
            </w:r>
          </w:p>
        </w:tc>
      </w:tr>
      <w:tr w14:paraId="67AD8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61AB169">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商品</w:t>
            </w:r>
            <w:r>
              <w:rPr>
                <w:rFonts w:ascii="楷体" w:hAnsi="楷体" w:eastAsia="楷体"/>
                <w:color w:val="000000" w:themeColor="text1"/>
                <w:sz w:val="20"/>
                <w:szCs w:val="20"/>
                <w:highlight w:val="none"/>
                <w14:textFill>
                  <w14:solidFill>
                    <w14:schemeClr w14:val="tx1"/>
                  </w14:solidFill>
                </w14:textFill>
              </w:rPr>
              <w:t>及</w:t>
            </w:r>
            <w:r>
              <w:rPr>
                <w:rFonts w:hint="eastAsia" w:ascii="楷体" w:hAnsi="楷体" w:eastAsia="楷体"/>
                <w:color w:val="000000" w:themeColor="text1"/>
                <w:sz w:val="20"/>
                <w:szCs w:val="20"/>
                <w:highlight w:val="none"/>
                <w14:textFill>
                  <w14:solidFill>
                    <w14:schemeClr w14:val="tx1"/>
                  </w14:solidFill>
                </w14:textFill>
              </w:rPr>
              <w:t>金融</w:t>
            </w:r>
            <w:r>
              <w:rPr>
                <w:rFonts w:ascii="楷体" w:hAnsi="楷体" w:eastAsia="楷体"/>
                <w:color w:val="000000" w:themeColor="text1"/>
                <w:sz w:val="20"/>
                <w:szCs w:val="20"/>
                <w:highlight w:val="none"/>
                <w14:textFill>
                  <w14:solidFill>
                    <w14:schemeClr w14:val="tx1"/>
                  </w14:solidFill>
                </w14:textFill>
              </w:rPr>
              <w:t>衍生品类</w:t>
            </w:r>
            <w:r>
              <w:rPr>
                <w:rFonts w:hint="eastAsia" w:ascii="楷体" w:hAnsi="楷体" w:eastAsia="楷体"/>
                <w:color w:val="000000" w:themeColor="text1"/>
                <w:sz w:val="20"/>
                <w:szCs w:val="20"/>
                <w:highlight w:val="none"/>
                <w14:textFill>
                  <w14:solidFill>
                    <w14:schemeClr w14:val="tx1"/>
                  </w14:solidFill>
                </w14:textFill>
              </w:rPr>
              <w:t>资产：衍生品账户权益</w:t>
            </w:r>
          </w:p>
        </w:tc>
        <w:tc>
          <w:tcPr>
            <w:tcW w:w="2237" w:type="pct"/>
            <w:vAlign w:val="center"/>
          </w:tcPr>
          <w:p w14:paraId="486BB9BA">
            <w:pPr>
              <w:ind w:right="29" w:rightChars="12"/>
              <w:jc w:val="center"/>
              <w:rPr>
                <w:rFonts w:ascii="楷体" w:hAnsi="楷体" w:eastAsia="楷体"/>
                <w:color w:val="000000" w:themeColor="text1"/>
                <w:sz w:val="20"/>
                <w:szCs w:val="20"/>
                <w:highlight w:val="none"/>
                <w14:textFill>
                  <w14:solidFill>
                    <w14:schemeClr w14:val="tx1"/>
                  </w14:solidFill>
                </w14:textFill>
              </w:rPr>
            </w:pPr>
            <w:r>
              <w:rPr>
                <w:rFonts w:hint="eastAsia" w:ascii="楷体" w:hAnsi="楷体" w:eastAsia="楷体"/>
                <w:color w:val="000000" w:themeColor="text1"/>
                <w:sz w:val="20"/>
                <w:szCs w:val="20"/>
                <w:highlight w:val="none"/>
                <w14:textFill>
                  <w14:solidFill>
                    <w14:schemeClr w14:val="tx1"/>
                  </w14:solidFill>
                </w14:textFill>
              </w:rPr>
              <w:t>【0%-20%】</w:t>
            </w:r>
          </w:p>
        </w:tc>
      </w:tr>
    </w:tbl>
    <w:p w14:paraId="065AA9BC">
      <w:pPr>
        <w:spacing w:line="300" w:lineRule="exact"/>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本产品可通过信托、证券</w:t>
      </w:r>
      <w:r>
        <w:rPr>
          <w:rFonts w:ascii="Times New Roman" w:hAnsi="Times New Roman" w:eastAsia="楷体_GB2312" w:cs="楷体_GB2312"/>
          <w:color w:val="000000" w:themeColor="text1"/>
          <w:sz w:val="20"/>
          <w:szCs w:val="20"/>
          <w:highlight w:val="none"/>
          <w14:textFill>
            <w14:solidFill>
              <w14:schemeClr w14:val="tx1"/>
            </w14:solidFill>
          </w14:textFill>
        </w:rPr>
        <w:t>、</w:t>
      </w:r>
      <w:r>
        <w:rPr>
          <w:rFonts w:hint="eastAsia" w:ascii="Times New Roman" w:hAnsi="Times New Roman" w:eastAsia="楷体_GB2312" w:cs="楷体_GB2312"/>
          <w:color w:val="000000" w:themeColor="text1"/>
          <w:sz w:val="20"/>
          <w:szCs w:val="20"/>
          <w:highlight w:val="none"/>
          <w14:textFill>
            <w14:solidFill>
              <w14:schemeClr w14:val="tx1"/>
            </w14:solidFill>
          </w14:textFill>
        </w:rPr>
        <w:t>基金</w:t>
      </w:r>
      <w:r>
        <w:rPr>
          <w:rFonts w:ascii="Times New Roman" w:hAnsi="Times New Roman" w:eastAsia="楷体_GB2312" w:cs="楷体_GB2312"/>
          <w:color w:val="000000" w:themeColor="text1"/>
          <w:sz w:val="20"/>
          <w:szCs w:val="20"/>
          <w:highlight w:val="none"/>
          <w14:textFill>
            <w14:solidFill>
              <w14:schemeClr w14:val="tx1"/>
            </w14:solidFill>
          </w14:textFill>
        </w:rPr>
        <w:t>、期货</w:t>
      </w:r>
      <w:r>
        <w:rPr>
          <w:rFonts w:hint="eastAsia" w:ascii="Times New Roman" w:hAnsi="Times New Roman" w:eastAsia="楷体_GB2312" w:cs="楷体_GB2312"/>
          <w:color w:val="000000" w:themeColor="text1"/>
          <w:sz w:val="20"/>
          <w:szCs w:val="20"/>
          <w:highlight w:val="none"/>
          <w14:textFill>
            <w14:solidFill>
              <w14:schemeClr w14:val="tx1"/>
            </w14:solidFill>
          </w14:textFill>
        </w:rPr>
        <w:t>、</w:t>
      </w:r>
      <w:r>
        <w:rPr>
          <w:rFonts w:ascii="Times New Roman" w:hAnsi="Times New Roman" w:eastAsia="楷体_GB2312" w:cs="楷体_GB2312"/>
          <w:color w:val="000000" w:themeColor="text1"/>
          <w:sz w:val="20"/>
          <w:szCs w:val="20"/>
          <w:highlight w:val="none"/>
          <w14:textFill>
            <w14:solidFill>
              <w14:schemeClr w14:val="tx1"/>
            </w14:solidFill>
          </w14:textFill>
        </w:rPr>
        <w:t>保险资产管理机构等依法设立的资产管理产品</w:t>
      </w:r>
      <w:r>
        <w:rPr>
          <w:rFonts w:hint="eastAsia" w:ascii="Times New Roman" w:hAnsi="Times New Roman" w:eastAsia="楷体_GB2312" w:cs="楷体_GB2312"/>
          <w:color w:val="000000" w:themeColor="text1"/>
          <w:sz w:val="20"/>
          <w:szCs w:val="20"/>
          <w:highlight w:val="none"/>
          <w14:textFill>
            <w14:solidFill>
              <w14:schemeClr w14:val="tx1"/>
            </w14:solidFill>
          </w14:textFill>
        </w:rPr>
        <w:t>以及其他符合国家相关政策、法律法规的投资渠道和方式实现对上述投资品种的投资，且可以由资产</w:t>
      </w:r>
      <w:r>
        <w:rPr>
          <w:rFonts w:hint="eastAsia" w:ascii="Times New Roman" w:hAnsi="Times New Roman" w:eastAsia="楷体_GB2312" w:cs="楷体_GB2312"/>
          <w:color w:val="000000" w:themeColor="text1"/>
          <w:sz w:val="20"/>
          <w:szCs w:val="20"/>
          <w:highlight w:val="none"/>
          <w:lang w:val="en-US" w:eastAsia="zh-CN"/>
          <w14:textFill>
            <w14:solidFill>
              <w14:schemeClr w14:val="tx1"/>
            </w14:solidFill>
          </w14:textFill>
        </w:rPr>
        <w:t>名义</w:t>
      </w:r>
      <w:r>
        <w:rPr>
          <w:rFonts w:hint="eastAsia" w:ascii="Times New Roman" w:hAnsi="Times New Roman" w:eastAsia="楷体_GB2312" w:cs="楷体_GB2312"/>
          <w:color w:val="000000" w:themeColor="text1"/>
          <w:sz w:val="20"/>
          <w:szCs w:val="20"/>
          <w:highlight w:val="none"/>
          <w14:textFill>
            <w14:solidFill>
              <w14:schemeClr w14:val="tx1"/>
            </w14:solidFill>
          </w14:textFill>
        </w:rPr>
        <w:t>持有人按公允价格转让本产品所投资的全部或部分投资标的。</w:t>
      </w:r>
    </w:p>
    <w:p w14:paraId="42F021DF">
      <w:pPr>
        <w:spacing w:line="300" w:lineRule="exact"/>
        <w:ind w:firstLine="400" w:firstLineChars="200"/>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olor w:val="000000" w:themeColor="text1"/>
          <w:sz w:val="20"/>
          <w:szCs w:val="20"/>
          <w:highlight w:val="none"/>
          <w14:textFill>
            <w14:solidFill>
              <w14:schemeClr w14:val="tx1"/>
            </w14:solidFill>
          </w14:textFill>
        </w:rPr>
        <w:t>产品管理人应确保本产品建仓期后投资比例符合前述要求，</w:t>
      </w:r>
      <w:r>
        <w:rPr>
          <w:rFonts w:hint="eastAsia" w:ascii="Times New Roman" w:hAnsi="Times New Roman" w:eastAsia="楷体_GB2312" w:cs="楷体_GB2312"/>
          <w:color w:val="000000" w:themeColor="text1"/>
          <w:sz w:val="20"/>
          <w:szCs w:val="20"/>
          <w:highlight w:val="none"/>
          <w14:textFill>
            <w14:solidFill>
              <w14:schemeClr w14:val="tx1"/>
            </w14:solidFill>
          </w14:textFill>
        </w:rPr>
        <w:t>非因管理人主观因素导致突破前述比例限制的，管理人应在流动性受限资产可出售、可转让或者恢复交易的15个</w:t>
      </w:r>
      <w:r>
        <w:rPr>
          <w:rFonts w:ascii="Times New Roman" w:hAnsi="Times New Roman" w:eastAsia="楷体_GB2312" w:cs="楷体_GB2312"/>
          <w:color w:val="000000" w:themeColor="text1"/>
          <w:sz w:val="20"/>
          <w:szCs w:val="20"/>
          <w:highlight w:val="none"/>
          <w14:textFill>
            <w14:solidFill>
              <w14:schemeClr w14:val="tx1"/>
            </w14:solidFill>
          </w14:textFill>
        </w:rPr>
        <w:t>交易日内调整</w:t>
      </w:r>
      <w:r>
        <w:rPr>
          <w:rFonts w:hint="eastAsia" w:ascii="Times New Roman" w:hAnsi="Times New Roman" w:eastAsia="楷体_GB2312" w:cs="楷体_GB2312"/>
          <w:color w:val="000000" w:themeColor="text1"/>
          <w:sz w:val="20"/>
          <w:szCs w:val="20"/>
          <w:highlight w:val="none"/>
          <w14:textFill>
            <w14:solidFill>
              <w14:schemeClr w14:val="tx1"/>
            </w14:solidFill>
          </w14:textFill>
        </w:rPr>
        <w:t>至符合</w:t>
      </w:r>
      <w:r>
        <w:rPr>
          <w:rFonts w:ascii="Times New Roman" w:hAnsi="Times New Roman" w:eastAsia="楷体_GB2312" w:cs="楷体_GB2312"/>
          <w:color w:val="000000" w:themeColor="text1"/>
          <w:sz w:val="20"/>
          <w:szCs w:val="20"/>
          <w:highlight w:val="none"/>
          <w14:textFill>
            <w14:solidFill>
              <w14:schemeClr w14:val="tx1"/>
            </w14:solidFill>
          </w14:textFill>
        </w:rPr>
        <w:t>要求</w:t>
      </w:r>
      <w:r>
        <w:rPr>
          <w:rFonts w:hint="eastAsia" w:ascii="Times New Roman" w:hAnsi="Times New Roman" w:eastAsia="楷体_GB2312" w:cs="楷体_GB2312"/>
          <w:color w:val="000000" w:themeColor="text1"/>
          <w:sz w:val="20"/>
          <w:szCs w:val="20"/>
          <w:highlight w:val="none"/>
          <w14:textFill>
            <w14:solidFill>
              <w14:schemeClr w14:val="tx1"/>
            </w14:solidFill>
          </w14:textFill>
        </w:rPr>
        <w:t>，</w:t>
      </w:r>
      <w:r>
        <w:rPr>
          <w:rFonts w:ascii="Times New Roman" w:hAnsi="Times New Roman" w:eastAsia="楷体_GB2312" w:cs="楷体_GB2312"/>
          <w:color w:val="000000" w:themeColor="text1"/>
          <w:sz w:val="20"/>
          <w:szCs w:val="20"/>
          <w:highlight w:val="none"/>
          <w14:textFill>
            <w14:solidFill>
              <w14:schemeClr w14:val="tx1"/>
            </w14:solidFill>
          </w14:textFill>
        </w:rPr>
        <w:t>国务院银行业监督管理机构规定的特殊情形除外</w:t>
      </w:r>
      <w:r>
        <w:rPr>
          <w:rFonts w:hint="eastAsia" w:ascii="Times New Roman" w:hAnsi="Times New Roman" w:eastAsia="楷体_GB2312" w:cs="楷体_GB2312"/>
          <w:color w:val="000000" w:themeColor="text1"/>
          <w:sz w:val="20"/>
          <w:szCs w:val="20"/>
          <w:highlight w:val="none"/>
          <w14:textFill>
            <w14:solidFill>
              <w14:schemeClr w14:val="tx1"/>
            </w14:solidFill>
          </w14:textFill>
        </w:rPr>
        <w:t>。</w:t>
      </w:r>
    </w:p>
    <w:p w14:paraId="3B0557B5">
      <w:pPr>
        <w:spacing w:line="300" w:lineRule="exact"/>
        <w:ind w:firstLine="400" w:firstLineChars="200"/>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highlight w:val="none"/>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highlight w:val="none"/>
          <w14:textFill>
            <w14:solidFill>
              <w14:schemeClr w14:val="tx1"/>
            </w14:solidFill>
          </w14:textFill>
        </w:rPr>
        <w:t>本</w:t>
      </w:r>
      <w:r>
        <w:rPr>
          <w:rFonts w:ascii="楷体_GB2312" w:eastAsia="楷体_GB2312" w:cs="楷体_GB2312"/>
          <w:color w:val="000000" w:themeColor="text1"/>
          <w:sz w:val="20"/>
          <w:szCs w:val="20"/>
          <w:highlight w:val="none"/>
          <w14:textFill>
            <w14:solidFill>
              <w14:schemeClr w14:val="tx1"/>
            </w14:solidFill>
          </w14:textFill>
        </w:rPr>
        <w:t>说明书约定提前</w:t>
      </w:r>
      <w:r>
        <w:rPr>
          <w:rFonts w:hint="eastAsia" w:ascii="楷体_GB2312" w:eastAsia="楷体_GB2312" w:cs="楷体_GB2312"/>
          <w:color w:val="000000" w:themeColor="text1"/>
          <w:sz w:val="20"/>
          <w:szCs w:val="20"/>
          <w:highlight w:val="none"/>
          <w14:textFill>
            <w14:solidFill>
              <w14:schemeClr w14:val="tx1"/>
            </w14:solidFill>
          </w14:textFill>
        </w:rPr>
        <w:t>通知</w:t>
      </w:r>
      <w:r>
        <w:rPr>
          <w:rFonts w:ascii="楷体_GB2312" w:eastAsia="楷体_GB2312" w:cs="楷体_GB2312"/>
          <w:color w:val="000000" w:themeColor="text1"/>
          <w:sz w:val="20"/>
          <w:szCs w:val="20"/>
          <w:highlight w:val="none"/>
          <w14:textFill>
            <w14:solidFill>
              <w14:schemeClr w14:val="tx1"/>
            </w14:solidFill>
          </w14:textFill>
        </w:rPr>
        <w:t>投资者的情况下，对本</w:t>
      </w:r>
      <w:r>
        <w:rPr>
          <w:rFonts w:hint="eastAsia" w:ascii="楷体_GB2312" w:eastAsia="楷体_GB2312" w:cs="楷体_GB2312"/>
          <w:color w:val="000000" w:themeColor="text1"/>
          <w:sz w:val="20"/>
          <w:szCs w:val="20"/>
          <w:highlight w:val="none"/>
          <w14:textFill>
            <w14:solidFill>
              <w14:schemeClr w14:val="tx1"/>
            </w14:solidFill>
          </w14:textFill>
        </w:rPr>
        <w:t>产品</w:t>
      </w:r>
      <w:r>
        <w:rPr>
          <w:rFonts w:ascii="楷体_GB2312" w:eastAsia="楷体_GB2312" w:cs="楷体_GB2312"/>
          <w:color w:val="000000" w:themeColor="text1"/>
          <w:sz w:val="20"/>
          <w:szCs w:val="20"/>
          <w:highlight w:val="none"/>
          <w14:textFill>
            <w14:solidFill>
              <w14:schemeClr w14:val="tx1"/>
            </w14:solidFill>
          </w14:textFill>
        </w:rPr>
        <w:t>的</w:t>
      </w:r>
      <w:r>
        <w:rPr>
          <w:rFonts w:hint="eastAsia" w:ascii="楷体_GB2312" w:eastAsia="楷体_GB2312" w:cs="楷体_GB2312"/>
          <w:color w:val="000000" w:themeColor="text1"/>
          <w:sz w:val="20"/>
          <w:szCs w:val="20"/>
          <w:highlight w:val="none"/>
          <w14:textFill>
            <w14:solidFill>
              <w14:schemeClr w14:val="tx1"/>
            </w14:solidFill>
          </w14:textFill>
        </w:rPr>
        <w:t>投资范围、投资品种或投资比例进行</w:t>
      </w:r>
      <w:r>
        <w:rPr>
          <w:rFonts w:ascii="楷体_GB2312" w:eastAsia="楷体_GB2312" w:cs="楷体_GB2312"/>
          <w:color w:val="000000" w:themeColor="text1"/>
          <w:sz w:val="20"/>
          <w:szCs w:val="20"/>
          <w:highlight w:val="none"/>
          <w14:textFill>
            <w14:solidFill>
              <w14:schemeClr w14:val="tx1"/>
            </w14:solidFill>
          </w14:textFill>
        </w:rPr>
        <w:t>调</w:t>
      </w:r>
      <w:r>
        <w:rPr>
          <w:rFonts w:ascii="楷体_GB2312" w:eastAsia="楷体_GB2312" w:cs="楷体_GB2312"/>
          <w:sz w:val="20"/>
          <w:szCs w:val="20"/>
          <w:highlight w:val="none"/>
        </w:rPr>
        <w:t>整</w:t>
      </w:r>
      <w:r>
        <w:rPr>
          <w:rFonts w:hint="eastAsia" w:ascii="楷体_GB2312" w:eastAsia="楷体_GB2312" w:cs="楷体_GB2312"/>
          <w:sz w:val="20"/>
          <w:szCs w:val="20"/>
          <w:highlight w:val="none"/>
        </w:rPr>
        <w:t>。投资者</w:t>
      </w:r>
      <w:r>
        <w:rPr>
          <w:rFonts w:ascii="楷体_GB2312" w:eastAsia="楷体_GB2312" w:cs="楷体_GB2312"/>
          <w:sz w:val="20"/>
          <w:szCs w:val="20"/>
          <w:highlight w:val="none"/>
        </w:rPr>
        <w:t>不接受的，可</w:t>
      </w:r>
      <w:r>
        <w:rPr>
          <w:rFonts w:hint="eastAsia" w:ascii="楷体_GB2312" w:eastAsia="楷体_GB2312" w:cs="楷体_GB2312"/>
          <w:sz w:val="20"/>
          <w:szCs w:val="20"/>
          <w:highlight w:val="none"/>
        </w:rPr>
        <w:t>提前</w:t>
      </w:r>
      <w:r>
        <w:rPr>
          <w:rFonts w:ascii="楷体_GB2312" w:eastAsia="楷体_GB2312" w:cs="楷体_GB2312"/>
          <w:sz w:val="20"/>
          <w:szCs w:val="20"/>
          <w:highlight w:val="none"/>
        </w:rPr>
        <w:t>赎回理财产品，</w:t>
      </w:r>
      <w:r>
        <w:rPr>
          <w:rFonts w:hint="eastAsia" w:ascii="楷体_GB2312" w:eastAsia="楷体_GB2312" w:cs="楷体_GB2312"/>
          <w:sz w:val="20"/>
          <w:szCs w:val="20"/>
          <w:highlight w:val="none"/>
        </w:rPr>
        <w:t>信银理财有权根据情况设立临时的赎回开放日</w:t>
      </w:r>
      <w:r>
        <w:rPr>
          <w:rFonts w:ascii="楷体_GB2312" w:eastAsia="楷体_GB2312" w:cs="楷体_GB2312"/>
          <w:sz w:val="20"/>
          <w:szCs w:val="20"/>
          <w:highlight w:val="none"/>
        </w:rPr>
        <w:t>。</w:t>
      </w:r>
      <w:r>
        <w:rPr>
          <w:rFonts w:hint="eastAsia" w:ascii="楷体_GB2312" w:eastAsia="楷体_GB2312" w:cs="楷体_GB2312"/>
          <w:color w:val="000000" w:themeColor="text1"/>
          <w:sz w:val="20"/>
          <w:szCs w:val="20"/>
          <w:highlight w:val="none"/>
          <w14:textFill>
            <w14:solidFill>
              <w14:schemeClr w14:val="tx1"/>
            </w14:solidFill>
          </w14:textFill>
        </w:rPr>
        <w:t>除</w:t>
      </w:r>
      <w:r>
        <w:rPr>
          <w:rFonts w:ascii="楷体_GB2312" w:eastAsia="楷体_GB2312" w:cs="楷体_GB2312"/>
          <w:color w:val="000000" w:themeColor="text1"/>
          <w:sz w:val="20"/>
          <w:szCs w:val="20"/>
          <w:highlight w:val="none"/>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highlight w:val="none"/>
          <w14:textFill>
            <w14:solidFill>
              <w14:schemeClr w14:val="tx1"/>
            </w14:solidFill>
          </w14:textFill>
        </w:rPr>
        <w:t>产品管理人应按</w:t>
      </w:r>
      <w:r>
        <w:rPr>
          <w:rFonts w:ascii="楷体_GB2312" w:eastAsia="楷体_GB2312" w:cs="楷体_GB2312"/>
          <w:color w:val="000000" w:themeColor="text1"/>
          <w:sz w:val="20"/>
          <w:szCs w:val="20"/>
          <w:highlight w:val="none"/>
          <w14:textFill>
            <w14:solidFill>
              <w14:schemeClr w14:val="tx1"/>
            </w14:solidFill>
          </w14:textFill>
        </w:rPr>
        <w:t>监管要求</w:t>
      </w:r>
      <w:r>
        <w:rPr>
          <w:rFonts w:hint="eastAsia" w:ascii="楷体_GB2312" w:eastAsia="楷体_GB2312" w:cs="楷体_GB2312"/>
          <w:color w:val="000000" w:themeColor="text1"/>
          <w:sz w:val="20"/>
          <w:szCs w:val="20"/>
          <w:highlight w:val="none"/>
          <w14:textFill>
            <w14:solidFill>
              <w14:schemeClr w14:val="tx1"/>
            </w14:solidFill>
          </w14:textFill>
        </w:rPr>
        <w:t>提前</w:t>
      </w:r>
      <w:r>
        <w:rPr>
          <w:rFonts w:ascii="楷体_GB2312" w:eastAsia="楷体_GB2312" w:cs="楷体_GB2312"/>
          <w:color w:val="000000" w:themeColor="text1"/>
          <w:sz w:val="20"/>
          <w:szCs w:val="20"/>
          <w:highlight w:val="none"/>
          <w14:textFill>
            <w14:solidFill>
              <w14:schemeClr w14:val="tx1"/>
            </w14:solidFill>
          </w14:textFill>
        </w:rPr>
        <w:t>取得投资者书面同意</w:t>
      </w: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4</w:t>
      </w:r>
      <w:r>
        <w:rPr>
          <w:rFonts w:hint="eastAsia" w:ascii="楷体_GB2312" w:eastAsia="楷体_GB2312"/>
          <w:color w:val="000000" w:themeColor="text1"/>
          <w:sz w:val="20"/>
          <w:szCs w:val="20"/>
          <w:highlight w:val="none"/>
          <w14:textFill>
            <w14:solidFill>
              <w14:schemeClr w14:val="tx1"/>
            </w14:solidFill>
          </w14:textFill>
        </w:rPr>
        <w:t>．</w:t>
      </w:r>
      <w:r>
        <w:rPr>
          <w:rFonts w:hint="eastAsia" w:ascii="Times New Roman" w:hAnsi="Times New Roman" w:eastAsia="楷体_GB2312" w:cs="楷体_GB2312"/>
          <w:color w:val="000000" w:themeColor="text1"/>
          <w:sz w:val="20"/>
          <w:szCs w:val="20"/>
          <w:highlight w:val="none"/>
          <w14:textFill>
            <w14:solidFill>
              <w14:schemeClr w14:val="tx1"/>
            </w14:solidFill>
          </w14:textFill>
        </w:rPr>
        <w:t>投资</w:t>
      </w:r>
      <w:r>
        <w:rPr>
          <w:rFonts w:ascii="Times New Roman" w:hAnsi="Times New Roman" w:eastAsia="楷体_GB2312" w:cs="楷体_GB2312"/>
          <w:color w:val="000000" w:themeColor="text1"/>
          <w:sz w:val="20"/>
          <w:szCs w:val="20"/>
          <w:highlight w:val="none"/>
          <w14:textFill>
            <w14:solidFill>
              <w14:schemeClr w14:val="tx1"/>
            </w14:solidFill>
          </w14:textFill>
        </w:rPr>
        <w:t>限制：</w:t>
      </w:r>
    </w:p>
    <w:p w14:paraId="32AEEF17">
      <w:pPr>
        <w:spacing w:line="300" w:lineRule="exact"/>
        <w:ind w:firstLine="400" w:firstLineChars="200"/>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（1）本产品总资产不得超过净资产的</w:t>
      </w:r>
      <w:r>
        <w:rPr>
          <w:rFonts w:ascii="Times New Roman" w:hAnsi="Times New Roman" w:eastAsia="楷体_GB2312" w:cs="楷体_GB2312"/>
          <w:color w:val="000000" w:themeColor="text1"/>
          <w:sz w:val="20"/>
          <w:szCs w:val="20"/>
          <w:highlight w:val="none"/>
          <w14:textFill>
            <w14:solidFill>
              <w14:schemeClr w14:val="tx1"/>
            </w14:solidFill>
          </w14:textFill>
        </w:rPr>
        <w:t>200%；</w:t>
      </w:r>
    </w:p>
    <w:p w14:paraId="712A2732">
      <w:pPr>
        <w:spacing w:line="300" w:lineRule="exact"/>
        <w:ind w:firstLine="400" w:firstLineChars="200"/>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ascii="Times New Roman" w:hAnsi="Times New Roman" w:eastAsia="楷体_GB2312" w:cs="楷体_GB2312"/>
          <w:color w:val="000000" w:themeColor="text1"/>
          <w:sz w:val="20"/>
          <w:szCs w:val="20"/>
          <w:highlight w:val="none"/>
          <w14:textFill>
            <w14:solidFill>
              <w14:schemeClr w14:val="tx1"/>
            </w14:solidFill>
          </w14:textFill>
        </w:rPr>
        <w:t>（2）</w:t>
      </w:r>
      <w:r>
        <w:rPr>
          <w:rFonts w:hint="eastAsia" w:ascii="Times New Roman" w:hAnsi="Times New Roman" w:eastAsia="楷体_GB2312" w:cs="楷体_GB2312"/>
          <w:color w:val="000000" w:themeColor="text1"/>
          <w:sz w:val="20"/>
          <w:szCs w:val="20"/>
          <w:highlight w:val="none"/>
          <w14:textFill>
            <w14:solidFill>
              <w14:schemeClr w14:val="tx1"/>
            </w14:solidFill>
          </w14:textFill>
        </w:rPr>
        <w:t>本产品投资单只证券或者单只公募证券投资基金的市值不得超过产品净资产的</w:t>
      </w:r>
      <w:r>
        <w:rPr>
          <w:rFonts w:ascii="Times New Roman" w:hAnsi="Times New Roman" w:eastAsia="楷体_GB2312" w:cs="楷体_GB2312"/>
          <w:color w:val="000000" w:themeColor="text1"/>
          <w:sz w:val="20"/>
          <w:szCs w:val="20"/>
          <w:highlight w:val="none"/>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hAnsi="Times New Roman" w:eastAsia="楷体_GB2312" w:cs="楷体_GB2312"/>
          <w:b/>
          <w:bCs/>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（3</w:t>
      </w:r>
      <w:r>
        <w:rPr>
          <w:rFonts w:ascii="Times New Roman" w:hAnsi="Times New Roman" w:eastAsia="楷体_GB2312" w:cs="楷体_GB2312"/>
          <w:color w:val="000000" w:themeColor="text1"/>
          <w:sz w:val="20"/>
          <w:szCs w:val="20"/>
          <w:highlight w:val="none"/>
          <w14:textFill>
            <w14:solidFill>
              <w14:schemeClr w14:val="tx1"/>
            </w14:solidFill>
          </w14:textFill>
        </w:rPr>
        <w:t>）</w:t>
      </w:r>
      <w:r>
        <w:rPr>
          <w:rFonts w:ascii="Times New Roman" w:hAnsi="Times New Roman" w:eastAsia="楷体_GB2312" w:cs="楷体_GB2312"/>
          <w:b/>
          <w:bCs/>
          <w:color w:val="000000" w:themeColor="text1"/>
          <w:sz w:val="20"/>
          <w:szCs w:val="20"/>
          <w:highlight w:val="none"/>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w:t>
      </w:r>
      <w:r>
        <w:rPr>
          <w:rFonts w:ascii="Times New Roman" w:hAnsi="Times New Roman" w:eastAsia="楷体_GB2312" w:cs="楷体_GB2312"/>
          <w:color w:val="000000" w:themeColor="text1"/>
          <w:sz w:val="20"/>
          <w:szCs w:val="20"/>
          <w:highlight w:val="none"/>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w:t>
      </w:r>
      <w:r>
        <w:rPr>
          <w:rFonts w:ascii="Times New Roman" w:hAnsi="Times New Roman" w:eastAsia="楷体_GB2312" w:cs="楷体_GB2312"/>
          <w:color w:val="000000" w:themeColor="text1"/>
          <w:sz w:val="20"/>
          <w:szCs w:val="20"/>
          <w:highlight w:val="none"/>
          <w14:textFill>
            <w14:solidFill>
              <w14:schemeClr w14:val="tx1"/>
            </w14:solidFill>
          </w14:textFill>
        </w:rPr>
        <w:t>b）计划投资上述资产的比例达到产品净资产50%以上。</w:t>
      </w:r>
    </w:p>
    <w:p w14:paraId="2B58A500">
      <w:pPr>
        <w:spacing w:line="300" w:lineRule="exact"/>
        <w:ind w:firstLine="400" w:firstLineChars="200"/>
        <w:jc w:val="both"/>
        <w:rPr>
          <w:rFonts w:ascii="Times New Roman" w:hAnsi="Times New Roman" w:eastAsia="楷体_GB2312" w:cs="楷体_GB2312"/>
          <w:color w:val="000000" w:themeColor="text1"/>
          <w:sz w:val="20"/>
          <w:szCs w:val="20"/>
          <w:highlight w:val="none"/>
          <w:u w:val="singl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5</w:t>
      </w:r>
      <w:r>
        <w:rPr>
          <w:rFonts w:hint="eastAsia" w:ascii="楷体_GB2312" w:eastAsia="楷体_GB2312"/>
          <w:color w:val="000000" w:themeColor="text1"/>
          <w:sz w:val="20"/>
          <w:szCs w:val="20"/>
          <w:highlight w:val="none"/>
          <w14:textFill>
            <w14:solidFill>
              <w14:schemeClr w14:val="tx1"/>
            </w14:solidFill>
          </w14:textFill>
        </w:rPr>
        <w:t>．</w:t>
      </w:r>
      <w:r>
        <w:rPr>
          <w:rFonts w:hint="eastAsia" w:ascii="Times New Roman" w:hAnsi="Times New Roman" w:eastAsia="楷体_GB2312" w:cs="楷体_GB2312"/>
          <w:color w:val="000000" w:themeColor="text1"/>
          <w:sz w:val="20"/>
          <w:szCs w:val="20"/>
          <w:highlight w:val="none"/>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hAnsi="Times New Roman" w:eastAsia="楷体_GB2312" w:cs="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6</w:t>
      </w:r>
      <w:r>
        <w:rPr>
          <w:rFonts w:hint="eastAsia" w:ascii="楷体_GB2312" w:eastAsia="楷体_GB2312"/>
          <w:color w:val="000000" w:themeColor="text1"/>
          <w:sz w:val="20"/>
          <w:szCs w:val="20"/>
          <w:highlight w:val="none"/>
          <w14:textFill>
            <w14:solidFill>
              <w14:schemeClr w14:val="tx1"/>
            </w14:solidFill>
          </w14:textFill>
        </w:rPr>
        <w:t>．</w:t>
      </w:r>
      <w:r>
        <w:rPr>
          <w:rFonts w:hint="eastAsia" w:ascii="Times New Roman" w:hAnsi="Times New Roman" w:eastAsia="楷体_GB2312" w:cs="楷体_GB2312"/>
          <w:color w:val="000000" w:themeColor="text1"/>
          <w:sz w:val="20"/>
          <w:szCs w:val="20"/>
          <w:highlight w:val="none"/>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hAnsi="Times New Roman" w:eastAsia="楷体_GB2312" w:cs="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7.本产品可投资于非标准化债权类资产，信银理财将按照监管规定，向投资者披露产品投资每笔非标准化债权类资产的融资客户、项目名称、剩余融资期限、到期收益分配、交易结构、风险状况等资产信息。</w:t>
      </w:r>
    </w:p>
    <w:p w14:paraId="4C700E0C">
      <w:pPr>
        <w:spacing w:line="300" w:lineRule="exact"/>
        <w:ind w:right="48" w:rightChars="20"/>
        <w:jc w:val="both"/>
        <w:rPr>
          <w:color w:val="000000" w:themeColor="text1"/>
          <w:highlight w:val="none"/>
          <w14:textFill>
            <w14:solidFill>
              <w14:schemeClr w14:val="tx1"/>
            </w14:solidFill>
          </w14:textFill>
        </w:rPr>
      </w:pPr>
    </w:p>
    <w:p w14:paraId="23DEDF75">
      <w:pPr>
        <w:snapToGrid w:val="0"/>
        <w:ind w:left="-2" w:leftChars="-1" w:right="53" w:rightChars="22"/>
        <w:outlineLvl w:val="0"/>
        <w:rPr>
          <w:rFonts w:ascii="楷体" w:hAnsi="楷体" w:eastAsia="楷体"/>
          <w:color w:val="000000" w:themeColor="text1"/>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二、产品基本要素</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6328"/>
      </w:tblGrid>
      <w:tr w14:paraId="39D4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0" w:type="pct"/>
            <w:vAlign w:val="center"/>
          </w:tcPr>
          <w:p w14:paraId="6269E19B">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产品名称</w:t>
            </w:r>
          </w:p>
        </w:tc>
        <w:tc>
          <w:tcPr>
            <w:tcW w:w="3709" w:type="pct"/>
            <w:vAlign w:val="center"/>
          </w:tcPr>
          <w:p w14:paraId="76DC5EED">
            <w:pPr>
              <w:spacing w:line="300" w:lineRule="exact"/>
              <w:ind w:left="-2" w:leftChars="-1" w:right="36" w:rightChars="15"/>
              <w:rPr>
                <w:color w:val="000000" w:themeColor="text1"/>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【信银理财安盈象固收稳利封闭式1223号理财产品】</w:t>
            </w:r>
          </w:p>
        </w:tc>
      </w:tr>
      <w:tr w14:paraId="67C2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DD5E7C7">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理财产品登记编码</w:t>
            </w:r>
          </w:p>
        </w:tc>
        <w:tc>
          <w:tcPr>
            <w:tcW w:w="3709" w:type="pct"/>
            <w:vAlign w:val="center"/>
          </w:tcPr>
          <w:p w14:paraId="7BA9F0F2">
            <w:pPr>
              <w:spacing w:line="300" w:lineRule="exact"/>
              <w:ind w:left="-2" w:leftChars="-1" w:right="36" w:rightChars="15"/>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【Z7002626002303</w:t>
            </w:r>
            <w:r>
              <w:rPr>
                <w:rFonts w:ascii="楷体_GB2312" w:eastAsia="楷体_GB2312"/>
                <w:color w:val="000000" w:themeColor="text1"/>
                <w:sz w:val="20"/>
                <w:szCs w:val="20"/>
                <w:highlight w:val="none"/>
                <w14:textFill>
                  <w14:solidFill>
                    <w14:schemeClr w14:val="tx1"/>
                  </w14:solidFill>
                </w14:textFill>
              </w:rPr>
              <w:t>】</w:t>
            </w:r>
          </w:p>
        </w:tc>
      </w:tr>
      <w:tr w14:paraId="296A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37D70CC">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产品</w:t>
            </w:r>
            <w:r>
              <w:rPr>
                <w:rFonts w:ascii="Times New Roman" w:eastAsia="楷体_GB2312" w:cs="楷体_GB2312"/>
                <w:color w:val="000000" w:themeColor="text1"/>
                <w:sz w:val="20"/>
                <w:szCs w:val="20"/>
                <w:highlight w:val="none"/>
                <w14:textFill>
                  <w14:solidFill>
                    <w14:schemeClr w14:val="tx1"/>
                  </w14:solidFill>
                </w14:textFill>
              </w:rPr>
              <w:t>代码</w:t>
            </w:r>
          </w:p>
        </w:tc>
        <w:tc>
          <w:tcPr>
            <w:tcW w:w="3709" w:type="pct"/>
            <w:vAlign w:val="center"/>
          </w:tcPr>
          <w:p w14:paraId="66D91F5E">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【AF266319</w:t>
            </w:r>
            <w:r>
              <w:rPr>
                <w:rFonts w:ascii="楷体_GB2312" w:eastAsia="楷体_GB2312" w:cs="楷体_GB2312"/>
                <w:color w:val="000000" w:themeColor="text1"/>
                <w:sz w:val="20"/>
                <w:szCs w:val="20"/>
                <w:highlight w:val="none"/>
                <w14:textFill>
                  <w14:solidFill>
                    <w14:schemeClr w14:val="tx1"/>
                  </w14:solidFill>
                </w14:textFill>
              </w:rPr>
              <w:t>】</w:t>
            </w:r>
          </w:p>
        </w:tc>
      </w:tr>
      <w:tr w14:paraId="0BBA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0894C47">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产品类型</w:t>
            </w:r>
          </w:p>
        </w:tc>
        <w:tc>
          <w:tcPr>
            <w:tcW w:w="3709" w:type="pct"/>
            <w:vAlign w:val="center"/>
          </w:tcPr>
          <w:p w14:paraId="33D6B887">
            <w:pPr>
              <w:spacing w:line="300" w:lineRule="exact"/>
              <w:ind w:left="-2" w:leftChars="-1" w:right="36" w:rightChars="15"/>
              <w:rPr>
                <w:highlight w:val="none"/>
              </w:rPr>
            </w:pPr>
            <w:r>
              <w:rPr>
                <w:rFonts w:hint="eastAsia" w:ascii="楷体_GB2312" w:eastAsia="楷体_GB2312" w:cs="楷体_GB2312"/>
                <w:color w:val="000000" w:themeColor="text1"/>
                <w:sz w:val="20"/>
                <w:szCs w:val="20"/>
                <w:highlight w:val="none"/>
                <w14:textFill>
                  <w14:solidFill>
                    <w14:schemeClr w14:val="tx1"/>
                  </w14:solidFill>
                </w14:textFill>
              </w:rPr>
              <w:t>公募、【固定收益类】、封闭式</w:t>
            </w:r>
          </w:p>
        </w:tc>
      </w:tr>
      <w:tr w14:paraId="1D47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23E74D3">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信银理财产品风险分级</w:t>
            </w:r>
          </w:p>
        </w:tc>
        <w:tc>
          <w:tcPr>
            <w:tcW w:w="3709" w:type="pct"/>
            <w:vAlign w:val="center"/>
          </w:tcPr>
          <w:p w14:paraId="7ED2EA72">
            <w:pPr>
              <w:spacing w:line="300" w:lineRule="exact"/>
              <w:ind w:left="-2" w:leftChars="-1" w:right="36" w:rightChars="15"/>
              <w:rPr>
                <w:rFonts w:ascii="楷体_GB2312" w:eastAsia="楷体_GB2312" w:cs="楷体_GB2312"/>
                <w:color w:val="000000"/>
                <w:sz w:val="20"/>
                <w:szCs w:val="20"/>
                <w:highlight w:val="none"/>
              </w:rPr>
            </w:pPr>
            <w:r>
              <w:rPr>
                <w:rFonts w:ascii="楷体_GB2312" w:eastAsia="楷体_GB2312" w:cs="楷体_GB2312"/>
                <w:sz w:val="20"/>
                <w:szCs w:val="20"/>
                <w:highlight w:val="none"/>
              </w:rPr>
              <w:t>PR</w:t>
            </w:r>
            <w:r>
              <w:rPr>
                <w:rFonts w:hint="eastAsia" w:ascii="楷体_GB2312" w:eastAsia="楷体_GB2312" w:cs="楷体_GB2312"/>
                <w:sz w:val="20"/>
                <w:szCs w:val="20"/>
                <w:highlight w:val="none"/>
              </w:rPr>
              <w:t>【</w:t>
            </w:r>
            <w:r>
              <w:rPr>
                <w:rFonts w:ascii="楷体_GB2312" w:eastAsia="楷体_GB2312" w:cs="楷体_GB2312"/>
                <w:sz w:val="20"/>
                <w:szCs w:val="20"/>
                <w:highlight w:val="none"/>
              </w:rPr>
              <w:t>2</w:t>
            </w:r>
            <w:r>
              <w:rPr>
                <w:rFonts w:hint="eastAsia" w:ascii="楷体_GB2312" w:eastAsia="楷体_GB2312" w:cs="楷体_GB2312"/>
                <w:sz w:val="20"/>
                <w:szCs w:val="20"/>
                <w:highlight w:val="none"/>
              </w:rPr>
              <w:t>】级（【稳健】</w:t>
            </w:r>
            <w:r>
              <w:rPr>
                <w:rFonts w:ascii="楷体_GB2312" w:eastAsia="楷体_GB2312" w:cs="楷体_GB2312"/>
                <w:sz w:val="20"/>
                <w:szCs w:val="20"/>
                <w:highlight w:val="none"/>
              </w:rPr>
              <w:t>型</w:t>
            </w:r>
            <w:r>
              <w:rPr>
                <w:rFonts w:hint="eastAsia" w:ascii="楷体_GB2312" w:eastAsia="楷体_GB2312" w:cs="楷体_GB2312"/>
                <w:sz w:val="20"/>
                <w:szCs w:val="20"/>
                <w:highlight w:val="none"/>
              </w:rPr>
              <w:t>）</w:t>
            </w:r>
            <w:r>
              <w:rPr>
                <w:rFonts w:hint="eastAsia" w:ascii="楷体_GB2312" w:eastAsia="楷体_GB2312" w:cs="楷体_GB2312"/>
                <w:color w:val="000000"/>
                <w:sz w:val="20"/>
                <w:szCs w:val="20"/>
                <w:highlight w:val="none"/>
              </w:rPr>
              <w:t>。本风险分级为信银理财自行评定，仅供参考。</w:t>
            </w:r>
          </w:p>
          <w:p w14:paraId="5142B071">
            <w:pPr>
              <w:spacing w:line="300" w:lineRule="exact"/>
              <w:ind w:left="-2" w:leftChars="-1" w:right="36" w:rightChars="15"/>
              <w:rPr>
                <w:rFonts w:hint="default"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信银理财有权根据市场变化对产品风险等级进行调整，</w:t>
            </w:r>
            <w:r>
              <w:rPr>
                <w:rFonts w:ascii="楷体_GB2312" w:eastAsia="楷体_GB2312" w:cs="楷体_GB2312"/>
                <w:color w:val="000000" w:themeColor="text1"/>
                <w:sz w:val="20"/>
                <w:szCs w:val="20"/>
                <w:highlight w:val="none"/>
                <w14:textFill>
                  <w14:solidFill>
                    <w14:schemeClr w14:val="tx1"/>
                  </w14:solidFill>
                </w14:textFill>
              </w:rPr>
              <w:t>并最迟于调整生效前</w:t>
            </w:r>
            <w:r>
              <w:rPr>
                <w:rFonts w:hint="eastAsia" w:ascii="楷体_GB2312" w:eastAsia="楷体_GB2312" w:cs="楷体_GB2312"/>
                <w:color w:val="000000" w:themeColor="text1"/>
                <w:sz w:val="20"/>
                <w:szCs w:val="20"/>
                <w:highlight w:val="none"/>
                <w14:textFill>
                  <w14:solidFill>
                    <w14:schemeClr w14:val="tx1"/>
                  </w14:solidFill>
                </w14:textFill>
              </w:rPr>
              <w:t>【2</w:t>
            </w:r>
            <w:r>
              <w:rPr>
                <w:rFonts w:ascii="楷体_GB2312" w:eastAsia="楷体_GB2312" w:cs="楷体_GB2312"/>
                <w:color w:val="000000" w:themeColor="text1"/>
                <w:sz w:val="20"/>
                <w:szCs w:val="20"/>
                <w:highlight w:val="none"/>
                <w14:textFill>
                  <w14:solidFill>
                    <w14:schemeClr w14:val="tx1"/>
                  </w14:solidFill>
                </w14:textFill>
              </w:rPr>
              <w:t>】个工作日</w:t>
            </w:r>
            <w:r>
              <w:rPr>
                <w:rFonts w:hint="eastAsia" w:ascii="楷体_GB2312" w:eastAsia="楷体_GB2312" w:cs="楷体_GB2312"/>
                <w:color w:val="000000" w:themeColor="text1"/>
                <w:sz w:val="20"/>
                <w:szCs w:val="20"/>
                <w:highlight w:val="none"/>
                <w14:textFill>
                  <w14:solidFill>
                    <w14:schemeClr w14:val="tx1"/>
                  </w14:solidFill>
                </w14:textFill>
              </w:rPr>
              <w:t>以</w:t>
            </w:r>
            <w:r>
              <w:rPr>
                <w:rFonts w:ascii="楷体_GB2312" w:eastAsia="楷体_GB2312" w:cs="楷体_GB2312"/>
                <w:color w:val="000000" w:themeColor="text1"/>
                <w:sz w:val="20"/>
                <w:szCs w:val="20"/>
                <w:highlight w:val="none"/>
                <w14:textFill>
                  <w14:solidFill>
                    <w14:schemeClr w14:val="tx1"/>
                  </w14:solidFill>
                </w14:textFill>
              </w:rPr>
              <w:t>本说明书约定的方式</w:t>
            </w:r>
            <w:r>
              <w:rPr>
                <w:rFonts w:hint="eastAsia" w:ascii="楷体_GB2312" w:eastAsia="楷体_GB2312" w:cs="楷体_GB2312"/>
                <w:color w:val="000000" w:themeColor="text1"/>
                <w:sz w:val="20"/>
                <w:szCs w:val="20"/>
                <w:highlight w:val="none"/>
                <w14:textFill>
                  <w14:solidFill>
                    <w14:schemeClr w14:val="tx1"/>
                  </w14:solidFill>
                </w14:textFill>
              </w:rPr>
              <w:t>向投资者发布相关信息</w:t>
            </w:r>
            <w:r>
              <w:rPr>
                <w:rFonts w:ascii="楷体_GB2312" w:eastAsia="楷体_GB2312" w:cs="楷体_GB2312"/>
                <w:color w:val="000000" w:themeColor="text1"/>
                <w:sz w:val="20"/>
                <w:szCs w:val="20"/>
                <w:highlight w:val="none"/>
                <w14:textFill>
                  <w14:solidFill>
                    <w14:schemeClr w14:val="tx1"/>
                  </w14:solidFill>
                </w14:textFill>
              </w:rPr>
              <w:t>。</w:t>
            </w:r>
          </w:p>
          <w:p w14:paraId="0C23C1AC">
            <w:pPr>
              <w:spacing w:line="300" w:lineRule="exact"/>
              <w:ind w:left="-2" w:leftChars="-1" w:right="36" w:rightChars="15"/>
              <w:rPr>
                <w:rFonts w:ascii="楷体_GB2312" w:eastAsia="楷体_GB2312"/>
                <w:b/>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产品通过代销机构销售的，代销机构将</w:t>
            </w:r>
            <w:r>
              <w:rPr>
                <w:rFonts w:hint="eastAsia" w:ascii="楷体_GB2312" w:eastAsia="楷体_GB2312" w:cs="楷体_GB2312"/>
                <w:color w:val="000000" w:themeColor="text1"/>
                <w:sz w:val="20"/>
                <w:szCs w:val="20"/>
                <w:highlight w:val="none"/>
                <w14:textFill>
                  <w14:solidFill>
                    <w14:schemeClr w14:val="tx1"/>
                  </w14:solidFill>
                </w14:textFill>
              </w:rPr>
              <w:t>对</w:t>
            </w:r>
            <w:r>
              <w:rPr>
                <w:rFonts w:ascii="楷体_GB2312" w:eastAsia="楷体_GB2312" w:cs="楷体_GB2312"/>
                <w:color w:val="000000" w:themeColor="text1"/>
                <w:sz w:val="20"/>
                <w:szCs w:val="20"/>
                <w:highlight w:val="none"/>
                <w14:textFill>
                  <w14:solidFill>
                    <w14:schemeClr w14:val="tx1"/>
                  </w14:solidFill>
                </w14:textFill>
              </w:rPr>
              <w:t>理财产品进行风险评级</w:t>
            </w:r>
            <w:r>
              <w:rPr>
                <w:rFonts w:hint="eastAsia" w:ascii="楷体_GB2312" w:eastAsia="楷体_GB2312" w:cs="楷体_GB2312"/>
                <w:color w:val="000000" w:themeColor="text1"/>
                <w:sz w:val="20"/>
                <w:szCs w:val="20"/>
                <w:highlight w:val="none"/>
                <w14:textFill>
                  <w14:solidFill>
                    <w14:schemeClr w14:val="tx1"/>
                  </w14:solidFill>
                </w14:textFill>
              </w:rPr>
              <w:t>并</w:t>
            </w:r>
            <w:r>
              <w:rPr>
                <w:rFonts w:ascii="楷体_GB2312" w:eastAsia="楷体_GB2312" w:cs="楷体_GB2312"/>
                <w:color w:val="000000" w:themeColor="text1"/>
                <w:sz w:val="20"/>
                <w:szCs w:val="20"/>
                <w:highlight w:val="none"/>
                <w14:textFill>
                  <w14:solidFill>
                    <w14:schemeClr w14:val="tx1"/>
                  </w14:solidFill>
                </w14:textFill>
              </w:rPr>
              <w:t>对投资者进行风险</w:t>
            </w:r>
            <w:r>
              <w:rPr>
                <w:rFonts w:hint="eastAsia" w:ascii="楷体_GB2312" w:eastAsia="楷体_GB2312" w:cs="楷体_GB2312"/>
                <w:color w:val="000000" w:themeColor="text1"/>
                <w:sz w:val="20"/>
                <w:szCs w:val="20"/>
                <w:highlight w:val="none"/>
                <w14:textFill>
                  <w14:solidFill>
                    <w14:schemeClr w14:val="tx1"/>
                  </w14:solidFill>
                </w14:textFill>
              </w:rPr>
              <w:t>承受能力</w:t>
            </w:r>
            <w:r>
              <w:rPr>
                <w:rFonts w:ascii="楷体_GB2312" w:eastAsia="楷体_GB2312" w:cs="楷体_GB2312"/>
                <w:color w:val="000000" w:themeColor="text1"/>
                <w:sz w:val="20"/>
                <w:szCs w:val="20"/>
                <w:highlight w:val="none"/>
                <w14:textFill>
                  <w14:solidFill>
                    <w14:schemeClr w14:val="tx1"/>
                  </w14:solidFill>
                </w14:textFill>
              </w:rPr>
              <w:t>测评</w:t>
            </w:r>
            <w:r>
              <w:rPr>
                <w:rFonts w:hint="eastAsia" w:ascii="楷体_GB2312" w:eastAsia="楷体_GB2312" w:cs="楷体_GB2312"/>
                <w:b w:val="0"/>
                <w:bCs w:val="0"/>
                <w:color w:val="000000" w:themeColor="text1"/>
                <w:sz w:val="20"/>
                <w:szCs w:val="20"/>
                <w:highlight w:val="none"/>
                <w14:textFill>
                  <w14:solidFill>
                    <w14:schemeClr w14:val="tx1"/>
                  </w14:solidFill>
                </w14:textFill>
              </w:rPr>
              <w:t>，</w:t>
            </w:r>
            <w:r>
              <w:rPr>
                <w:rFonts w:hint="eastAsia" w:ascii="楷体_GB2312" w:eastAsia="楷体_GB2312" w:cs="楷体_GB2312"/>
                <w:b/>
                <w:bCs/>
                <w:color w:val="000000" w:themeColor="text1"/>
                <w:sz w:val="20"/>
                <w:szCs w:val="20"/>
                <w:highlight w:val="none"/>
                <w14:textFill>
                  <w14:solidFill>
                    <w14:schemeClr w14:val="tx1"/>
                  </w14:solidFill>
                </w14:textFill>
              </w:rPr>
              <w:t>理财产品评级应当以代销机构最终披露的评级结果为准</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代销</w:t>
            </w:r>
            <w:r>
              <w:rPr>
                <w:rFonts w:ascii="楷体_GB2312" w:eastAsia="楷体_GB2312" w:cs="楷体_GB2312"/>
                <w:color w:val="000000" w:themeColor="text1"/>
                <w:sz w:val="20"/>
                <w:szCs w:val="20"/>
                <w:highlight w:val="none"/>
                <w14:textFill>
                  <w14:solidFill>
                    <w14:schemeClr w14:val="tx1"/>
                  </w14:solidFill>
                </w14:textFill>
              </w:rPr>
              <w:t>机构对</w:t>
            </w:r>
            <w:r>
              <w:rPr>
                <w:rFonts w:hint="eastAsia" w:ascii="楷体_GB2312" w:eastAsia="楷体_GB2312" w:cs="楷体_GB2312"/>
                <w:color w:val="000000" w:themeColor="text1"/>
                <w:sz w:val="20"/>
                <w:szCs w:val="20"/>
                <w:highlight w:val="none"/>
                <w14:textFill>
                  <w14:solidFill>
                    <w14:schemeClr w14:val="tx1"/>
                  </w14:solidFill>
                </w14:textFill>
              </w:rPr>
              <w:t>产品的</w:t>
            </w:r>
            <w:r>
              <w:rPr>
                <w:rFonts w:ascii="楷体_GB2312" w:eastAsia="楷体_GB2312" w:cs="楷体_GB2312"/>
                <w:color w:val="000000" w:themeColor="text1"/>
                <w:sz w:val="20"/>
                <w:szCs w:val="20"/>
                <w:highlight w:val="none"/>
                <w14:textFill>
                  <w14:solidFill>
                    <w14:schemeClr w14:val="tx1"/>
                  </w14:solidFill>
                </w14:textFill>
              </w:rPr>
              <w:t>风险</w:t>
            </w:r>
            <w:r>
              <w:rPr>
                <w:rFonts w:hint="eastAsia" w:ascii="楷体_GB2312" w:eastAsia="楷体_GB2312" w:cs="楷体_GB2312"/>
                <w:color w:val="000000" w:themeColor="text1"/>
                <w:sz w:val="20"/>
                <w:szCs w:val="20"/>
                <w:highlight w:val="none"/>
                <w14:textFill>
                  <w14:solidFill>
                    <w14:schemeClr w14:val="tx1"/>
                  </w14:solidFill>
                </w14:textFill>
              </w:rPr>
              <w:t>评级</w:t>
            </w:r>
            <w:r>
              <w:rPr>
                <w:rFonts w:ascii="楷体_GB2312" w:eastAsia="楷体_GB2312" w:cs="楷体_GB2312"/>
                <w:color w:val="000000" w:themeColor="text1"/>
                <w:sz w:val="20"/>
                <w:szCs w:val="20"/>
                <w:highlight w:val="none"/>
                <w14:textFill>
                  <w14:solidFill>
                    <w14:schemeClr w14:val="tx1"/>
                  </w14:solidFill>
                </w14:textFill>
              </w:rPr>
              <w:t>结果与信银理财不一致的，将采用对应较高风险</w:t>
            </w:r>
            <w:r>
              <w:rPr>
                <w:rFonts w:hint="eastAsia" w:ascii="楷体_GB2312" w:eastAsia="楷体_GB2312" w:cs="楷体_GB2312"/>
                <w:color w:val="000000" w:themeColor="text1"/>
                <w:sz w:val="20"/>
                <w:szCs w:val="20"/>
                <w:highlight w:val="none"/>
                <w14:textFill>
                  <w14:solidFill>
                    <w14:schemeClr w14:val="tx1"/>
                  </w14:solidFill>
                </w14:textFill>
              </w:rPr>
              <w:t>等级</w:t>
            </w:r>
            <w:r>
              <w:rPr>
                <w:rFonts w:ascii="楷体_GB2312" w:eastAsia="楷体_GB2312" w:cs="楷体_GB2312"/>
                <w:color w:val="000000" w:themeColor="text1"/>
                <w:sz w:val="20"/>
                <w:szCs w:val="20"/>
                <w:highlight w:val="none"/>
                <w14:textFill>
                  <w14:solidFill>
                    <w14:schemeClr w14:val="tx1"/>
                  </w14:solidFill>
                </w14:textFill>
              </w:rPr>
              <w:t>的评级结果。</w:t>
            </w:r>
          </w:p>
        </w:tc>
      </w:tr>
      <w:tr w14:paraId="4B7B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FAA7E0B">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发行对象</w:t>
            </w:r>
          </w:p>
        </w:tc>
        <w:tc>
          <w:tcPr>
            <w:tcW w:w="3709" w:type="pct"/>
            <w:vAlign w:val="center"/>
          </w:tcPr>
          <w:p w14:paraId="136D36A1">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【个人/机构】客户</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sz w:val="20"/>
                <w:szCs w:val="20"/>
                <w:highlight w:val="none"/>
              </w:rPr>
              <w:t>适合</w:t>
            </w:r>
            <w:r>
              <w:rPr>
                <w:rFonts w:hint="eastAsia" w:ascii="楷体_GB2312" w:eastAsia="楷体_GB2312" w:cs="Times New Roman"/>
                <w:sz w:val="20"/>
                <w:szCs w:val="20"/>
                <w:highlight w:val="none"/>
              </w:rPr>
              <w:t>【稳健型】、【平衡型】、【进取型】、【激进型】</w:t>
            </w:r>
            <w:r>
              <w:rPr>
                <w:rFonts w:hint="eastAsia" w:ascii="楷体_GB2312" w:eastAsia="楷体_GB2312" w:cs="楷体_GB2312"/>
                <w:color w:val="000000"/>
                <w:sz w:val="20"/>
                <w:szCs w:val="20"/>
                <w:highlight w:val="none"/>
              </w:rPr>
              <w:t>投资者。</w:t>
            </w:r>
            <w:r>
              <w:rPr>
                <w:rFonts w:hint="eastAsia" w:ascii="楷体_GB2312" w:eastAsia="楷体_GB2312" w:cs="楷体_GB2312"/>
                <w:sz w:val="20"/>
                <w:szCs w:val="20"/>
                <w:highlight w:val="none"/>
              </w:rPr>
              <w:t>代销机构对产品的发行对象与信银理财不一致的，以代销机构为准</w:t>
            </w:r>
            <w:r>
              <w:rPr>
                <w:rFonts w:hint="eastAsia" w:ascii="楷体_GB2312" w:eastAsia="楷体_GB2312" w:cs="楷体_GB2312"/>
                <w:b w:val="0"/>
                <w:bCs w:val="0"/>
                <w:sz w:val="20"/>
                <w:szCs w:val="20"/>
                <w:highlight w:val="none"/>
                <w:lang w:eastAsia="zh-CN"/>
              </w:rPr>
              <w:t>，</w:t>
            </w:r>
            <w:r>
              <w:rPr>
                <w:rFonts w:hint="eastAsia" w:ascii="楷体_GB2312" w:eastAsia="楷体_GB2312" w:cs="楷体_GB2312"/>
                <w:b w:val="0"/>
                <w:bCs w:val="0"/>
                <w:sz w:val="20"/>
                <w:szCs w:val="20"/>
                <w:highlight w:val="none"/>
                <w:lang w:val="en-US" w:eastAsia="zh-CN"/>
              </w:rPr>
              <w:t>但不得超出上述发行对象范围</w:t>
            </w:r>
            <w:r>
              <w:rPr>
                <w:rFonts w:hint="eastAsia" w:ascii="楷体_GB2312" w:eastAsia="楷体_GB2312" w:cs="楷体_GB2312"/>
                <w:b w:val="0"/>
                <w:bCs w:val="0"/>
                <w:sz w:val="20"/>
                <w:szCs w:val="20"/>
                <w:highlight w:val="none"/>
              </w:rPr>
              <w:t>。</w:t>
            </w:r>
          </w:p>
        </w:tc>
      </w:tr>
      <w:tr w14:paraId="2F49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26F8B53">
            <w:pPr>
              <w:spacing w:line="300" w:lineRule="exact"/>
              <w:ind w:left="-2" w:leftChars="-1" w:right="36" w:rightChars="15"/>
              <w:rPr>
                <w:rFonts w:ascii="Times New Roman"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理财本金</w:t>
            </w:r>
          </w:p>
        </w:tc>
        <w:tc>
          <w:tcPr>
            <w:tcW w:w="3709" w:type="pct"/>
            <w:vAlign w:val="center"/>
          </w:tcPr>
          <w:p w14:paraId="7B38D788">
            <w:pPr>
              <w:spacing w:line="300" w:lineRule="exact"/>
              <w:ind w:left="-2" w:leftChars="-1" w:right="36" w:rightChars="15"/>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本理财产品不保证本金及理财收益，其理财收益随单位净值浮动。详细内容见以下“七</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b/>
                <w:bCs/>
                <w:color w:val="000000" w:themeColor="text1"/>
                <w:sz w:val="20"/>
                <w:szCs w:val="20"/>
                <w:highlight w:val="none"/>
                <w14:textFill>
                  <w14:solidFill>
                    <w14:schemeClr w14:val="tx1"/>
                  </w14:solidFill>
                </w14:textFill>
              </w:rPr>
              <w:t>理财资金分配</w:t>
            </w:r>
            <w:r>
              <w:rPr>
                <w:rFonts w:hint="eastAsia" w:ascii="楷体_GB2312" w:eastAsia="楷体_GB2312" w:cs="楷体_GB2312"/>
                <w:color w:val="000000" w:themeColor="text1"/>
                <w:sz w:val="20"/>
                <w:szCs w:val="20"/>
                <w:highlight w:val="none"/>
                <w14:textFill>
                  <w14:solidFill>
                    <w14:schemeClr w14:val="tx1"/>
                  </w14:solidFill>
                </w14:textFill>
              </w:rPr>
              <w:t>”。</w:t>
            </w:r>
          </w:p>
        </w:tc>
      </w:tr>
      <w:tr w14:paraId="77CA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AF11232">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w:t>
            </w:r>
            <w:r>
              <w:rPr>
                <w:rFonts w:ascii="Times New Roman" w:eastAsia="楷体_GB2312" w:cs="楷体_GB2312"/>
                <w:color w:val="000000" w:themeColor="text1"/>
                <w:sz w:val="20"/>
                <w:szCs w:val="20"/>
                <w:highlight w:val="none"/>
                <w14:textFill>
                  <w14:solidFill>
                    <w14:schemeClr w14:val="tx1"/>
                  </w14:solidFill>
                </w14:textFill>
              </w:rPr>
              <w:t>产品份额</w:t>
            </w:r>
          </w:p>
        </w:tc>
        <w:tc>
          <w:tcPr>
            <w:tcW w:w="3709" w:type="pct"/>
            <w:vAlign w:val="center"/>
          </w:tcPr>
          <w:p w14:paraId="74EAD760">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指</w:t>
            </w:r>
            <w:r>
              <w:rPr>
                <w:rFonts w:ascii="楷体_GB2312" w:eastAsia="楷体_GB2312" w:cs="楷体_GB2312"/>
                <w:color w:val="000000" w:themeColor="text1"/>
                <w:sz w:val="20"/>
                <w:szCs w:val="20"/>
                <w:highlight w:val="none"/>
                <w14:textFill>
                  <w14:solidFill>
                    <w14:schemeClr w14:val="tx1"/>
                  </w14:solidFill>
                </w14:textFill>
              </w:rPr>
              <w:t>管理人依据理财产品</w:t>
            </w:r>
            <w:r>
              <w:rPr>
                <w:rFonts w:hint="eastAsia" w:ascii="楷体_GB2312" w:eastAsia="楷体_GB2312" w:cs="楷体_GB2312"/>
                <w:color w:val="000000" w:themeColor="text1"/>
                <w:sz w:val="20"/>
                <w:szCs w:val="20"/>
                <w:highlight w:val="none"/>
                <w14:textFill>
                  <w14:solidFill>
                    <w14:schemeClr w14:val="tx1"/>
                  </w14:solidFill>
                </w14:textFill>
              </w:rPr>
              <w:t>合同</w:t>
            </w:r>
            <w:r>
              <w:rPr>
                <w:rFonts w:ascii="楷体_GB2312" w:eastAsia="楷体_GB2312" w:cs="楷体_GB2312"/>
                <w:color w:val="000000" w:themeColor="text1"/>
                <w:sz w:val="20"/>
                <w:szCs w:val="20"/>
                <w:highlight w:val="none"/>
                <w14:textFill>
                  <w14:solidFill>
                    <w14:schemeClr w14:val="tx1"/>
                  </w14:solidFill>
                </w14:textFill>
              </w:rPr>
              <w:t>向投资者发行的</w:t>
            </w:r>
            <w:r>
              <w:rPr>
                <w:rFonts w:hint="eastAsia" w:ascii="楷体_GB2312" w:eastAsia="楷体_GB2312" w:cs="楷体_GB2312"/>
                <w:color w:val="000000" w:themeColor="text1"/>
                <w:sz w:val="20"/>
                <w:szCs w:val="20"/>
                <w:highlight w:val="none"/>
                <w14:textFill>
                  <w14:solidFill>
                    <w14:schemeClr w14:val="tx1"/>
                  </w14:solidFill>
                </w14:textFill>
              </w:rPr>
              <w:t>理财产品</w:t>
            </w:r>
            <w:r>
              <w:rPr>
                <w:rFonts w:ascii="楷体_GB2312" w:eastAsia="楷体_GB2312" w:cs="楷体_GB2312"/>
                <w:color w:val="000000" w:themeColor="text1"/>
                <w:sz w:val="20"/>
                <w:szCs w:val="20"/>
                <w:highlight w:val="none"/>
                <w14:textFill>
                  <w14:solidFill>
                    <w14:schemeClr w14:val="tx1"/>
                  </w14:solidFill>
                </w14:textFill>
              </w:rPr>
              <w:t>受益凭证。理财产品</w:t>
            </w:r>
            <w:r>
              <w:rPr>
                <w:rFonts w:hint="eastAsia" w:ascii="楷体_GB2312" w:eastAsia="楷体_GB2312" w:cs="楷体_GB2312"/>
                <w:color w:val="000000" w:themeColor="text1"/>
                <w:sz w:val="20"/>
                <w:szCs w:val="20"/>
                <w:highlight w:val="none"/>
                <w14:textFill>
                  <w14:solidFill>
                    <w14:schemeClr w14:val="tx1"/>
                  </w14:solidFill>
                </w14:textFill>
              </w:rPr>
              <w:t>份额</w:t>
            </w:r>
            <w:r>
              <w:rPr>
                <w:rFonts w:ascii="楷体_GB2312" w:eastAsia="楷体_GB2312" w:cs="楷体_GB2312"/>
                <w:color w:val="000000" w:themeColor="text1"/>
                <w:sz w:val="20"/>
                <w:szCs w:val="20"/>
                <w:highlight w:val="none"/>
                <w14:textFill>
                  <w14:solidFill>
                    <w14:schemeClr w14:val="tx1"/>
                  </w14:solidFill>
                </w14:textFill>
              </w:rPr>
              <w:t>持有人基于其所持有的理财产品份额享有理财产品利益、承担理财产品资产风险。</w:t>
            </w:r>
          </w:p>
        </w:tc>
      </w:tr>
      <w:tr w14:paraId="673D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2C0F9F">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w:t>
            </w:r>
            <w:r>
              <w:rPr>
                <w:rFonts w:ascii="Times New Roman" w:eastAsia="楷体_GB2312" w:cs="楷体_GB2312"/>
                <w:color w:val="000000" w:themeColor="text1"/>
                <w:sz w:val="20"/>
                <w:szCs w:val="20"/>
                <w:highlight w:val="none"/>
                <w14:textFill>
                  <w14:solidFill>
                    <w14:schemeClr w14:val="tx1"/>
                  </w14:solidFill>
                </w14:textFill>
              </w:rPr>
              <w:t>产品份额面值</w:t>
            </w:r>
          </w:p>
        </w:tc>
        <w:tc>
          <w:tcPr>
            <w:tcW w:w="3709" w:type="pct"/>
            <w:vAlign w:val="center"/>
          </w:tcPr>
          <w:p w14:paraId="547247BC">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产品份额面值为</w:t>
            </w:r>
            <w:r>
              <w:rPr>
                <w:rFonts w:hint="eastAsia" w:ascii="楷体_GB2312" w:eastAsia="楷体_GB2312" w:cs="楷体_GB2312"/>
                <w:color w:val="000000" w:themeColor="text1"/>
                <w:sz w:val="20"/>
                <w:szCs w:val="20"/>
                <w:highlight w:val="none"/>
                <w14:textFill>
                  <w14:solidFill>
                    <w14:schemeClr w14:val="tx1"/>
                  </w14:solidFill>
                </w14:textFill>
              </w:rPr>
              <w:t>【人民币</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1元。</w:t>
            </w:r>
          </w:p>
        </w:tc>
      </w:tr>
      <w:tr w14:paraId="5B2F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41C447F">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w:t>
            </w:r>
            <w:r>
              <w:rPr>
                <w:rFonts w:ascii="Times New Roman" w:eastAsia="楷体_GB2312" w:cs="楷体_GB2312"/>
                <w:color w:val="000000" w:themeColor="text1"/>
                <w:sz w:val="20"/>
                <w:szCs w:val="20"/>
                <w:highlight w:val="none"/>
                <w14:textFill>
                  <w14:solidFill>
                    <w14:schemeClr w14:val="tx1"/>
                  </w14:solidFill>
                </w14:textFill>
              </w:rPr>
              <w:t>产品份额类型</w:t>
            </w:r>
          </w:p>
        </w:tc>
        <w:tc>
          <w:tcPr>
            <w:tcW w:w="3709" w:type="pct"/>
            <w:vAlign w:val="center"/>
          </w:tcPr>
          <w:p w14:paraId="0F8D0FF3">
            <w:pPr>
              <w:spacing w:line="300" w:lineRule="exact"/>
              <w:ind w:right="36" w:rightChars="15"/>
              <w:rPr>
                <w:rFonts w:ascii="楷体_GB2312" w:eastAsia="楷体_GB2312" w:cs="楷体_GB2312"/>
                <w:sz w:val="20"/>
                <w:szCs w:val="20"/>
                <w:highlight w:val="none"/>
              </w:rPr>
            </w:pPr>
            <w:r>
              <w:rPr>
                <w:rFonts w:hint="eastAsia" w:ascii="楷体_GB2312" w:eastAsia="楷体_GB2312" w:cs="楷体_GB2312"/>
                <w:sz w:val="20"/>
                <w:szCs w:val="20"/>
                <w:highlight w:val="none"/>
              </w:rPr>
              <w:t>【A】类份额：份额代码【AF266319A】</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【B】类份额：份额代码【AF266319B】</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【C】类份额：份额代码【AF266319C】</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【D】类份额：份额代码【AF266319D】</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【G】类份额：份额代码【AF266319G】</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【M】类份额：份额代码【AF266319M】</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【N】类份额：份额代码【AF266319N】</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【S】类份额：份额代码【AF266319S】</w:t>
            </w:r>
          </w:p>
          <w:p w14:paraId="585FCACA">
            <w:pPr>
              <w:spacing w:line="300" w:lineRule="exact"/>
              <w:ind w:right="36" w:rightChars="15"/>
              <w:rPr>
                <w:rFonts w:ascii="楷体_GB2312" w:eastAsia="楷体_GB2312" w:cs="楷体_GB2312"/>
                <w:color w:val="000000" w:themeColor="text1"/>
                <w:sz w:val="20"/>
                <w:szCs w:val="20"/>
                <w:highlight w:val="none"/>
                <w14:textFill>
                  <w14:solidFill>
                    <w14:schemeClr w14:val="tx1"/>
                  </w14:solidFill>
                </w14:textFill>
              </w:rPr>
            </w:pPr>
          </w:p>
          <w:p w14:paraId="66B5979E">
            <w:pPr>
              <w:spacing w:line="300" w:lineRule="exact"/>
              <w:ind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后续理财产品份额类型如有新增、减少和变更，信银理财将按照本说明书约定的方式告知投资者。</w:t>
            </w:r>
          </w:p>
        </w:tc>
      </w:tr>
      <w:tr w14:paraId="25B5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89387CE">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工作日</w:t>
            </w:r>
          </w:p>
        </w:tc>
        <w:tc>
          <w:tcPr>
            <w:tcW w:w="3709" w:type="pct"/>
            <w:vAlign w:val="center"/>
          </w:tcPr>
          <w:p w14:paraId="078AC594">
            <w:pPr>
              <w:spacing w:line="300" w:lineRule="exact"/>
              <w:ind w:right="36" w:rightChars="15"/>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指除中国法定节假日和公休日外的其他日。</w:t>
            </w:r>
          </w:p>
        </w:tc>
      </w:tr>
      <w:tr w14:paraId="3CEC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F14243A">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募集期</w:t>
            </w:r>
          </w:p>
        </w:tc>
        <w:tc>
          <w:tcPr>
            <w:tcW w:w="3709" w:type="pct"/>
            <w:vAlign w:val="center"/>
          </w:tcPr>
          <w:p w14:paraId="33B6B195">
            <w:pPr>
              <w:pStyle w:val="20"/>
              <w:numPr>
                <w:ilvl w:val="0"/>
                <w:numId w:val="1"/>
              </w:numPr>
              <w:spacing w:line="300" w:lineRule="exact"/>
              <w:ind w:right="36" w:rightChars="15" w:firstLineChars="0"/>
              <w:rPr>
                <w:rFonts w:ascii="Times New Roman" w:hAnsi="Times New Roman" w:eastAsia="楷体_GB2312" w:cs="Times New Roman"/>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【2026】年【8】月【25】日至【2026】年【8】月【31】日</w:t>
            </w:r>
            <w:r>
              <w:rPr>
                <w:rFonts w:hint="eastAsia" w:ascii="楷体_GB2312" w:eastAsia="楷体_GB2312" w:cs="楷体_GB2312"/>
                <w:color w:val="000000" w:themeColor="text1"/>
                <w:sz w:val="20"/>
                <w:szCs w:val="20"/>
                <w:highlight w:val="none"/>
                <w14:textFill>
                  <w14:solidFill>
                    <w14:schemeClr w14:val="tx1"/>
                  </w14:solidFill>
                </w14:textFill>
              </w:rPr>
              <w:t>，</w:t>
            </w:r>
            <w:r>
              <w:rPr>
                <w:rFonts w:hint="eastAsia" w:ascii="Times New Roman" w:hAnsi="Times New Roman" w:eastAsia="楷体_GB2312" w:cs="Times New Roman"/>
                <w:color w:val="000000" w:themeColor="text1"/>
                <w:sz w:val="20"/>
                <w:szCs w:val="20"/>
                <w:highlight w:val="none"/>
                <w:lang w:val="en-US" w:eastAsia="zh-CN"/>
                <w14:textFill>
                  <w14:solidFill>
                    <w14:schemeClr w14:val="tx1"/>
                  </w14:solidFill>
                </w14:textFill>
              </w:rPr>
              <w:t>信银理财</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有权提前结束募集期并提前成立产品或者延长募集期。</w:t>
            </w:r>
          </w:p>
          <w:p w14:paraId="52A3ED1F">
            <w:pPr>
              <w:pStyle w:val="20"/>
              <w:numPr>
                <w:ilvl w:val="0"/>
                <w:numId w:val="1"/>
              </w:numPr>
              <w:spacing w:line="300" w:lineRule="exact"/>
              <w:ind w:right="36" w:rightChars="15" w:firstLineChars="0"/>
              <w:rPr>
                <w:rFonts w:ascii="Times New Roman" w:hAnsi="Times New Roman" w:eastAsia="楷体_GB2312" w:cs="Times New Roman"/>
                <w:color w:val="000000" w:themeColor="text1"/>
                <w:sz w:val="20"/>
                <w:szCs w:val="20"/>
                <w:highlight w:val="none"/>
                <w14:textFill>
                  <w14:solidFill>
                    <w14:schemeClr w14:val="tx1"/>
                  </w14:solidFill>
                </w14:textFill>
              </w:rPr>
            </w:pPr>
            <w:r>
              <w:rPr>
                <w:rFonts w:ascii="Times New Roman" w:hAnsi="Times New Roman" w:eastAsia="楷体_GB2312" w:cs="Times New Roman"/>
                <w:color w:val="000000" w:themeColor="text1"/>
                <w:sz w:val="20"/>
                <w:szCs w:val="20"/>
                <w:highlight w:val="none"/>
                <w14:textFill>
                  <w14:solidFill>
                    <w14:schemeClr w14:val="tx1"/>
                  </w14:solidFill>
                </w14:textFill>
              </w:rPr>
              <w:t>投资者在</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信银</w:t>
            </w:r>
            <w:r>
              <w:rPr>
                <w:rFonts w:ascii="Times New Roman" w:hAnsi="Times New Roman" w:eastAsia="楷体_GB2312" w:cs="Times New Roman"/>
                <w:color w:val="000000" w:themeColor="text1"/>
                <w:sz w:val="20"/>
                <w:szCs w:val="20"/>
                <w:highlight w:val="none"/>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产品</w:t>
            </w:r>
            <w:r>
              <w:rPr>
                <w:rFonts w:ascii="Times New Roman" w:hAnsi="Times New Roman" w:eastAsia="楷体_GB2312" w:cs="Times New Roman"/>
                <w:color w:val="000000" w:themeColor="text1"/>
                <w:sz w:val="20"/>
                <w:szCs w:val="20"/>
                <w:highlight w:val="none"/>
                <w14:textFill>
                  <w14:solidFill>
                    <w14:schemeClr w14:val="tx1"/>
                  </w14:solidFill>
                </w14:textFill>
              </w:rPr>
              <w:t>的，募集期内可以撤单</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。撤单</w:t>
            </w:r>
            <w:r>
              <w:rPr>
                <w:rFonts w:ascii="Times New Roman" w:hAnsi="Times New Roman" w:eastAsia="楷体_GB2312" w:cs="Times New Roman"/>
                <w:color w:val="000000" w:themeColor="text1"/>
                <w:sz w:val="20"/>
                <w:szCs w:val="20"/>
                <w:highlight w:val="none"/>
                <w14:textFill>
                  <w14:solidFill>
                    <w14:schemeClr w14:val="tx1"/>
                  </w14:solidFill>
                </w14:textFill>
              </w:rPr>
              <w:t>具体规则</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以</w:t>
            </w:r>
            <w:r>
              <w:rPr>
                <w:rFonts w:ascii="Times New Roman" w:hAnsi="Times New Roman" w:eastAsia="楷体_GB2312" w:cs="Times New Roman"/>
                <w:color w:val="000000" w:themeColor="text1"/>
                <w:sz w:val="20"/>
                <w:szCs w:val="20"/>
                <w:highlight w:val="none"/>
                <w14:textFill>
                  <w14:solidFill>
                    <w14:schemeClr w14:val="tx1"/>
                  </w14:solidFill>
                </w14:textFill>
              </w:rPr>
              <w:t>信银理财</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说明</w:t>
            </w:r>
            <w:r>
              <w:rPr>
                <w:rFonts w:ascii="Times New Roman" w:hAnsi="Times New Roman" w:eastAsia="楷体_GB2312" w:cs="Times New Roman"/>
                <w:color w:val="000000" w:themeColor="text1"/>
                <w:sz w:val="20"/>
                <w:szCs w:val="20"/>
                <w:highlight w:val="none"/>
                <w14:textFill>
                  <w14:solidFill>
                    <w14:schemeClr w14:val="tx1"/>
                  </w14:solidFill>
                </w14:textFill>
              </w:rPr>
              <w:t>或公布的操作方式为准。</w:t>
            </w:r>
          </w:p>
          <w:p w14:paraId="7908389D">
            <w:pPr>
              <w:pStyle w:val="20"/>
              <w:spacing w:line="300" w:lineRule="exact"/>
              <w:ind w:left="358" w:right="36" w:rightChars="15" w:firstLine="0" w:firstLineChars="0"/>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14:textFill>
                  <w14:solidFill>
                    <w14:schemeClr w14:val="tx1"/>
                  </w14:solidFill>
                </w14:textFill>
              </w:rPr>
              <w:t>投资者在</w:t>
            </w:r>
            <w:r>
              <w:rPr>
                <w:rFonts w:ascii="Times New Roman" w:hAnsi="Times New Roman" w:eastAsia="楷体_GB2312" w:cs="Times New Roman"/>
                <w:color w:val="000000" w:themeColor="text1"/>
                <w:sz w:val="20"/>
                <w:szCs w:val="20"/>
                <w:highlight w:val="none"/>
                <w14:textFill>
                  <w14:solidFill>
                    <w14:schemeClr w14:val="tx1"/>
                  </w14:solidFill>
                </w14:textFill>
              </w:rPr>
              <w:t>代销</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机构</w:t>
            </w:r>
            <w:r>
              <w:rPr>
                <w:rFonts w:ascii="Times New Roman" w:hAnsi="Times New Roman" w:eastAsia="楷体_GB2312" w:cs="Times New Roman"/>
                <w:color w:val="000000" w:themeColor="text1"/>
                <w:sz w:val="20"/>
                <w:szCs w:val="20"/>
                <w:highlight w:val="none"/>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募集期</w:t>
            </w:r>
            <w:r>
              <w:rPr>
                <w:rFonts w:ascii="Times New Roman" w:hAnsi="Times New Roman" w:eastAsia="楷体_GB2312" w:cs="Times New Roman"/>
                <w:color w:val="000000" w:themeColor="text1"/>
                <w:sz w:val="20"/>
                <w:szCs w:val="20"/>
                <w:highlight w:val="none"/>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以及</w:t>
            </w:r>
            <w:r>
              <w:rPr>
                <w:rFonts w:ascii="Times New Roman" w:hAnsi="Times New Roman" w:eastAsia="楷体_GB2312" w:cs="Times New Roman"/>
                <w:color w:val="000000" w:themeColor="text1"/>
                <w:sz w:val="20"/>
                <w:szCs w:val="20"/>
                <w:highlight w:val="none"/>
                <w14:textFill>
                  <w14:solidFill>
                    <w14:schemeClr w14:val="tx1"/>
                  </w14:solidFill>
                </w14:textFill>
              </w:rPr>
              <w:t>撤单规则，以代销机构说明或公布的操作方式为准。</w:t>
            </w:r>
          </w:p>
          <w:p w14:paraId="624B8A1F">
            <w:pPr>
              <w:pStyle w:val="20"/>
              <w:spacing w:line="300" w:lineRule="exact"/>
              <w:ind w:left="358" w:right="36" w:rightChars="15" w:firstLine="0" w:firstLineChars="0"/>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14:textFill>
                  <w14:solidFill>
                    <w14:schemeClr w14:val="tx1"/>
                  </w14:solidFill>
                </w14:textFill>
              </w:rPr>
              <w:t>“可以</w:t>
            </w:r>
            <w:r>
              <w:rPr>
                <w:rFonts w:ascii="Times New Roman" w:hAnsi="Times New Roman" w:eastAsia="楷体_GB2312" w:cs="Times New Roman"/>
                <w:color w:val="000000" w:themeColor="text1"/>
                <w:sz w:val="20"/>
                <w:szCs w:val="20"/>
                <w:highlight w:val="none"/>
                <w14:textFill>
                  <w14:solidFill>
                    <w14:schemeClr w14:val="tx1"/>
                  </w14:solidFill>
                </w14:textFill>
              </w:rPr>
              <w:t>撤单</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”则</w:t>
            </w:r>
            <w:r>
              <w:rPr>
                <w:rFonts w:ascii="Times New Roman" w:hAnsi="Times New Roman" w:eastAsia="楷体_GB2312" w:cs="Times New Roman"/>
                <w:color w:val="000000" w:themeColor="text1"/>
                <w:sz w:val="20"/>
                <w:szCs w:val="20"/>
                <w:highlight w:val="none"/>
                <w14:textFill>
                  <w14:solidFill>
                    <w14:schemeClr w14:val="tx1"/>
                  </w14:solidFill>
                </w14:textFill>
              </w:rPr>
              <w:t>意味着</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投资者有权撤销其已向信银理财或代销机构提交的认购申请。</w:t>
            </w:r>
          </w:p>
          <w:p w14:paraId="2B55BFA6">
            <w:pPr>
              <w:pStyle w:val="20"/>
              <w:numPr>
                <w:ilvl w:val="0"/>
                <w:numId w:val="1"/>
              </w:numPr>
              <w:spacing w:line="300" w:lineRule="exact"/>
              <w:ind w:right="36" w:rightChars="15" w:firstLineChars="0"/>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lang w:val="en-US" w:eastAsia="zh-CN"/>
                <w14:textFill>
                  <w14:solidFill>
                    <w14:schemeClr w14:val="tx1"/>
                  </w14:solidFill>
                </w14:textFill>
              </w:rPr>
              <w:t>募集期内投资者认购款项在管理人募集账户不产生利息，是否计付利息以及利息计付规则以销售机构为准。</w:t>
            </w:r>
          </w:p>
        </w:tc>
      </w:tr>
      <w:tr w14:paraId="3AB6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D3BBF5">
            <w:pPr>
              <w:spacing w:line="300" w:lineRule="atLeast"/>
              <w:ind w:left="-2" w:right="31"/>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14:textFill>
                  <w14:solidFill>
                    <w14:schemeClr w14:val="tx1"/>
                  </w14:solidFill>
                </w14:textFill>
              </w:rPr>
              <w:t>运作</w:t>
            </w:r>
            <w:r>
              <w:rPr>
                <w:rFonts w:ascii="Times New Roman" w:hAnsi="Times New Roman" w:eastAsia="楷体_GB2312" w:cs="Times New Roman"/>
                <w:color w:val="000000" w:themeColor="text1"/>
                <w:sz w:val="20"/>
                <w:szCs w:val="20"/>
                <w:highlight w:val="none"/>
                <w14:textFill>
                  <w14:solidFill>
                    <w14:schemeClr w14:val="tx1"/>
                  </w14:solidFill>
                </w14:textFill>
              </w:rPr>
              <w:t>起始</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日</w:t>
            </w:r>
          </w:p>
        </w:tc>
        <w:tc>
          <w:tcPr>
            <w:tcW w:w="3709" w:type="pct"/>
            <w:vAlign w:val="center"/>
          </w:tcPr>
          <w:p w14:paraId="2D30CB65">
            <w:pPr>
              <w:spacing w:line="300" w:lineRule="atLeast"/>
              <w:ind w:left="-2" w:right="31"/>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eastAsia="楷体_GB2312" w:cs="Times New Roman"/>
                <w:color w:val="000000" w:themeColor="text1"/>
                <w:sz w:val="20"/>
                <w:szCs w:val="20"/>
                <w:highlight w:val="none"/>
                <w14:textFill>
                  <w14:solidFill>
                    <w14:schemeClr w14:val="tx1"/>
                  </w14:solidFill>
                </w14:textFill>
              </w:rPr>
              <w:t>【2026】年【9】月【1】日</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（如</w:t>
            </w:r>
            <w:r>
              <w:rPr>
                <w:rFonts w:hint="eastAsia" w:ascii="Times New Roman" w:hAnsi="Times New Roman" w:eastAsia="楷体_GB2312" w:cs="Times New Roman"/>
                <w:color w:val="000000" w:themeColor="text1"/>
                <w:sz w:val="20"/>
                <w:szCs w:val="20"/>
                <w:highlight w:val="none"/>
                <w:lang w:val="en-US" w:eastAsia="zh-CN"/>
                <w14:textFill>
                  <w14:solidFill>
                    <w14:schemeClr w14:val="tx1"/>
                  </w14:solidFill>
                </w14:textFill>
              </w:rPr>
              <w:t>信银理财</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调整募集期，则运作</w:t>
            </w:r>
            <w:r>
              <w:rPr>
                <w:rFonts w:ascii="Times New Roman" w:hAnsi="Times New Roman" w:eastAsia="楷体_GB2312" w:cs="Times New Roman"/>
                <w:color w:val="000000" w:themeColor="text1"/>
                <w:sz w:val="20"/>
                <w:szCs w:val="20"/>
                <w:highlight w:val="none"/>
                <w14:textFill>
                  <w14:solidFill>
                    <w14:schemeClr w14:val="tx1"/>
                  </w14:solidFill>
                </w14:textFill>
              </w:rPr>
              <w:t>起始</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日将相应调整。）</w:t>
            </w:r>
          </w:p>
        </w:tc>
      </w:tr>
      <w:tr w14:paraId="4686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CE1C3EA">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产品建仓期</w:t>
            </w:r>
          </w:p>
        </w:tc>
        <w:tc>
          <w:tcPr>
            <w:tcW w:w="3709" w:type="pct"/>
            <w:vAlign w:val="center"/>
          </w:tcPr>
          <w:p w14:paraId="15383D91">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【2026】年【9】月【1】日</w:t>
            </w:r>
            <w:r>
              <w:rPr>
                <w:rFonts w:hint="eastAsia" w:ascii="楷体_GB2312" w:eastAsia="楷体_GB2312" w:cs="楷体_GB2312"/>
                <w:color w:val="000000" w:themeColor="text1"/>
                <w:sz w:val="20"/>
                <w:szCs w:val="20"/>
                <w:highlight w:val="none"/>
                <w14:textFill>
                  <w14:solidFill>
                    <w14:schemeClr w14:val="tx1"/>
                  </w14:solidFill>
                </w14:textFill>
              </w:rPr>
              <w:t>至【2026】年【11】月【30】日。</w:t>
            </w:r>
          </w:p>
        </w:tc>
      </w:tr>
      <w:tr w14:paraId="667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649C0CA">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到期日</w:t>
            </w:r>
          </w:p>
        </w:tc>
        <w:tc>
          <w:tcPr>
            <w:tcW w:w="3709" w:type="pct"/>
            <w:vAlign w:val="center"/>
          </w:tcPr>
          <w:p w14:paraId="161A27DB">
            <w:pPr>
              <w:spacing w:line="300" w:lineRule="exact"/>
              <w:ind w:left="-2" w:leftChars="-1" w:right="36" w:rightChars="15"/>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【2027】年【3】月【17】日</w:t>
            </w:r>
            <w:r>
              <w:rPr>
                <w:rFonts w:hint="eastAsia" w:ascii="楷体_GB2312" w:eastAsia="楷体_GB2312" w:cs="楷体_GB2312"/>
                <w:color w:val="000000" w:themeColor="text1"/>
                <w:sz w:val="20"/>
                <w:szCs w:val="20"/>
                <w:highlight w:val="none"/>
                <w14:textFill>
                  <w14:solidFill>
                    <w14:schemeClr w14:val="tx1"/>
                  </w14:solidFill>
                </w14:textFill>
              </w:rPr>
              <w:t>（受运作</w:t>
            </w:r>
            <w:r>
              <w:rPr>
                <w:rFonts w:ascii="楷体_GB2312" w:eastAsia="楷体_GB2312" w:cs="楷体_GB2312"/>
                <w:color w:val="000000" w:themeColor="text1"/>
                <w:sz w:val="20"/>
                <w:szCs w:val="20"/>
                <w:highlight w:val="none"/>
                <w14:textFill>
                  <w14:solidFill>
                    <w14:schemeClr w14:val="tx1"/>
                  </w14:solidFill>
                </w14:textFill>
              </w:rPr>
              <w:t>起始</w:t>
            </w:r>
            <w:r>
              <w:rPr>
                <w:rFonts w:hint="eastAsia" w:ascii="楷体_GB2312" w:eastAsia="楷体_GB2312" w:cs="楷体_GB2312"/>
                <w:color w:val="000000" w:themeColor="text1"/>
                <w:sz w:val="20"/>
                <w:szCs w:val="20"/>
                <w:highlight w:val="none"/>
                <w14:textFill>
                  <w14:solidFill>
                    <w14:schemeClr w14:val="tx1"/>
                  </w14:solidFill>
                </w14:textFill>
              </w:rPr>
              <w:t>日、提前终止条款等约束，遇非工作日则顺延至下一工作日）</w:t>
            </w:r>
          </w:p>
        </w:tc>
      </w:tr>
      <w:tr w14:paraId="4411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2DC6435">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清算期</w:t>
            </w:r>
          </w:p>
        </w:tc>
        <w:tc>
          <w:tcPr>
            <w:tcW w:w="3709" w:type="pct"/>
            <w:vAlign w:val="center"/>
          </w:tcPr>
          <w:p w14:paraId="12CF1F56">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highlight w:val="none"/>
                <w14:textFill>
                  <w14:solidFill>
                    <w14:schemeClr w14:val="tx1"/>
                  </w14:solidFill>
                </w14:textFill>
              </w:rPr>
              <w:t>的本</w:t>
            </w: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产品份额清零之日</w:t>
            </w:r>
            <w:r>
              <w:rPr>
                <w:rFonts w:hint="eastAsia" w:ascii="楷体_GB2312" w:eastAsia="楷体_GB2312" w:cs="楷体_GB2312"/>
                <w:color w:val="000000" w:themeColor="text1"/>
                <w:sz w:val="20"/>
                <w:szCs w:val="20"/>
                <w:highlight w:val="none"/>
                <w14:textFill>
                  <w14:solidFill>
                    <w14:schemeClr w14:val="tx1"/>
                  </w14:solidFill>
                </w14:textFill>
              </w:rPr>
              <w:t>为清算期。</w:t>
            </w:r>
          </w:p>
        </w:tc>
      </w:tr>
      <w:tr w14:paraId="61BA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41DA36E">
            <w:pPr>
              <w:spacing w:line="300" w:lineRule="exact"/>
              <w:ind w:right="36" w:rightChars="15"/>
              <w:rPr>
                <w:rFonts w:ascii="Times New Roman" w:eastAsia="楷体_GB2312" w:cs="楷体_GB2312"/>
                <w:color w:val="000000" w:themeColor="text1"/>
                <w:sz w:val="20"/>
                <w:szCs w:val="20"/>
                <w:highlight w:val="none"/>
                <w14:textFill>
                  <w14:solidFill>
                    <w14:schemeClr w14:val="tx1"/>
                  </w14:solidFill>
                </w14:textFill>
              </w:rPr>
            </w:pPr>
            <w:r>
              <w:rPr>
                <w:rFonts w:ascii="Times New Roman" w:eastAsia="楷体_GB2312" w:cs="楷体_GB2312"/>
                <w:color w:val="000000" w:themeColor="text1"/>
                <w:sz w:val="20"/>
                <w:szCs w:val="20"/>
                <w:highlight w:val="none"/>
                <w14:textFill>
                  <w14:solidFill>
                    <w14:schemeClr w14:val="tx1"/>
                  </w14:solidFill>
                </w14:textFill>
              </w:rPr>
              <w:t>业绩</w:t>
            </w:r>
            <w:r>
              <w:rPr>
                <w:rFonts w:hint="eastAsia" w:ascii="Times New Roman" w:eastAsia="楷体_GB2312" w:cs="楷体_GB2312"/>
                <w:color w:val="000000" w:themeColor="text1"/>
                <w:sz w:val="20"/>
                <w:szCs w:val="20"/>
                <w:highlight w:val="none"/>
                <w14:textFill>
                  <w14:solidFill>
                    <w14:schemeClr w14:val="tx1"/>
                  </w14:solidFill>
                </w14:textFill>
              </w:rPr>
              <w:t>比较</w:t>
            </w:r>
            <w:r>
              <w:rPr>
                <w:rFonts w:ascii="Times New Roman" w:eastAsia="楷体_GB2312" w:cs="楷体_GB2312"/>
                <w:color w:val="000000" w:themeColor="text1"/>
                <w:sz w:val="20"/>
                <w:szCs w:val="20"/>
                <w:highlight w:val="none"/>
                <w14:textFill>
                  <w14:solidFill>
                    <w14:schemeClr w14:val="tx1"/>
                  </w14:solidFill>
                </w14:textFill>
              </w:rPr>
              <w:t>基准</w:t>
            </w:r>
          </w:p>
        </w:tc>
        <w:tc>
          <w:tcPr>
            <w:tcW w:w="3709" w:type="pct"/>
            <w:vAlign w:val="center"/>
          </w:tcPr>
          <w:p w14:paraId="2F968686">
            <w:pPr>
              <w:spacing w:line="300" w:lineRule="exact"/>
              <w:ind w:left="-2" w:leftChars="-1" w:right="36" w:rightChars="15"/>
              <w:rPr>
                <w:rFonts w:ascii="楷体_GB2312" w:eastAsia="楷体_GB2312" w:cs="楷体_GB2312"/>
                <w:sz w:val="20"/>
                <w:szCs w:val="20"/>
                <w:highlight w:val="none"/>
              </w:rPr>
            </w:pPr>
            <w:r>
              <w:rPr>
                <w:rFonts w:hint="eastAsia" w:ascii="楷体_GB2312" w:eastAsia="楷体_GB2312" w:cs="楷体_GB2312"/>
                <w:sz w:val="20"/>
                <w:szCs w:val="20"/>
                <w:highlight w:val="none"/>
              </w:rPr>
              <w:t>【A】类份额：【1.95%】</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【B】类份额：【1.95%】</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【C】类份额：【2.05%】</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【D】类份额：【2.00%】</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【G】类份额：【2.00%】</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【M】类份额：【1.90%】</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【N】类份额：【1.80%】</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【S】类份额：【2.00%】</w:t>
            </w:r>
          </w:p>
          <w:p w14:paraId="121DD7AE">
            <w:pPr>
              <w:spacing w:line="300" w:lineRule="exact"/>
              <w:ind w:left="-2" w:leftChars="-1" w:right="36" w:rightChars="15"/>
              <w:jc w:val="both"/>
              <w:rPr>
                <w:rFonts w:ascii="楷体_GB2312" w:eastAsia="楷体_GB2312" w:cs="楷体_GB2312"/>
                <w:color w:val="000000" w:themeColor="text1"/>
                <w:sz w:val="20"/>
                <w:szCs w:val="20"/>
                <w:highlight w:val="none"/>
                <w14:textFill>
                  <w14:solidFill>
                    <w14:schemeClr w14:val="tx1"/>
                  </w14:solidFill>
                </w14:textFill>
              </w:rPr>
            </w:pPr>
          </w:p>
          <w:p w14:paraId="0618A9FB">
            <w:pPr>
              <w:spacing w:line="300" w:lineRule="exact"/>
              <w:ind w:left="-2" w:leftChars="-1" w:right="36" w:rightChars="15"/>
              <w:rPr>
                <w:rFonts w:ascii="楷体_GB2312" w:eastAsia="楷体_GB2312" w:cs="楷体_GB2312"/>
                <w:sz w:val="20"/>
                <w:szCs w:val="20"/>
                <w:highlight w:val="none"/>
              </w:rPr>
            </w:pPr>
            <w:r>
              <w:rPr>
                <w:rFonts w:hint="eastAsia" w:ascii="楷体_GB2312" w:eastAsia="楷体_GB2312" w:cs="楷体_GB2312"/>
                <w:b/>
                <w:bCs/>
                <w:sz w:val="20"/>
                <w:szCs w:val="20"/>
                <w:highlight w:val="none"/>
              </w:rPr>
              <w:t>业绩</w:t>
            </w:r>
            <w:r>
              <w:rPr>
                <w:rFonts w:ascii="楷体_GB2312" w:eastAsia="楷体_GB2312" w:cs="楷体_GB2312"/>
                <w:b/>
                <w:bCs/>
                <w:sz w:val="20"/>
                <w:szCs w:val="20"/>
                <w:highlight w:val="none"/>
              </w:rPr>
              <w:t>比较基准测算依据：</w:t>
            </w:r>
            <w:r>
              <w:rPr>
                <w:rFonts w:hint="eastAsia" w:ascii="楷体_GB2312" w:eastAsia="楷体_GB2312" w:cs="楷体_GB2312"/>
                <w:b/>
                <w:bCs/>
                <w:sz w:val="20"/>
                <w:szCs w:val="20"/>
                <w:highlight w:val="none"/>
              </w:rPr>
              <w:t>【</w:t>
            </w:r>
            <w:r>
              <w:rPr>
                <w:rFonts w:ascii="楷体_GB2312" w:eastAsia="楷体_GB2312" w:cs="楷体_GB2312"/>
                <w:b/>
                <w:bCs/>
                <w:sz w:val="20"/>
                <w:szCs w:val="20"/>
                <w:highlight w:val="none"/>
              </w:rPr>
              <w:t>本理财产品为固定收益类产品，主要投向为同业存单、短融、中票、PPN、公司债、资产支持证券等标准化债权类资产和非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r>
              <w:rPr>
                <w:rFonts w:hint="eastAsia" w:ascii="楷体_GB2312" w:eastAsia="楷体_GB2312" w:cs="楷体_GB2312"/>
                <w:b/>
                <w:bCs/>
                <w:sz w:val="20"/>
                <w:szCs w:val="20"/>
                <w:highlight w:val="none"/>
              </w:rPr>
              <w:t>】</w:t>
            </w:r>
          </w:p>
          <w:p w14:paraId="54138B23">
            <w:pPr>
              <w:spacing w:line="300" w:lineRule="exact"/>
              <w:ind w:left="-2" w:leftChars="-1" w:right="36" w:rightChars="15"/>
              <w:jc w:val="both"/>
              <w:rPr>
                <w:rFonts w:ascii="黑体" w:hAnsi="黑体" w:eastAsia="黑体" w:cs="楷体_GB2312"/>
                <w:b/>
                <w:color w:val="000000" w:themeColor="text1"/>
                <w:sz w:val="20"/>
                <w:szCs w:val="20"/>
                <w:highlight w:val="none"/>
                <w14:textFill>
                  <w14:solidFill>
                    <w14:schemeClr w14:val="tx1"/>
                  </w14:solidFill>
                </w14:textFill>
              </w:rPr>
            </w:pPr>
            <w:r>
              <w:rPr>
                <w:rFonts w:hint="eastAsia" w:ascii="楷体_GB2312" w:eastAsia="楷体_GB2312" w:cs="楷体_GB2312"/>
                <w:b/>
                <w:bCs/>
                <w:color w:val="000000" w:themeColor="text1"/>
                <w:sz w:val="20"/>
                <w:szCs w:val="20"/>
                <w:highlight w:val="none"/>
                <w14:textFill>
                  <w14:solidFill>
                    <w14:schemeClr w14:val="tx1"/>
                  </w14:solidFill>
                </w14:textFill>
              </w:rPr>
              <w:t>本产品收取的销售服务费可能因销售</w:t>
            </w:r>
            <w:r>
              <w:rPr>
                <w:rFonts w:ascii="楷体_GB2312" w:eastAsia="楷体_GB2312" w:cs="楷体_GB2312"/>
                <w:b/>
                <w:bCs/>
                <w:color w:val="000000" w:themeColor="text1"/>
                <w:sz w:val="20"/>
                <w:szCs w:val="20"/>
                <w:highlight w:val="none"/>
                <w14:textFill>
                  <w14:solidFill>
                    <w14:schemeClr w14:val="tx1"/>
                  </w14:solidFill>
                </w14:textFill>
              </w:rPr>
              <w:t>机构</w:t>
            </w:r>
            <w:r>
              <w:rPr>
                <w:rFonts w:hint="eastAsia" w:ascii="楷体_GB2312" w:eastAsia="楷体_GB2312" w:cs="楷体_GB2312"/>
                <w:b/>
                <w:bCs/>
                <w:color w:val="000000" w:themeColor="text1"/>
                <w:sz w:val="20"/>
                <w:szCs w:val="20"/>
                <w:highlight w:val="none"/>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A5ED974">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交易时间</w:t>
            </w:r>
          </w:p>
        </w:tc>
        <w:tc>
          <w:tcPr>
            <w:tcW w:w="3709" w:type="pct"/>
            <w:vAlign w:val="center"/>
          </w:tcPr>
          <w:p w14:paraId="447AC584">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本产品交易时间为</w:t>
            </w:r>
            <w:r>
              <w:rPr>
                <w:rFonts w:ascii="楷体_GB2312" w:eastAsia="楷体_GB2312" w:cs="楷体_GB2312"/>
                <w:color w:val="000000" w:themeColor="text1"/>
                <w:sz w:val="20"/>
                <w:szCs w:val="20"/>
                <w:highlight w:val="none"/>
                <w14:textFill>
                  <w14:solidFill>
                    <w14:schemeClr w14:val="tx1"/>
                  </w14:solidFill>
                </w14:textFill>
              </w:rPr>
              <w:t>【8：30-</w:t>
            </w:r>
            <w:r>
              <w:rPr>
                <w:rFonts w:hint="eastAsia" w:ascii="楷体_GB2312" w:eastAsia="楷体_GB2312" w:cs="楷体_GB2312"/>
                <w:sz w:val="20"/>
                <w:szCs w:val="20"/>
                <w:highlight w:val="none"/>
              </w:rPr>
              <w:t>1</w:t>
            </w:r>
            <w:r>
              <w:rPr>
                <w:rFonts w:ascii="楷体_GB2312" w:eastAsia="楷体_GB2312" w:cs="楷体_GB2312"/>
                <w:sz w:val="20"/>
                <w:szCs w:val="20"/>
                <w:highlight w:val="none"/>
              </w:rPr>
              <w:t>7</w:t>
            </w:r>
            <w:r>
              <w:rPr>
                <w:rFonts w:hint="eastAsia" w:ascii="楷体_GB2312" w:eastAsia="楷体_GB2312" w:cs="楷体_GB2312"/>
                <w:sz w:val="20"/>
                <w:szCs w:val="20"/>
                <w:highlight w:val="none"/>
              </w:rPr>
              <w:t>：</w:t>
            </w:r>
            <w:r>
              <w:rPr>
                <w:rFonts w:ascii="楷体_GB2312" w:eastAsia="楷体_GB2312" w:cs="楷体_GB2312"/>
                <w:sz w:val="20"/>
                <w:szCs w:val="20"/>
                <w:highlight w:val="none"/>
              </w:rPr>
              <w:t>0</w:t>
            </w:r>
            <w:r>
              <w:rPr>
                <w:rFonts w:hint="eastAsia" w:ascii="楷体_GB2312" w:eastAsia="楷体_GB2312" w:cs="楷体_GB2312"/>
                <w:sz w:val="20"/>
                <w:szCs w:val="20"/>
                <w:highlight w:val="none"/>
              </w:rPr>
              <w:t>0</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投资者应当根据产品说明书约定在交易时间内进行认购交易操作，</w:t>
            </w:r>
            <w:r>
              <w:rPr>
                <w:rFonts w:ascii="楷体_GB2312" w:eastAsia="楷体_GB2312" w:cs="楷体_GB2312"/>
                <w:color w:val="000000" w:themeColor="text1"/>
                <w:sz w:val="20"/>
                <w:szCs w:val="20"/>
                <w:highlight w:val="none"/>
                <w14:textFill>
                  <w14:solidFill>
                    <w14:schemeClr w14:val="tx1"/>
                  </w14:solidFill>
                </w14:textFill>
              </w:rPr>
              <w:t>信银理财有权变更交易时间</w:t>
            </w:r>
            <w:r>
              <w:rPr>
                <w:rFonts w:hint="eastAsia" w:ascii="楷体_GB2312" w:eastAsia="楷体_GB2312" w:cs="楷体_GB2312"/>
                <w:color w:val="000000" w:themeColor="text1"/>
                <w:sz w:val="20"/>
                <w:szCs w:val="20"/>
                <w:highlight w:val="none"/>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highlight w:val="none"/>
                <w14:textFill>
                  <w14:solidFill>
                    <w14:schemeClr w14:val="tx1"/>
                  </w14:solidFill>
                </w14:textFill>
              </w:rPr>
              <w:t>如果投资者通过信银理财</w:t>
            </w:r>
            <w:r>
              <w:rPr>
                <w:rFonts w:hint="eastAsia" w:ascii="楷体_GB2312" w:eastAsia="楷体_GB2312" w:cs="楷体_GB2312"/>
                <w:color w:val="000000" w:themeColor="text1"/>
                <w:sz w:val="20"/>
                <w:szCs w:val="20"/>
                <w:highlight w:val="none"/>
                <w14:textFill>
                  <w14:solidFill>
                    <w14:schemeClr w14:val="tx1"/>
                  </w14:solidFill>
                </w14:textFill>
              </w:rPr>
              <w:t>直销渠道</w:t>
            </w:r>
            <w:r>
              <w:rPr>
                <w:rFonts w:ascii="楷体_GB2312" w:eastAsia="楷体_GB2312" w:cs="楷体_GB2312"/>
                <w:color w:val="000000" w:themeColor="text1"/>
                <w:sz w:val="20"/>
                <w:szCs w:val="20"/>
                <w:highlight w:val="none"/>
                <w14:textFill>
                  <w14:solidFill>
                    <w14:schemeClr w14:val="tx1"/>
                  </w14:solidFill>
                </w14:textFill>
              </w:rPr>
              <w:t>购买的，则交易时间以</w:t>
            </w:r>
            <w:r>
              <w:rPr>
                <w:rFonts w:hint="eastAsia" w:ascii="楷体_GB2312" w:eastAsia="楷体_GB2312" w:cs="楷体_GB2312"/>
                <w:color w:val="000000" w:themeColor="text1"/>
                <w:sz w:val="20"/>
                <w:szCs w:val="20"/>
                <w:highlight w:val="none"/>
                <w14:textFill>
                  <w14:solidFill>
                    <w14:schemeClr w14:val="tx1"/>
                  </w14:solidFill>
                </w14:textFill>
              </w:rPr>
              <w:t>信银理财直销渠道</w:t>
            </w:r>
            <w:r>
              <w:rPr>
                <w:rFonts w:ascii="楷体_GB2312" w:eastAsia="楷体_GB2312" w:cs="楷体_GB2312"/>
                <w:color w:val="000000" w:themeColor="text1"/>
                <w:sz w:val="20"/>
                <w:szCs w:val="20"/>
                <w:highlight w:val="none"/>
                <w14:textFill>
                  <w14:solidFill>
                    <w14:schemeClr w14:val="tx1"/>
                  </w14:solidFill>
                </w14:textFill>
              </w:rPr>
              <w:t>的营业时间和公布的交易时间为准，且必须在【8：30-</w:t>
            </w:r>
            <w:r>
              <w:rPr>
                <w:rFonts w:hint="eastAsia" w:ascii="楷体_GB2312" w:eastAsia="楷体_GB2312" w:cs="楷体_GB2312"/>
                <w:sz w:val="20"/>
                <w:szCs w:val="20"/>
                <w:highlight w:val="none"/>
              </w:rPr>
              <w:t>1</w:t>
            </w:r>
            <w:r>
              <w:rPr>
                <w:rFonts w:ascii="楷体_GB2312" w:eastAsia="楷体_GB2312" w:cs="楷体_GB2312"/>
                <w:sz w:val="20"/>
                <w:szCs w:val="20"/>
                <w:highlight w:val="none"/>
              </w:rPr>
              <w:t>7</w:t>
            </w:r>
            <w:r>
              <w:rPr>
                <w:rFonts w:hint="eastAsia" w:ascii="楷体_GB2312" w:eastAsia="楷体_GB2312" w:cs="楷体_GB2312"/>
                <w:sz w:val="20"/>
                <w:szCs w:val="20"/>
                <w:highlight w:val="none"/>
              </w:rPr>
              <w:t>：</w:t>
            </w:r>
            <w:r>
              <w:rPr>
                <w:rFonts w:ascii="楷体_GB2312" w:eastAsia="楷体_GB2312" w:cs="楷体_GB2312"/>
                <w:sz w:val="20"/>
                <w:szCs w:val="20"/>
                <w:highlight w:val="none"/>
              </w:rPr>
              <w:t>0</w:t>
            </w:r>
            <w:r>
              <w:rPr>
                <w:rFonts w:hint="eastAsia" w:ascii="楷体_GB2312" w:eastAsia="楷体_GB2312" w:cs="楷体_GB2312"/>
                <w:sz w:val="20"/>
                <w:szCs w:val="20"/>
                <w:highlight w:val="none"/>
              </w:rPr>
              <w:t>0</w:t>
            </w:r>
            <w:r>
              <w:rPr>
                <w:rFonts w:ascii="楷体_GB2312" w:eastAsia="楷体_GB2312" w:cs="楷体_GB2312"/>
                <w:color w:val="000000" w:themeColor="text1"/>
                <w:sz w:val="20"/>
                <w:szCs w:val="20"/>
                <w:highlight w:val="none"/>
                <w14:textFill>
                  <w14:solidFill>
                    <w14:schemeClr w14:val="tx1"/>
                  </w14:solidFill>
                </w14:textFill>
              </w:rPr>
              <w:t>】内</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投资者通过</w:t>
            </w:r>
            <w:r>
              <w:rPr>
                <w:rFonts w:ascii="楷体_GB2312" w:eastAsia="楷体_GB2312" w:cs="楷体_GB2312"/>
                <w:color w:val="000000" w:themeColor="text1"/>
                <w:sz w:val="20"/>
                <w:szCs w:val="20"/>
                <w:highlight w:val="none"/>
                <w14:textFill>
                  <w14:solidFill>
                    <w14:schemeClr w14:val="tx1"/>
                  </w14:solidFill>
                </w14:textFill>
              </w:rPr>
              <w:t>代销机构购买理财产品的，还应按照代销机构对于交易时间以及交易申请的相关规定执行，但交易时间必须在【8：30-</w:t>
            </w:r>
            <w:r>
              <w:rPr>
                <w:rFonts w:hint="eastAsia" w:ascii="楷体_GB2312" w:eastAsia="楷体_GB2312" w:cs="楷体_GB2312"/>
                <w:sz w:val="20"/>
                <w:szCs w:val="20"/>
                <w:highlight w:val="none"/>
              </w:rPr>
              <w:t>1</w:t>
            </w:r>
            <w:r>
              <w:rPr>
                <w:rFonts w:ascii="楷体_GB2312" w:eastAsia="楷体_GB2312" w:cs="楷体_GB2312"/>
                <w:sz w:val="20"/>
                <w:szCs w:val="20"/>
                <w:highlight w:val="none"/>
              </w:rPr>
              <w:t>7</w:t>
            </w:r>
            <w:r>
              <w:rPr>
                <w:rFonts w:hint="eastAsia" w:ascii="楷体_GB2312" w:eastAsia="楷体_GB2312" w:cs="楷体_GB2312"/>
                <w:sz w:val="20"/>
                <w:szCs w:val="20"/>
                <w:highlight w:val="none"/>
              </w:rPr>
              <w:t>：</w:t>
            </w:r>
            <w:r>
              <w:rPr>
                <w:rFonts w:ascii="楷体_GB2312" w:eastAsia="楷体_GB2312" w:cs="楷体_GB2312"/>
                <w:sz w:val="20"/>
                <w:szCs w:val="20"/>
                <w:highlight w:val="none"/>
              </w:rPr>
              <w:t>0</w:t>
            </w:r>
            <w:r>
              <w:rPr>
                <w:rFonts w:hint="eastAsia" w:ascii="楷体_GB2312" w:eastAsia="楷体_GB2312" w:cs="楷体_GB2312"/>
                <w:sz w:val="20"/>
                <w:szCs w:val="20"/>
                <w:highlight w:val="none"/>
              </w:rPr>
              <w:t>0</w:t>
            </w:r>
            <w:r>
              <w:rPr>
                <w:rFonts w:ascii="楷体_GB2312" w:eastAsia="楷体_GB2312" w:cs="楷体_GB2312"/>
                <w:color w:val="000000" w:themeColor="text1"/>
                <w:sz w:val="20"/>
                <w:szCs w:val="20"/>
                <w:highlight w:val="none"/>
                <w14:textFill>
                  <w14:solidFill>
                    <w14:schemeClr w14:val="tx1"/>
                  </w14:solidFill>
                </w14:textFill>
              </w:rPr>
              <w:t>】内。</w:t>
            </w:r>
          </w:p>
        </w:tc>
      </w:tr>
      <w:tr w14:paraId="67DF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E6416A4">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计划募集金额</w:t>
            </w:r>
            <w:r>
              <w:rPr>
                <w:rFonts w:hint="eastAsia" w:ascii="Times New Roman" w:eastAsia="楷体_GB2312" w:cs="楷体_GB2312"/>
                <w:color w:val="000000" w:themeColor="text1"/>
                <w:sz w:val="20"/>
                <w:szCs w:val="20"/>
                <w:highlight w:val="none"/>
                <w:lang w:eastAsia="zh-Hans"/>
                <w14:textFill>
                  <w14:solidFill>
                    <w14:schemeClr w14:val="tx1"/>
                  </w14:solidFill>
                </w14:textFill>
              </w:rPr>
              <w:t>上</w:t>
            </w:r>
            <w:r>
              <w:rPr>
                <w:rFonts w:ascii="Times New Roman" w:eastAsia="楷体_GB2312" w:cs="楷体_GB2312"/>
                <w:color w:val="000000" w:themeColor="text1"/>
                <w:sz w:val="20"/>
                <w:szCs w:val="20"/>
                <w:highlight w:val="none"/>
                <w14:textFill>
                  <w14:solidFill>
                    <w14:schemeClr w14:val="tx1"/>
                  </w14:solidFill>
                </w14:textFill>
              </w:rPr>
              <w:t>限</w:t>
            </w:r>
          </w:p>
        </w:tc>
        <w:tc>
          <w:tcPr>
            <w:tcW w:w="3709" w:type="pct"/>
            <w:vAlign w:val="center"/>
          </w:tcPr>
          <w:p w14:paraId="20E44042">
            <w:pPr>
              <w:pStyle w:val="2"/>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无。</w:t>
            </w:r>
          </w:p>
        </w:tc>
      </w:tr>
      <w:tr w14:paraId="1100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6A03B9">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计划募集金额</w:t>
            </w:r>
            <w:r>
              <w:rPr>
                <w:rFonts w:ascii="Times New Roman" w:eastAsia="楷体_GB2312" w:cs="楷体_GB2312"/>
                <w:color w:val="000000" w:themeColor="text1"/>
                <w:sz w:val="20"/>
                <w:szCs w:val="20"/>
                <w:highlight w:val="none"/>
                <w14:textFill>
                  <w14:solidFill>
                    <w14:schemeClr w14:val="tx1"/>
                  </w14:solidFill>
                </w14:textFill>
              </w:rPr>
              <w:t>下限</w:t>
            </w:r>
          </w:p>
        </w:tc>
        <w:tc>
          <w:tcPr>
            <w:tcW w:w="3709" w:type="pct"/>
            <w:vAlign w:val="center"/>
          </w:tcPr>
          <w:p w14:paraId="15B787E4">
            <w:pPr>
              <w:spacing w:line="300" w:lineRule="exact"/>
              <w:ind w:left="-2" w:leftChars="-1" w:right="36" w:rightChars="15"/>
              <w:rPr>
                <w:rFonts w:ascii="楷体_GB2312" w:eastAsia="楷体_GB2312" w:cs="楷体_GB2312"/>
                <w:sz w:val="20"/>
                <w:szCs w:val="20"/>
                <w:highlight w:val="none"/>
              </w:rPr>
            </w:pPr>
            <w:r>
              <w:rPr>
                <w:rFonts w:hint="eastAsia" w:ascii="楷体_GB2312" w:eastAsia="楷体_GB2312" w:cs="楷体_GB2312"/>
                <w:sz w:val="20"/>
                <w:szCs w:val="20"/>
                <w:highlight w:val="none"/>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p>
        </w:tc>
      </w:tr>
      <w:tr w14:paraId="03D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73008C">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币种</w:t>
            </w:r>
          </w:p>
        </w:tc>
        <w:tc>
          <w:tcPr>
            <w:tcW w:w="3709" w:type="pct"/>
            <w:vAlign w:val="center"/>
          </w:tcPr>
          <w:p w14:paraId="6C37B9B4">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本产品投资与收益币种为【人民币】</w:t>
            </w:r>
          </w:p>
        </w:tc>
      </w:tr>
      <w:tr w14:paraId="0BC6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C09B961">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认购起点</w:t>
            </w:r>
          </w:p>
        </w:tc>
        <w:tc>
          <w:tcPr>
            <w:tcW w:w="3709" w:type="pct"/>
            <w:vAlign w:val="center"/>
          </w:tcPr>
          <w:p w14:paraId="0B62AA2E">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sz w:val="20"/>
                <w:szCs w:val="20"/>
                <w:highlight w:val="none"/>
              </w:rPr>
              <w:t>【A】类份额初始认购金额不低于【人民币】【1】元，以【人民币】【0.01】元的整数倍增加。追加认购金额不低于【人民币】【0.01】元，以【人民币】【0.01】元的整数倍增加。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【B】类份额初始认购金额不低于【人民币】【1】元，以【人民币】【0.01】元的整数倍增加。追加认购金额不低于【人民币】【0.01】元，以【人民币】【0.01】元的整数倍增加。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【C】类份额初始认购金额不低于【人民币】【1】元，以【人民币】【0.01】元的整数倍增加。追加认购金额不低于【人民币】【0.01】元，以【人民币】【0.01】元的整数倍增加。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【D】类份额初始认购金额不低于【人民币】【100】万元，以【人民币】【0.01】元的整数倍增加。追加认购金额不低于【人民币】【0.01】元，以【人民币】【0.01】元的整数倍增加。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【G】类份额初始认购金额不低于【人民币】【1】元，以【人民币】【0.01】元的整数倍增加。追加认购金额不低于【人民币】【0.01】元，以【人民币】【0.01】元的整数倍增加。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【M】类份额初始认购金额不低于【人民币】【1】元，以【人民币】【0.01】元的整数倍增加。追加认购金额不低于【人民币】【0.01】元，以【人民币】【0.01】元的整数倍增加。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【N】类份额初始认购金额不低于【人民币】【1】元，以【人民币】【0.01】元的整数倍增加。追加认购金额不低于【人民币】【0.01】元，以【人民币】【0.01】元的整数倍增加。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【S】类份额初始认购金额不低于【人民币】【1】元，以【人民币】【0.01】元的整数倍增加。追加认购金额不低于【人民币】【0.01】元，以【人民币】【0.01】元的整数倍增加。</w:t>
            </w:r>
          </w:p>
        </w:tc>
      </w:tr>
      <w:tr w14:paraId="514E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C33B0C">
            <w:pPr>
              <w:spacing w:line="300" w:lineRule="exact"/>
              <w:ind w:left="-2" w:leftChars="-1" w:right="36" w:rightChars="15"/>
              <w:rPr>
                <w:rFonts w:ascii="Times New Roman" w:eastAsia="楷体_GB2312" w:cs="楷体_GB2312"/>
                <w:b/>
                <w:bCs/>
                <w:color w:val="000000" w:themeColor="text1"/>
                <w:sz w:val="20"/>
                <w:szCs w:val="20"/>
                <w:highlight w:val="none"/>
                <w14:textFill>
                  <w14:solidFill>
                    <w14:schemeClr w14:val="tx1"/>
                  </w14:solidFill>
                </w14:textFill>
              </w:rPr>
            </w:pPr>
            <w:r>
              <w:rPr>
                <w:rFonts w:hint="eastAsia" w:ascii="Times New Roman" w:eastAsia="楷体_GB2312" w:cs="楷体_GB2312"/>
                <w:b/>
                <w:bCs/>
                <w:color w:val="000000" w:themeColor="text1"/>
                <w:sz w:val="20"/>
                <w:szCs w:val="20"/>
                <w:highlight w:val="none"/>
                <w14:textFill>
                  <w14:solidFill>
                    <w14:schemeClr w14:val="tx1"/>
                  </w14:solidFill>
                </w14:textFill>
              </w:rPr>
              <w:t>单个</w:t>
            </w:r>
            <w:r>
              <w:rPr>
                <w:rFonts w:ascii="Times New Roman" w:eastAsia="楷体_GB2312" w:cs="楷体_GB2312"/>
                <w:b/>
                <w:bCs/>
                <w:color w:val="000000" w:themeColor="text1"/>
                <w:sz w:val="20"/>
                <w:szCs w:val="20"/>
                <w:highlight w:val="none"/>
                <w14:textFill>
                  <w14:solidFill>
                    <w14:schemeClr w14:val="tx1"/>
                  </w14:solidFill>
                </w14:textFill>
              </w:rPr>
              <w:t>投资者持仓份额比例限制</w:t>
            </w:r>
          </w:p>
        </w:tc>
        <w:tc>
          <w:tcPr>
            <w:tcW w:w="3709" w:type="pct"/>
            <w:vAlign w:val="center"/>
          </w:tcPr>
          <w:p w14:paraId="752664D1">
            <w:pPr>
              <w:spacing w:line="300" w:lineRule="exact"/>
              <w:ind w:left="-2" w:leftChars="-1" w:right="36" w:rightChars="15"/>
              <w:rPr>
                <w:rFonts w:ascii="楷体_GB2312" w:eastAsia="楷体_GB2312" w:cs="楷体_GB2312"/>
                <w:b/>
                <w:bCs/>
                <w:color w:val="000000" w:themeColor="text1"/>
                <w:sz w:val="20"/>
                <w:szCs w:val="20"/>
                <w:highlight w:val="none"/>
                <w14:textFill>
                  <w14:solidFill>
                    <w14:schemeClr w14:val="tx1"/>
                  </w14:solidFill>
                </w14:textFill>
              </w:rPr>
            </w:pPr>
            <w:r>
              <w:rPr>
                <w:rFonts w:hint="eastAsia" w:ascii="楷体_GB2312" w:eastAsia="楷体_GB2312" w:cs="楷体_GB2312"/>
                <w:b/>
                <w:bCs/>
                <w:color w:val="000000" w:themeColor="text1"/>
                <w:sz w:val="20"/>
                <w:szCs w:val="20"/>
                <w:highlight w:val="none"/>
                <w14:textFill>
                  <w14:solidFill>
                    <w14:schemeClr w14:val="tx1"/>
                  </w14:solidFill>
                </w14:textFill>
              </w:rPr>
              <w:t>本产品</w:t>
            </w:r>
            <w:r>
              <w:rPr>
                <w:rFonts w:ascii="楷体_GB2312" w:eastAsia="楷体_GB2312" w:cs="楷体_GB2312"/>
                <w:b/>
                <w:bCs/>
                <w:color w:val="000000" w:themeColor="text1"/>
                <w:sz w:val="20"/>
                <w:szCs w:val="20"/>
                <w:highlight w:val="none"/>
                <w14:textFill>
                  <w14:solidFill>
                    <w14:schemeClr w14:val="tx1"/>
                  </w14:solidFill>
                </w14:textFill>
              </w:rPr>
              <w:t>单一投资者持有份额</w:t>
            </w:r>
            <w:r>
              <w:rPr>
                <w:rFonts w:hint="eastAsia" w:ascii="楷体_GB2312" w:eastAsia="楷体_GB2312" w:cs="楷体_GB2312"/>
                <w:b/>
                <w:bCs/>
                <w:color w:val="000000" w:themeColor="text1"/>
                <w:sz w:val="20"/>
                <w:szCs w:val="20"/>
                <w:highlight w:val="none"/>
                <w:lang w:eastAsia="zh-CN"/>
                <w14:textFill>
                  <w14:solidFill>
                    <w14:schemeClr w14:val="tx1"/>
                  </w14:solidFill>
                </w14:textFill>
              </w:rPr>
              <w:t>：</w:t>
            </w:r>
            <w:r>
              <w:rPr>
                <w:rFonts w:hint="eastAsia" w:ascii="楷体_GB2312" w:eastAsia="楷体_GB2312" w:cs="楷体_GB2312"/>
                <w:b/>
                <w:bCs/>
                <w:color w:val="000000" w:themeColor="text1"/>
                <w:sz w:val="20"/>
                <w:szCs w:val="20"/>
                <w:highlight w:val="none"/>
                <w14:textFill>
                  <w14:solidFill>
                    <w14:schemeClr w14:val="tx1"/>
                  </w14:solidFill>
                </w14:textFill>
              </w:rPr>
              <w:t>【b</w:t>
            </w:r>
            <w:r>
              <w:rPr>
                <w:rFonts w:ascii="楷体_GB2312" w:eastAsia="楷体_GB2312" w:cs="楷体_GB2312"/>
                <w:b/>
                <w:bCs/>
                <w:color w:val="000000" w:themeColor="text1"/>
                <w:sz w:val="20"/>
                <w:szCs w:val="20"/>
                <w:highlight w:val="none"/>
                <w14:textFill>
                  <w14:solidFill>
                    <w14:schemeClr w14:val="tx1"/>
                  </w14:solidFill>
                </w14:textFill>
              </w:rPr>
              <w:t>】</w:t>
            </w:r>
          </w:p>
          <w:p w14:paraId="261B67A2">
            <w:pPr>
              <w:pStyle w:val="20"/>
              <w:numPr>
                <w:ilvl w:val="0"/>
                <w:numId w:val="2"/>
              </w:numPr>
              <w:spacing w:line="300" w:lineRule="exact"/>
              <w:ind w:right="36" w:rightChars="15" w:firstLineChars="0"/>
              <w:rPr>
                <w:rFonts w:ascii="楷体_GB2312" w:eastAsia="楷体_GB2312" w:cs="楷体_GB2312"/>
                <w:b/>
                <w:bCs/>
                <w:color w:val="000000" w:themeColor="text1"/>
                <w:sz w:val="20"/>
                <w:szCs w:val="20"/>
                <w:highlight w:val="none"/>
                <w14:textFill>
                  <w14:solidFill>
                    <w14:schemeClr w14:val="tx1"/>
                  </w14:solidFill>
                </w14:textFill>
              </w:rPr>
            </w:pPr>
            <w:r>
              <w:rPr>
                <w:rFonts w:hint="eastAsia" w:ascii="楷体_GB2312" w:eastAsia="楷体_GB2312" w:cs="楷体_GB2312"/>
                <w:b/>
                <w:bCs/>
                <w:color w:val="000000" w:themeColor="text1"/>
                <w:sz w:val="20"/>
                <w:szCs w:val="20"/>
                <w:highlight w:val="none"/>
                <w14:textFill>
                  <w14:solidFill>
                    <w14:schemeClr w14:val="tx1"/>
                  </w14:solidFill>
                </w14:textFill>
              </w:rPr>
              <w:t>可以</w:t>
            </w:r>
            <w:r>
              <w:rPr>
                <w:rFonts w:ascii="楷体_GB2312" w:eastAsia="楷体_GB2312" w:cs="楷体_GB2312"/>
                <w:b/>
                <w:bCs/>
                <w:color w:val="000000" w:themeColor="text1"/>
                <w:sz w:val="20"/>
                <w:szCs w:val="20"/>
                <w:highlight w:val="none"/>
                <w14:textFill>
                  <w14:solidFill>
                    <w14:schemeClr w14:val="tx1"/>
                  </w14:solidFill>
                </w14:textFill>
              </w:rPr>
              <w:t>超过产品总份额的50%</w:t>
            </w:r>
            <w:r>
              <w:rPr>
                <w:rFonts w:hint="eastAsia" w:ascii="楷体_GB2312" w:eastAsia="楷体_GB2312" w:cs="楷体_GB2312"/>
                <w:b/>
                <w:bCs/>
                <w:color w:val="000000" w:themeColor="text1"/>
                <w:sz w:val="20"/>
                <w:szCs w:val="20"/>
                <w:highlight w:val="none"/>
                <w14:textFill>
                  <w14:solidFill>
                    <w14:schemeClr w14:val="tx1"/>
                  </w14:solidFill>
                </w14:textFill>
              </w:rPr>
              <w:t>。但产品不得</w:t>
            </w:r>
            <w:r>
              <w:rPr>
                <w:rFonts w:ascii="楷体_GB2312" w:eastAsia="楷体_GB2312" w:cs="楷体_GB2312"/>
                <w:b/>
                <w:bCs/>
                <w:color w:val="000000" w:themeColor="text1"/>
                <w:sz w:val="20"/>
                <w:szCs w:val="20"/>
                <w:highlight w:val="none"/>
                <w14:textFill>
                  <w14:solidFill>
                    <w14:schemeClr w14:val="tx1"/>
                  </w14:solidFill>
                </w14:textFill>
              </w:rPr>
              <w:t xml:space="preserve">向个人投资者公开发售。 </w:t>
            </w:r>
          </w:p>
          <w:p w14:paraId="735BA2F5">
            <w:pPr>
              <w:pStyle w:val="20"/>
              <w:numPr>
                <w:ilvl w:val="0"/>
                <w:numId w:val="2"/>
              </w:numPr>
              <w:spacing w:line="300" w:lineRule="exact"/>
              <w:ind w:right="36" w:rightChars="15" w:firstLineChars="0"/>
              <w:rPr>
                <w:rFonts w:ascii="楷体_GB2312" w:eastAsia="楷体_GB2312" w:cs="楷体_GB2312"/>
                <w:b/>
                <w:bCs/>
                <w:color w:val="000000" w:themeColor="text1"/>
                <w:sz w:val="20"/>
                <w:szCs w:val="20"/>
                <w:highlight w:val="none"/>
                <w14:textFill>
                  <w14:solidFill>
                    <w14:schemeClr w14:val="tx1"/>
                  </w14:solidFill>
                </w14:textFill>
              </w:rPr>
            </w:pPr>
            <w:r>
              <w:rPr>
                <w:rFonts w:hint="eastAsia" w:ascii="楷体_GB2312" w:eastAsia="楷体_GB2312" w:cs="楷体_GB2312"/>
                <w:b/>
                <w:bCs/>
                <w:color w:val="000000" w:themeColor="text1"/>
                <w:sz w:val="20"/>
                <w:szCs w:val="20"/>
                <w:highlight w:val="none"/>
                <w14:textFill>
                  <w14:solidFill>
                    <w14:schemeClr w14:val="tx1"/>
                  </w14:solidFill>
                </w14:textFill>
              </w:rPr>
              <w:t>不得</w:t>
            </w:r>
            <w:r>
              <w:rPr>
                <w:rFonts w:ascii="楷体_GB2312" w:eastAsia="楷体_GB2312" w:cs="楷体_GB2312"/>
                <w:b/>
                <w:bCs/>
                <w:color w:val="000000" w:themeColor="text1"/>
                <w:sz w:val="20"/>
                <w:szCs w:val="20"/>
                <w:highlight w:val="none"/>
                <w14:textFill>
                  <w14:solidFill>
                    <w14:schemeClr w14:val="tx1"/>
                  </w14:solidFill>
                </w14:textFill>
              </w:rPr>
              <w:t>超过产品总份额的50%。</w:t>
            </w:r>
            <w:r>
              <w:rPr>
                <w:rFonts w:hint="eastAsia" w:ascii="楷体_GB2312" w:eastAsia="楷体_GB2312" w:cs="楷体_GB2312"/>
                <w:b/>
                <w:bCs/>
                <w:color w:val="000000" w:themeColor="text1"/>
                <w:sz w:val="20"/>
                <w:szCs w:val="20"/>
                <w:highlight w:val="none"/>
                <w14:textFill>
                  <w14:solidFill>
                    <w14:schemeClr w14:val="tx1"/>
                  </w14:solidFill>
                </w14:textFill>
              </w:rPr>
              <w:t>投资者提出认</w:t>
            </w:r>
            <w:r>
              <w:rPr>
                <w:rFonts w:ascii="楷体_GB2312" w:eastAsia="楷体_GB2312" w:cs="楷体_GB2312"/>
                <w:b/>
                <w:bCs/>
                <w:color w:val="000000" w:themeColor="text1"/>
                <w:sz w:val="20"/>
                <w:szCs w:val="20"/>
                <w:highlight w:val="none"/>
                <w14:textFill>
                  <w14:solidFill>
                    <w14:schemeClr w14:val="tx1"/>
                  </w14:solidFill>
                </w14:textFill>
              </w:rPr>
              <w:t>购申请时，如认购后投资者持有份额超过产品总份额的50%，信银理财将不接受超过单个投资者持仓份额比例限制的申请。</w:t>
            </w:r>
          </w:p>
        </w:tc>
      </w:tr>
      <w:tr w14:paraId="0048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328F217">
            <w:pPr>
              <w:spacing w:line="300" w:lineRule="exact"/>
              <w:ind w:left="-2" w:leftChars="-1" w:right="36" w:rightChars="15"/>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份额单位</w:t>
            </w:r>
          </w:p>
        </w:tc>
        <w:tc>
          <w:tcPr>
            <w:tcW w:w="3709" w:type="pct"/>
            <w:vAlign w:val="center"/>
          </w:tcPr>
          <w:p w14:paraId="3028C13D">
            <w:pPr>
              <w:spacing w:line="300" w:lineRule="exact"/>
              <w:ind w:left="-2" w:leftChars="-1" w:right="36" w:rightChars="15"/>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份</w:t>
            </w:r>
          </w:p>
        </w:tc>
      </w:tr>
      <w:tr w14:paraId="7143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8AA2B6">
            <w:pPr>
              <w:spacing w:line="300" w:lineRule="exact"/>
              <w:ind w:left="-2" w:leftChars="-1" w:right="36" w:rightChars="15"/>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单位净值</w:t>
            </w:r>
          </w:p>
        </w:tc>
        <w:tc>
          <w:tcPr>
            <w:tcW w:w="3709" w:type="pct"/>
            <w:vAlign w:val="center"/>
          </w:tcPr>
          <w:p w14:paraId="45DF7300">
            <w:pPr>
              <w:spacing w:line="300" w:lineRule="exact"/>
              <w:ind w:right="29" w:rightChars="12"/>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1.</w:t>
            </w:r>
            <w:r>
              <w:rPr>
                <w:rFonts w:hint="eastAsia" w:ascii="楷体_GB2312" w:eastAsia="楷体_GB2312" w:cs="楷体_GB2312"/>
                <w:color w:val="000000" w:themeColor="text1"/>
                <w:sz w:val="20"/>
                <w:szCs w:val="20"/>
                <w:highlight w:val="none"/>
                <w14:textFill>
                  <w14:solidFill>
                    <w14:schemeClr w14:val="tx1"/>
                  </w14:solidFill>
                </w14:textFill>
              </w:rPr>
              <w:t>单位净值为单位产品份额的净值，该净值为扣除相关税费（相关税费包含固定管理费、</w:t>
            </w:r>
            <w:r>
              <w:rPr>
                <w:rFonts w:ascii="楷体_GB2312" w:eastAsia="楷体_GB2312" w:cs="楷体_GB2312"/>
                <w:color w:val="000000" w:themeColor="text1"/>
                <w:sz w:val="20"/>
                <w:szCs w:val="20"/>
                <w:highlight w:val="none"/>
                <w14:textFill>
                  <w14:solidFill>
                    <w14:schemeClr w14:val="tx1"/>
                  </w14:solidFill>
                </w14:textFill>
              </w:rPr>
              <w:t>浮动管理费</w:t>
            </w:r>
            <w:r>
              <w:rPr>
                <w:rFonts w:hint="eastAsia" w:ascii="楷体_GB2312" w:eastAsia="楷体_GB2312" w:cs="楷体_GB2312"/>
                <w:color w:val="000000" w:themeColor="text1"/>
                <w:sz w:val="20"/>
                <w:szCs w:val="20"/>
                <w:highlight w:val="none"/>
                <w14:textFill>
                  <w14:solidFill>
                    <w14:schemeClr w14:val="tx1"/>
                  </w14:solidFill>
                </w14:textFill>
              </w:rPr>
              <w:t>、销售服务费、托管费、</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信息技术服务费、</w:t>
            </w:r>
            <w:r>
              <w:rPr>
                <w:rFonts w:hint="eastAsia" w:ascii="楷体_GB2312" w:eastAsia="楷体_GB2312" w:cs="楷体_GB2312"/>
                <w:color w:val="000000" w:themeColor="text1"/>
                <w:sz w:val="20"/>
                <w:szCs w:val="20"/>
                <w:highlight w:val="none"/>
                <w14:textFill>
                  <w14:solidFill>
                    <w14:schemeClr w14:val="tx1"/>
                  </w14:solidFill>
                </w14:textFill>
              </w:rPr>
              <w:t>本理财产品运营过程中产生的增值税及附加税费等）后的净值。单位净值按照【四舍五入】保留至小数点后【4】位。</w:t>
            </w:r>
          </w:p>
          <w:p w14:paraId="4CF7DD1D">
            <w:pPr>
              <w:spacing w:line="300" w:lineRule="exact"/>
              <w:ind w:right="29" w:rightChars="12"/>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2.</w:t>
            </w:r>
            <w:r>
              <w:rPr>
                <w:rFonts w:hint="eastAsia" w:ascii="楷体_GB2312" w:eastAsia="楷体_GB2312" w:cs="楷体_GB2312"/>
                <w:color w:val="000000" w:themeColor="text1"/>
                <w:sz w:val="20"/>
                <w:szCs w:val="20"/>
                <w:highlight w:val="none"/>
                <w14:textFill>
                  <w14:solidFill>
                    <w14:schemeClr w14:val="tx1"/>
                  </w14:solidFill>
                </w14:textFill>
              </w:rPr>
              <w:t>本产品到期后，管理人将在到期日后【5】个工作日内披露产品</w:t>
            </w:r>
            <w:r>
              <w:rPr>
                <w:rFonts w:ascii="楷体_GB2312" w:eastAsia="楷体_GB2312" w:cs="楷体_GB2312"/>
                <w:color w:val="000000" w:themeColor="text1"/>
                <w:sz w:val="20"/>
                <w:szCs w:val="20"/>
                <w:highlight w:val="none"/>
                <w14:textFill>
                  <w14:solidFill>
                    <w14:schemeClr w14:val="tx1"/>
                  </w14:solidFill>
                </w14:textFill>
              </w:rPr>
              <w:t>份额</w:t>
            </w:r>
            <w:r>
              <w:rPr>
                <w:rFonts w:hint="eastAsia" w:ascii="楷体_GB2312" w:eastAsia="楷体_GB2312" w:cs="楷体_GB2312"/>
                <w:color w:val="000000" w:themeColor="text1"/>
                <w:sz w:val="20"/>
                <w:szCs w:val="20"/>
                <w:highlight w:val="none"/>
                <w14:textFill>
                  <w14:solidFill>
                    <w14:schemeClr w14:val="tx1"/>
                  </w14:solidFill>
                </w14:textFill>
              </w:rPr>
              <w:t>最终单位净值。</w:t>
            </w:r>
          </w:p>
        </w:tc>
      </w:tr>
      <w:tr w14:paraId="4E76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EDA1EB8">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认购渠道</w:t>
            </w:r>
          </w:p>
        </w:tc>
        <w:tc>
          <w:tcPr>
            <w:tcW w:w="3709" w:type="pct"/>
            <w:vAlign w:val="center"/>
          </w:tcPr>
          <w:p w14:paraId="5E90A1A6">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理财产品通过代销机构销售的，投资者可通过代销机构规定的渠道认购。</w:t>
            </w:r>
          </w:p>
          <w:p w14:paraId="08BBF135">
            <w:pPr>
              <w:spacing w:line="300" w:lineRule="exact"/>
              <w:ind w:right="36" w:rightChars="15"/>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93CECDB">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税收条款</w:t>
            </w:r>
          </w:p>
        </w:tc>
        <w:tc>
          <w:tcPr>
            <w:tcW w:w="3709" w:type="pct"/>
            <w:vAlign w:val="center"/>
          </w:tcPr>
          <w:p w14:paraId="44C81E18">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highlight w:val="none"/>
                <w14:textFill>
                  <w14:solidFill>
                    <w14:schemeClr w14:val="tx1"/>
                  </w14:solidFill>
                </w14:textFill>
              </w:rPr>
              <w:t>产品管理人</w:t>
            </w:r>
            <w:r>
              <w:rPr>
                <w:rFonts w:hint="eastAsia" w:ascii="楷体_GB2312" w:eastAsia="楷体_GB2312" w:cs="楷体_GB2312"/>
                <w:color w:val="000000" w:themeColor="text1"/>
                <w:sz w:val="20"/>
                <w:szCs w:val="20"/>
                <w:highlight w:val="none"/>
                <w14:textFill>
                  <w14:solidFill>
                    <w14:schemeClr w14:val="tx1"/>
                  </w14:solidFill>
                </w14:textFill>
              </w:rPr>
              <w:t>以</w:t>
            </w:r>
            <w:r>
              <w:rPr>
                <w:rFonts w:ascii="楷体_GB2312" w:eastAsia="楷体_GB2312" w:cs="楷体_GB2312"/>
                <w:color w:val="000000" w:themeColor="text1"/>
                <w:sz w:val="20"/>
                <w:szCs w:val="20"/>
                <w:highlight w:val="none"/>
                <w14:textFill>
                  <w14:solidFill>
                    <w14:schemeClr w14:val="tx1"/>
                  </w14:solidFill>
                </w14:textFill>
              </w:rPr>
              <w:t>理财资金</w:t>
            </w:r>
            <w:r>
              <w:rPr>
                <w:rFonts w:hint="eastAsia" w:ascii="楷体_GB2312" w:eastAsia="楷体_GB2312" w:cs="楷体_GB2312"/>
                <w:color w:val="000000" w:themeColor="text1"/>
                <w:sz w:val="20"/>
                <w:szCs w:val="20"/>
                <w:highlight w:val="none"/>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4E6B4A9">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费用条款</w:t>
            </w:r>
          </w:p>
        </w:tc>
        <w:tc>
          <w:tcPr>
            <w:tcW w:w="3709" w:type="pct"/>
            <w:vAlign w:val="center"/>
          </w:tcPr>
          <w:p w14:paraId="0DC19621">
            <w:pPr>
              <w:snapToGrid w:val="0"/>
              <w:spacing w:line="300" w:lineRule="exact"/>
              <w:ind w:left="-2" w:leftChars="-1" w:right="53" w:rightChars="22"/>
              <w:jc w:val="both"/>
              <w:outlineLvl w:val="0"/>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本产品的费用包括认购费、销售服务费、托管费、固定管理费、浮动管理费</w:t>
            </w:r>
            <w:r>
              <w:rPr>
                <w:rFonts w:hint="eastAsia" w:ascii="楷体_GB2312" w:eastAsia="楷体_GB2312" w:cs="楷体_GB2312"/>
                <w:b/>
                <w:color w:val="000000" w:themeColor="text1"/>
                <w:sz w:val="20"/>
                <w:szCs w:val="20"/>
                <w:highlight w:val="none"/>
                <w:lang w:eastAsia="zh-CN"/>
                <w14:textFill>
                  <w14:solidFill>
                    <w14:schemeClr w14:val="tx1"/>
                  </w14:solidFill>
                </w14:textFill>
              </w:rPr>
              <w:t>、</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信息技术服务费</w:t>
            </w:r>
            <w:r>
              <w:rPr>
                <w:rFonts w:ascii="楷体_GB2312" w:eastAsia="楷体_GB2312" w:cs="楷体_GB2312"/>
                <w:b/>
                <w:color w:val="000000" w:themeColor="text1"/>
                <w:sz w:val="20"/>
                <w:szCs w:val="20"/>
                <w:highlight w:val="none"/>
                <w14:textFill>
                  <w14:solidFill>
                    <w14:schemeClr w14:val="tx1"/>
                  </w14:solidFill>
                </w14:textFill>
              </w:rPr>
              <w:t>，产品运作和清算中产生的其他资金汇划费、结算费、交易手续费、注册登记费、信息披露费、账户服务费、审计费、律师费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highlight w:val="none"/>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highlight w:val="none"/>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highlight w:val="none"/>
                <w14:textFill>
                  <w14:solidFill>
                    <w14:schemeClr w14:val="tx1"/>
                  </w14:solidFill>
                </w14:textFill>
              </w:rPr>
              <w:t>，按照实际发生时列支</w:t>
            </w:r>
            <w:r>
              <w:rPr>
                <w:rFonts w:ascii="楷体_GB2312" w:eastAsia="楷体_GB2312" w:cs="楷体_GB2312"/>
                <w:b/>
                <w:color w:val="000000" w:themeColor="text1"/>
                <w:sz w:val="20"/>
                <w:szCs w:val="20"/>
                <w:highlight w:val="none"/>
                <w14:textFill>
                  <w14:solidFill>
                    <w14:schemeClr w14:val="tx1"/>
                  </w14:solidFill>
                </w14:textFill>
              </w:rPr>
              <w:t>。管理人因管理、运营理财产品发生的税费</w:t>
            </w:r>
            <w:r>
              <w:rPr>
                <w:rFonts w:ascii="楷体_GB2312" w:eastAsia="楷体_GB2312"/>
                <w:b/>
                <w:color w:val="000000" w:themeColor="text1"/>
                <w:sz w:val="20"/>
                <w:szCs w:val="20"/>
                <w:highlight w:val="none"/>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highlight w:val="none"/>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hint="eastAsia" w:ascii="楷体_GB2312" w:eastAsia="楷体_GB2312" w:cs="楷体_GB2312"/>
                <w:b/>
                <w:sz w:val="20"/>
                <w:szCs w:val="20"/>
                <w:highlight w:val="none"/>
                <w:lang w:eastAsia="zh-CN"/>
              </w:rPr>
            </w:pPr>
            <w:r>
              <w:rPr>
                <w:rFonts w:ascii="楷体_GB2312" w:eastAsia="楷体_GB2312" w:cs="楷体_GB2312"/>
                <w:b/>
                <w:sz w:val="20"/>
                <w:szCs w:val="20"/>
                <w:highlight w:val="none"/>
              </w:rPr>
              <w:t>1.</w:t>
            </w:r>
            <w:r>
              <w:rPr>
                <w:rFonts w:hint="eastAsia" w:ascii="楷体_GB2312" w:eastAsia="楷体_GB2312" w:cs="楷体_GB2312"/>
                <w:b/>
                <w:sz w:val="20"/>
                <w:szCs w:val="20"/>
                <w:highlight w:val="none"/>
              </w:rPr>
              <w:t>认购费</w:t>
            </w:r>
            <w:r>
              <w:rPr>
                <w:rFonts w:ascii="楷体_GB2312" w:eastAsia="楷体_GB2312" w:cs="楷体_GB2312"/>
                <w:b/>
                <w:sz w:val="20"/>
                <w:szCs w:val="20"/>
                <w:highlight w:val="none"/>
              </w:rPr>
              <w:t>：</w:t>
            </w:r>
            <w:r>
              <w:rPr>
                <w:rFonts w:hint="eastAsia" w:ascii="楷体_GB2312" w:eastAsia="楷体_GB2312"/>
                <w:b/>
                <w:sz w:val="20"/>
                <w:szCs w:val="20"/>
                <w:highlight w:val="none"/>
              </w:rPr>
              <w:t>【A】类份额不收取认购费，【B】类份额不收取认购费，【C】类份额不收取认购费，【D】类份额不收取认购费，【G】类份额不收取认购费，【M】类份额不收取认购费，【N】类份额不收取认购费，【S】类份额不收取认购费</w:t>
            </w:r>
            <w:r>
              <w:rPr>
                <w:rFonts w:hint="eastAsia" w:ascii="楷体_GB2312" w:eastAsia="楷体_GB2312"/>
                <w:b/>
                <w:sz w:val="20"/>
                <w:szCs w:val="20"/>
                <w:highlight w:val="none"/>
                <w:lang w:eastAsia="zh-CN"/>
              </w:rPr>
              <w:t>；</w:t>
            </w:r>
          </w:p>
          <w:p w14:paraId="62A82753">
            <w:pPr>
              <w:snapToGrid w:val="0"/>
              <w:spacing w:line="300" w:lineRule="exact"/>
              <w:ind w:left="-2" w:leftChars="-1" w:right="53" w:rightChars="22"/>
              <w:outlineLvl w:val="0"/>
              <w:rPr>
                <w:rFonts w:hint="eastAsia" w:ascii="楷体_GB2312" w:eastAsia="楷体_GB2312" w:cs="楷体_GB2312"/>
                <w:b/>
                <w:sz w:val="20"/>
                <w:szCs w:val="20"/>
                <w:highlight w:val="none"/>
                <w:lang w:eastAsia="zh-CN"/>
              </w:rPr>
            </w:pPr>
            <w:r>
              <w:rPr>
                <w:rFonts w:ascii="楷体_GB2312" w:eastAsia="楷体_GB2312" w:cs="楷体_GB2312"/>
                <w:b/>
                <w:sz w:val="20"/>
                <w:szCs w:val="20"/>
                <w:highlight w:val="none"/>
              </w:rPr>
              <w:t>2.</w:t>
            </w:r>
            <w:r>
              <w:rPr>
                <w:rFonts w:hint="eastAsia" w:ascii="楷体_GB2312" w:eastAsia="楷体_GB2312" w:cs="楷体_GB2312"/>
                <w:b/>
                <w:sz w:val="20"/>
                <w:szCs w:val="20"/>
                <w:highlight w:val="none"/>
              </w:rPr>
              <w:t>销售服务费：【A】类份额费率【0.15%】/年，【B】类份额费率【0.15%】/年，【C】类份额费率【0.05%】/年，【D】类份额费率【0.10%】/年，【G】类份额费率【0.10%】/年，【M】类份额费率【0.20%】/年，【N】类份额费率【0.30%】/年，【S】类份额费率【0.10%】/年</w:t>
            </w:r>
            <w:r>
              <w:rPr>
                <w:rFonts w:hint="eastAsia" w:ascii="楷体_GB2312" w:eastAsia="楷体_GB2312" w:cs="楷体_GB2312"/>
                <w:b/>
                <w:sz w:val="20"/>
                <w:szCs w:val="20"/>
                <w:highlight w:val="none"/>
                <w:lang w:eastAsia="zh-CN"/>
              </w:rPr>
              <w:t>；</w:t>
            </w:r>
          </w:p>
          <w:p w14:paraId="793AE849">
            <w:pPr>
              <w:snapToGrid w:val="0"/>
              <w:spacing w:line="300" w:lineRule="exact"/>
              <w:ind w:right="53" w:rightChars="22"/>
              <w:outlineLvl w:val="0"/>
              <w:rPr>
                <w:rFonts w:hint="eastAsia" w:ascii="楷体_GB2312" w:eastAsia="楷体_GB2312" w:cs="楷体_GB2312"/>
                <w:b/>
                <w:sz w:val="20"/>
                <w:szCs w:val="20"/>
                <w:highlight w:val="none"/>
                <w:lang w:eastAsia="zh-CN"/>
              </w:rPr>
            </w:pPr>
            <w:r>
              <w:rPr>
                <w:rFonts w:ascii="楷体_GB2312" w:eastAsia="楷体_GB2312" w:cs="楷体_GB2312"/>
                <w:b/>
                <w:sz w:val="20"/>
                <w:szCs w:val="20"/>
                <w:highlight w:val="none"/>
              </w:rPr>
              <w:t>3.</w:t>
            </w:r>
            <w:r>
              <w:rPr>
                <w:rFonts w:hint="eastAsia" w:ascii="楷体_GB2312" w:eastAsia="楷体_GB2312" w:cs="楷体_GB2312"/>
                <w:b/>
                <w:sz w:val="20"/>
                <w:szCs w:val="20"/>
                <w:highlight w:val="none"/>
              </w:rPr>
              <w:t>托管费：费率【</w:t>
            </w:r>
            <w:r>
              <w:rPr>
                <w:rFonts w:ascii="楷体_GB2312" w:eastAsia="楷体_GB2312" w:cs="楷体_GB2312"/>
                <w:b/>
                <w:sz w:val="20"/>
                <w:szCs w:val="20"/>
                <w:highlight w:val="none"/>
              </w:rPr>
              <w:t>0.05%】/年</w:t>
            </w:r>
            <w:r>
              <w:rPr>
                <w:rFonts w:hint="eastAsia" w:ascii="楷体_GB2312" w:eastAsia="楷体_GB2312" w:cs="楷体_GB2312"/>
                <w:b/>
                <w:sz w:val="20"/>
                <w:szCs w:val="20"/>
                <w:highlight w:val="none"/>
                <w:lang w:eastAsia="zh-CN"/>
              </w:rPr>
              <w:t>；</w:t>
            </w:r>
          </w:p>
          <w:p w14:paraId="0B46EB90">
            <w:pPr>
              <w:snapToGrid w:val="0"/>
              <w:spacing w:line="300" w:lineRule="exact"/>
              <w:ind w:right="96" w:rightChars="40"/>
              <w:outlineLvl w:val="0"/>
              <w:rPr>
                <w:rFonts w:hint="eastAsia" w:ascii="楷体_GB2312" w:eastAsia="楷体_GB2312" w:cs="楷体_GB2312"/>
                <w:b/>
                <w:sz w:val="20"/>
                <w:szCs w:val="20"/>
                <w:highlight w:val="none"/>
                <w:lang w:eastAsia="zh-CN"/>
              </w:rPr>
            </w:pPr>
            <w:r>
              <w:rPr>
                <w:rFonts w:ascii="楷体_GB2312" w:eastAsia="楷体_GB2312" w:cs="楷体_GB2312"/>
                <w:b/>
                <w:sz w:val="20"/>
                <w:szCs w:val="20"/>
                <w:highlight w:val="none"/>
              </w:rPr>
              <w:t>4.</w:t>
            </w:r>
            <w:r>
              <w:rPr>
                <w:rFonts w:hint="eastAsia" w:ascii="楷体_GB2312" w:eastAsia="楷体_GB2312" w:cs="楷体_GB2312"/>
                <w:b/>
                <w:sz w:val="20"/>
                <w:szCs w:val="20"/>
                <w:highlight w:val="none"/>
              </w:rPr>
              <w:t>固定管理费：费率【0.15%</w:t>
            </w:r>
            <w:r>
              <w:rPr>
                <w:rFonts w:ascii="楷体_GB2312" w:eastAsia="楷体_GB2312" w:cs="楷体_GB2312"/>
                <w:b/>
                <w:sz w:val="20"/>
                <w:szCs w:val="20"/>
                <w:highlight w:val="none"/>
              </w:rPr>
              <w:t>】/年</w:t>
            </w:r>
            <w:r>
              <w:rPr>
                <w:rFonts w:hint="eastAsia" w:ascii="楷体_GB2312" w:eastAsia="楷体_GB2312" w:cs="楷体_GB2312"/>
                <w:b/>
                <w:sz w:val="20"/>
                <w:szCs w:val="20"/>
                <w:highlight w:val="none"/>
                <w:lang w:eastAsia="zh-CN"/>
              </w:rPr>
              <w:t>；</w:t>
            </w:r>
          </w:p>
          <w:p w14:paraId="0005DA40">
            <w:pPr>
              <w:snapToGrid w:val="0"/>
              <w:spacing w:line="300" w:lineRule="exact"/>
              <w:ind w:right="96" w:rightChars="40"/>
              <w:outlineLvl w:val="0"/>
              <w:rPr>
                <w:rFonts w:ascii="楷体_GB2312" w:eastAsia="楷体_GB2312" w:cs="楷体_GB2312"/>
                <w:b/>
                <w:sz w:val="20"/>
                <w:szCs w:val="20"/>
                <w:highlight w:val="none"/>
              </w:rPr>
            </w:pPr>
            <w:r>
              <w:rPr>
                <w:rFonts w:ascii="楷体_GB2312" w:eastAsia="楷体_GB2312" w:cs="楷体_GB2312"/>
                <w:b/>
                <w:sz w:val="20"/>
                <w:szCs w:val="20"/>
                <w:highlight w:val="none"/>
              </w:rPr>
              <w:t>5.</w:t>
            </w:r>
            <w:r>
              <w:rPr>
                <w:rFonts w:hint="eastAsia" w:ascii="楷体_GB2312" w:eastAsia="楷体_GB2312" w:cs="楷体_GB2312"/>
                <w:b/>
                <w:sz w:val="20"/>
                <w:szCs w:val="20"/>
                <w:highlight w:val="none"/>
              </w:rPr>
              <w:t>浮动管理费：</w:t>
            </w:r>
          </w:p>
          <w:p w14:paraId="00EF91D0">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rPr>
              <w:t>【A】类份额设立业绩比较基准，在产品到期日或提前终止日时，如计提浮动管理费前年化收益率超过【2.15%】的，管理人将收取超额部分的【50%】作为浮动管理费。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【B】类份额设立业绩比较基准，在产品到期日或提前终止日时，如计提浮动管理费前年化收益率超过【2.15%】的，管理人将收取超额部分的【50%】作为浮动管理费。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【C】类份额设立业绩比较基准，在产品到期日或提前终止日时，如计提浮动管理费前年化收益率超过【2.25%】的，管理人将收取超额部分的【50%】作为浮动管理费。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【D】类份额设立业绩比较基准，在产品到期日或提前终止日时，如计提浮动管理费前年化收益率超过【2.20%】的，管理人将收取超额部分的【50%】作为浮动管理费。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【G】类份额设立业绩比较基准，在产品到期日或提前终止日时，如计提浮动管理费前年化收益率超过【2.20%】的，管理人将收取超额部分的【50%】作为浮动管理费。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【M】类份额设立业绩比较基准，在产品到期日或提前终止日时，如计提浮动管理费前年化收益率超过【2.10%】的，管理人将收取超额部分的【50%】作为浮动管理费。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【N】类份额设立业绩比较基准，在产品到期日或提前终止日时，如计提浮动管理费前年化收益率超过【2.00%】的，管理人将收取超额部分的【50%】作为浮动管理费。</w:t>
            </w:r>
            <w:r>
              <w:rPr>
                <w:rFonts w:hint="eastAsia" w:ascii="楷体_GB2312" w:eastAsia="楷体_GB2312"/>
                <w:b/>
                <w:sz w:val="20"/>
                <w:szCs w:val="20"/>
                <w:highlight w:val="none"/>
              </w:rPr>
              <w:br w:type="textWrapping"/>
            </w:r>
            <w:r>
              <w:rPr>
                <w:rFonts w:hint="eastAsia" w:ascii="楷体_GB2312" w:eastAsia="楷体_GB2312"/>
                <w:b/>
                <w:sz w:val="20"/>
                <w:szCs w:val="20"/>
                <w:highlight w:val="none"/>
              </w:rPr>
              <w:t>【S】类份额设立业绩比较基准，在产品到期日或提前终止日时，如计提浮动管理费前年化收益率超过【2.20%】的，管理人将收取超额部分的【50%】作为浮动管理费。</w:t>
            </w:r>
          </w:p>
          <w:p w14:paraId="2FBF8D6D">
            <w:pPr>
              <w:snapToGrid w:val="0"/>
              <w:spacing w:line="300" w:lineRule="exact"/>
              <w:ind w:left="-2" w:leftChars="-1" w:right="53" w:rightChars="22"/>
              <w:outlineLvl w:val="0"/>
              <w:rPr>
                <w:rFonts w:hint="eastAsia" w:ascii="楷体_GB2312" w:eastAsia="楷体_GB2312"/>
                <w:b/>
                <w:sz w:val="20"/>
                <w:szCs w:val="20"/>
                <w:highlight w:val="none"/>
                <w:lang w:val="en-US" w:eastAsia="zh-CN"/>
              </w:rPr>
            </w:pPr>
            <w:r>
              <w:rPr>
                <w:rFonts w:hint="eastAsia" w:ascii="楷体_GB2312" w:eastAsia="楷体_GB2312" w:cs="楷体_GB2312"/>
                <w:b/>
                <w:color w:val="000000" w:themeColor="text1"/>
                <w:sz w:val="20"/>
                <w:szCs w:val="20"/>
                <w:highlight w:val="none"/>
                <w:lang w:val="en-US" w:eastAsia="zh-CN"/>
                <w14:textFill>
                  <w14:solidFill>
                    <w14:schemeClr w14:val="tx1"/>
                  </w14:solidFill>
                </w14:textFill>
              </w:rPr>
              <w:t>6</w:t>
            </w:r>
            <w:r>
              <w:rPr>
                <w:rFonts w:hint="eastAsia" w:ascii="楷体_GB2312" w:eastAsia="楷体_GB2312"/>
                <w:b/>
                <w:sz w:val="20"/>
                <w:szCs w:val="20"/>
                <w:highlight w:val="none"/>
                <w:lang w:val="en-US" w:eastAsia="zh-CN"/>
              </w:rPr>
              <w:t>.</w:t>
            </w:r>
            <w:r>
              <w:rPr>
                <w:rFonts w:hint="eastAsia" w:ascii="楷体_GB2312" w:eastAsia="楷体_GB2312"/>
                <w:b/>
                <w:sz w:val="20"/>
                <w:szCs w:val="20"/>
                <w:highlight w:val="none"/>
              </w:rPr>
              <w:t>信息技术服务费：费率【0.002%】/年</w:t>
            </w:r>
            <w:r>
              <w:rPr>
                <w:rFonts w:hint="eastAsia" w:ascii="楷体_GB2312" w:eastAsia="楷体_GB2312"/>
                <w:b/>
                <w:sz w:val="20"/>
                <w:szCs w:val="20"/>
                <w:highlight w:val="none"/>
                <w:lang w:eastAsia="zh-CN"/>
              </w:rPr>
              <w:t>。</w:t>
            </w:r>
          </w:p>
          <w:p w14:paraId="6B3870C6">
            <w:pPr>
              <w:snapToGrid w:val="0"/>
              <w:spacing w:line="300" w:lineRule="exact"/>
              <w:ind w:left="-2" w:leftChars="-1" w:right="53" w:rightChars="22"/>
              <w:outlineLvl w:val="0"/>
              <w:rPr>
                <w:rFonts w:ascii="楷体_GB2312" w:eastAsia="楷体_GB2312" w:cs="楷体_GB2312"/>
                <w:b/>
                <w:color w:val="000000" w:themeColor="text1"/>
                <w:sz w:val="20"/>
                <w:szCs w:val="20"/>
                <w:highlight w:val="none"/>
                <w14:textFill>
                  <w14:solidFill>
                    <w14:schemeClr w14:val="tx1"/>
                  </w14:solidFill>
                </w14:textFill>
              </w:rPr>
            </w:pPr>
          </w:p>
          <w:p w14:paraId="05FE616E">
            <w:pPr>
              <w:snapToGrid w:val="0"/>
              <w:spacing w:line="300" w:lineRule="exact"/>
              <w:ind w:left="-2" w:leftChars="-1" w:right="53" w:rightChars="22"/>
              <w:outlineLvl w:val="0"/>
              <w:rPr>
                <w:rFonts w:ascii="楷体_GB2312" w:eastAsia="楷体_GB2312" w:cs="楷体_GB2312"/>
                <w:b/>
                <w:color w:val="000000" w:themeColor="text1"/>
                <w:sz w:val="20"/>
                <w:szCs w:val="20"/>
                <w:highlight w:val="none"/>
                <w14:textFill>
                  <w14:solidFill>
                    <w14:schemeClr w14:val="tx1"/>
                  </w14:solidFill>
                </w14:textFill>
              </w:rPr>
            </w:pPr>
            <w:r>
              <w:rPr>
                <w:rFonts w:hint="eastAsia" w:ascii="楷体_GB2312" w:eastAsia="楷体_GB2312" w:cs="楷体_GB2312"/>
                <w:b/>
                <w:color w:val="000000" w:themeColor="text1"/>
                <w:sz w:val="20"/>
                <w:szCs w:val="20"/>
                <w:highlight w:val="none"/>
                <w14:textFill>
                  <w14:solidFill>
                    <w14:schemeClr w14:val="tx1"/>
                  </w14:solidFill>
                </w14:textFill>
              </w:rPr>
              <w:t>以上1-</w:t>
            </w:r>
            <w:r>
              <w:rPr>
                <w:rFonts w:hint="eastAsia" w:ascii="楷体_GB2312" w:eastAsia="楷体_GB2312" w:cs="楷体_GB2312"/>
                <w:b/>
                <w:color w:val="000000" w:themeColor="text1"/>
                <w:sz w:val="20"/>
                <w:szCs w:val="20"/>
                <w:highlight w:val="none"/>
                <w:lang w:val="en-US" w:eastAsia="zh-CN"/>
                <w14:textFill>
                  <w14:solidFill>
                    <w14:schemeClr w14:val="tx1"/>
                  </w14:solidFill>
                </w14:textFill>
              </w:rPr>
              <w:t>6</w:t>
            </w:r>
            <w:r>
              <w:rPr>
                <w:rFonts w:hint="eastAsia" w:ascii="楷体_GB2312" w:eastAsia="楷体_GB2312" w:cs="楷体_GB2312"/>
                <w:b/>
                <w:color w:val="000000" w:themeColor="text1"/>
                <w:sz w:val="20"/>
                <w:szCs w:val="20"/>
                <w:highlight w:val="none"/>
                <w14:textFill>
                  <w14:solidFill>
                    <w14:schemeClr w14:val="tx1"/>
                  </w14:solidFill>
                </w14:textFill>
              </w:rPr>
              <w:t>项费用金额均四舍五入保留小数点后【2】位。</w:t>
            </w:r>
          </w:p>
          <w:p w14:paraId="1A0F7EF0">
            <w:pPr>
              <w:snapToGrid w:val="0"/>
              <w:spacing w:line="300" w:lineRule="exact"/>
              <w:ind w:left="-2" w:leftChars="-1" w:right="53" w:rightChars="22"/>
              <w:outlineLvl w:val="0"/>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具体请参见本说明书“</w:t>
            </w:r>
            <w:r>
              <w:rPr>
                <w:rFonts w:hint="eastAsia" w:ascii="黑体" w:eastAsia="黑体" w:cs="黑体"/>
                <w:b/>
                <w:color w:val="000000" w:themeColor="text1"/>
                <w:sz w:val="20"/>
                <w:szCs w:val="20"/>
                <w:highlight w:val="none"/>
                <w14:textFill>
                  <w14:solidFill>
                    <w14:schemeClr w14:val="tx1"/>
                  </w14:solidFill>
                </w14:textFill>
              </w:rPr>
              <w:t>八、理财产品的费用</w:t>
            </w:r>
            <w:r>
              <w:rPr>
                <w:rFonts w:ascii="楷体_GB2312" w:eastAsia="楷体_GB2312" w:cs="楷体_GB2312"/>
                <w:b/>
                <w:color w:val="000000" w:themeColor="text1"/>
                <w:sz w:val="20"/>
                <w:szCs w:val="20"/>
                <w:highlight w:val="none"/>
                <w14:textFill>
                  <w14:solidFill>
                    <w14:schemeClr w14:val="tx1"/>
                  </w14:solidFill>
                </w14:textFill>
              </w:rPr>
              <w:t>”部分。</w:t>
            </w:r>
          </w:p>
          <w:p w14:paraId="00B37122">
            <w:pPr>
              <w:spacing w:line="300" w:lineRule="exact"/>
              <w:ind w:right="36" w:rightChars="15"/>
              <w:jc w:val="both"/>
              <w:rPr>
                <w:rFonts w:ascii="楷体_GB2312" w:eastAsia="楷体_GB2312" w:cs="楷体_GB2312"/>
                <w:b/>
                <w:color w:val="000000" w:themeColor="text1"/>
                <w:sz w:val="20"/>
                <w:szCs w:val="20"/>
                <w:highlight w:val="none"/>
                <w14:textFill>
                  <w14:solidFill>
                    <w14:schemeClr w14:val="tx1"/>
                  </w14:solidFill>
                </w14:textFill>
              </w:rPr>
            </w:pPr>
            <w:r>
              <w:rPr>
                <w:rFonts w:hint="eastAsia" w:ascii="楷体_GB2312" w:eastAsia="楷体_GB2312" w:cs="楷体_GB2312"/>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2200" w:type="dxa"/>
            <w:vAlign w:val="center"/>
          </w:tcPr>
          <w:p w14:paraId="7B319979">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理财产品</w:t>
            </w:r>
            <w:r>
              <w:rPr>
                <w:rFonts w:ascii="Times New Roman" w:eastAsia="楷体_GB2312" w:cs="楷体_GB2312"/>
                <w:color w:val="000000" w:themeColor="text1"/>
                <w:sz w:val="20"/>
                <w:szCs w:val="20"/>
                <w:highlight w:val="none"/>
                <w14:textFill>
                  <w14:solidFill>
                    <w14:schemeClr w14:val="tx1"/>
                  </w14:solidFill>
                </w14:textFill>
              </w:rPr>
              <w:t>管理人</w:t>
            </w:r>
            <w:r>
              <w:rPr>
                <w:rFonts w:hint="eastAsia" w:ascii="Times New Roman" w:eastAsia="楷体_GB2312" w:cs="楷体_GB2312"/>
                <w:color w:val="000000" w:themeColor="text1"/>
                <w:sz w:val="20"/>
                <w:szCs w:val="20"/>
                <w:highlight w:val="none"/>
                <w14:textFill>
                  <w14:solidFill>
                    <w14:schemeClr w14:val="tx1"/>
                  </w14:solidFill>
                </w14:textFill>
              </w:rPr>
              <w:t>/产品</w:t>
            </w:r>
            <w:r>
              <w:rPr>
                <w:rFonts w:ascii="Times New Roman" w:eastAsia="楷体_GB2312" w:cs="楷体_GB2312"/>
                <w:color w:val="000000" w:themeColor="text1"/>
                <w:sz w:val="20"/>
                <w:szCs w:val="20"/>
                <w:highlight w:val="none"/>
                <w14:textFill>
                  <w14:solidFill>
                    <w14:schemeClr w14:val="tx1"/>
                  </w14:solidFill>
                </w14:textFill>
              </w:rPr>
              <w:t>管理</w:t>
            </w:r>
            <w:r>
              <w:rPr>
                <w:rFonts w:hint="eastAsia" w:ascii="Times New Roman" w:eastAsia="楷体_GB2312" w:cs="楷体_GB2312"/>
                <w:color w:val="000000" w:themeColor="text1"/>
                <w:sz w:val="20"/>
                <w:szCs w:val="20"/>
                <w:highlight w:val="none"/>
                <w14:textFill>
                  <w14:solidFill>
                    <w14:schemeClr w14:val="tx1"/>
                  </w14:solidFill>
                </w14:textFill>
              </w:rPr>
              <w:t>人/管理人</w:t>
            </w:r>
            <w:r>
              <w:rPr>
                <w:rFonts w:ascii="Times New Roman" w:eastAsia="楷体_GB2312" w:cs="楷体_GB2312"/>
                <w:color w:val="000000" w:themeColor="text1"/>
                <w:sz w:val="20"/>
                <w:szCs w:val="20"/>
                <w:highlight w:val="none"/>
                <w14:textFill>
                  <w14:solidFill>
                    <w14:schemeClr w14:val="tx1"/>
                  </w14:solidFill>
                </w14:textFill>
              </w:rPr>
              <w:t>、</w:t>
            </w:r>
            <w:r>
              <w:rPr>
                <w:rFonts w:hint="eastAsia" w:ascii="Times New Roman" w:eastAsia="楷体_GB2312" w:cs="楷体_GB2312"/>
                <w:color w:val="000000" w:themeColor="text1"/>
                <w:sz w:val="20"/>
                <w:szCs w:val="20"/>
                <w:highlight w:val="none"/>
                <w14:textFill>
                  <w14:solidFill>
                    <w14:schemeClr w14:val="tx1"/>
                  </w14:solidFill>
                </w14:textFill>
              </w:rPr>
              <w:t>收益</w:t>
            </w:r>
            <w:r>
              <w:rPr>
                <w:rFonts w:ascii="Times New Roman" w:eastAsia="楷体_GB2312" w:cs="楷体_GB2312"/>
                <w:color w:val="000000" w:themeColor="text1"/>
                <w:sz w:val="20"/>
                <w:szCs w:val="20"/>
                <w:highlight w:val="none"/>
                <w14:textFill>
                  <w14:solidFill>
                    <w14:schemeClr w14:val="tx1"/>
                  </w14:solidFill>
                </w14:textFill>
              </w:rPr>
              <w:t>计算方</w:t>
            </w:r>
          </w:p>
        </w:tc>
        <w:tc>
          <w:tcPr>
            <w:tcW w:w="6328" w:type="dxa"/>
            <w:vAlign w:val="center"/>
          </w:tcPr>
          <w:p w14:paraId="3ACAFC2D">
            <w:pPr>
              <w:spacing w:line="300" w:lineRule="atLeast"/>
              <w:ind w:left="-2" w:right="31"/>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企业名称：【信银理财有限责任公司】</w:t>
            </w:r>
          </w:p>
          <w:p w14:paraId="1EC9DD74">
            <w:pPr>
              <w:spacing w:line="300" w:lineRule="atLeast"/>
              <w:ind w:left="-2" w:right="31"/>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住所：【上海市黄浦区中山东二路600号1幢35层、36层】</w:t>
            </w:r>
          </w:p>
          <w:p w14:paraId="61DB60F5">
            <w:pPr>
              <w:spacing w:line="300" w:lineRule="atLeast"/>
              <w:ind w:left="-2" w:leftChars="0" w:right="31" w:right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客户服务热线：【950950】</w:t>
            </w:r>
          </w:p>
        </w:tc>
      </w:tr>
      <w:tr w14:paraId="5B6D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2200" w:type="dxa"/>
            <w:vAlign w:val="center"/>
          </w:tcPr>
          <w:p w14:paraId="53F3AACF">
            <w:pPr>
              <w:spacing w:line="300" w:lineRule="exact"/>
              <w:ind w:left="-2" w:leftChars="-1" w:right="36" w:rightChars="15"/>
              <w:rPr>
                <w:rFonts w:hint="eastAsia"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lang w:val="en-US" w:eastAsia="zh-CN"/>
                <w14:textFill>
                  <w14:solidFill>
                    <w14:schemeClr w14:val="tx1"/>
                  </w14:solidFill>
                </w14:textFill>
              </w:rPr>
              <w:t>管理人主要职责</w:t>
            </w:r>
          </w:p>
        </w:tc>
        <w:tc>
          <w:tcPr>
            <w:tcW w:w="6328" w:type="dxa"/>
            <w:vAlign w:val="center"/>
          </w:tcPr>
          <w:p w14:paraId="786DC71C">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依法募集资金，办理产品份额的发售和登记事宜；</w:t>
            </w:r>
          </w:p>
          <w:p w14:paraId="5D6703E1">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办理产品登记备案或者注册手续；</w:t>
            </w:r>
          </w:p>
          <w:p w14:paraId="7BDE41CB">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对所管理的不同产品受托财产分别管理、分别记账，进行投资；</w:t>
            </w:r>
          </w:p>
          <w:p w14:paraId="4BF702AE">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按照产品合同的约定确定收益分配方案，及时向投资者分配收益；</w:t>
            </w:r>
          </w:p>
          <w:p w14:paraId="258E0354">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进行产品会计核算并编制产品财务会计报告；</w:t>
            </w:r>
          </w:p>
          <w:p w14:paraId="4658768D">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依法计算并披露产品净值或者投资收益情况，确定申购、赎回价格；</w:t>
            </w:r>
          </w:p>
          <w:p w14:paraId="335BC975">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办理与受托财产管理业务活动有关的信息披露事项；</w:t>
            </w:r>
          </w:p>
          <w:p w14:paraId="4156FF0B">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保存受托财产管理业务活动的记录、账册、报表和其他相关资料；</w:t>
            </w:r>
          </w:p>
          <w:p w14:paraId="473B81A1">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以管理人名义，代表投资者利益行使诉讼权利或者实施其他法律行为；</w:t>
            </w:r>
          </w:p>
          <w:p w14:paraId="7DD14248">
            <w:pPr>
              <w:numPr>
                <w:ilvl w:val="0"/>
                <w:numId w:val="3"/>
              </w:numPr>
              <w:spacing w:line="300" w:lineRule="atLeast"/>
              <w:ind w:left="425" w:right="31"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在兑付受托资金及收益时，应当保证受托资金及收益返回委托人的原账户、同名账户或者合同约定的受益人账户；</w:t>
            </w:r>
          </w:p>
          <w:p w14:paraId="55EED232">
            <w:pPr>
              <w:numPr>
                <w:ilvl w:val="0"/>
                <w:numId w:val="3"/>
              </w:numPr>
              <w:spacing w:line="300" w:lineRule="atLeast"/>
              <w:ind w:left="425" w:right="31" w:rightChars="0" w:hanging="425"/>
              <w:rPr>
                <w:rFonts w:hint="eastAsia"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国家金融监督管理总局规定的其他职责。</w:t>
            </w:r>
          </w:p>
        </w:tc>
      </w:tr>
      <w:tr w14:paraId="68AD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9A16B15">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销售机构</w:t>
            </w:r>
          </w:p>
        </w:tc>
        <w:tc>
          <w:tcPr>
            <w:tcW w:w="3709" w:type="pct"/>
            <w:vAlign w:val="center"/>
          </w:tcPr>
          <w:p w14:paraId="0CE896E3">
            <w:pPr>
              <w:spacing w:line="300" w:lineRule="atLeast"/>
              <w:ind w:left="-2" w:right="31"/>
              <w:rPr>
                <w:rFonts w:ascii="楷体_GB2312" w:eastAsia="楷体_GB2312" w:cs="楷体_GB2312"/>
                <w:sz w:val="20"/>
                <w:szCs w:val="20"/>
                <w:highlight w:val="none"/>
              </w:rPr>
            </w:pPr>
            <w:r>
              <w:rPr>
                <w:rFonts w:hint="eastAsia" w:ascii="楷体_GB2312" w:eastAsia="楷体_GB2312" w:cs="楷体_GB2312"/>
                <w:sz w:val="20"/>
                <w:szCs w:val="20"/>
                <w:highlight w:val="none"/>
              </w:rPr>
              <w:t>【A】类份额（份额代码【AF266319A】）合作销售机构信息：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【B】类份额（份额代码【AF266319B】）合作销售机构信息：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1.企业名称：【三原县农村信用合作联社】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住所：【陕西省咸阳市三原县宴友思大街中段】</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2.企业名称：【乾县农村信用合作联社】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住所：【陕西省咸阳市乾县西兰大街中段】</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3.企业名称：【兴平市农村信用合作联社】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住所：【陕西省咸阳市兴平市金城路】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4.企业名称：【陕西彬州农村商业银行股份有限公司】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住所：【陕西省咸阳市彬州市城关镇西大街】</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5.企业名称：【旬邑县农村信用合作联社】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住所：【陕西省咸阳市旬邑县南大街】</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6.企业名称：【武功县农村信用合作联社】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住所：【陕西省咸阳市武功县普集镇后稷路】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7.企业名称：【永寿县农村信用合作联社】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住所：【陕西省咸阳市永寿县监军镇西兰路中段】</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8.企业名称：【泾阳县农村信用合作联社】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住所：【陕西省咸阳市泾阳县泾干大街19号】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9.企业名称：【淳化县农村信用合作联社】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住所：【陕西省咸阳市淳化县南新街】</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10.企业名称：【礼泉县农村信用合作联社】</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住所：【陕西省咸阳市礼泉县建设路南段】</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11.企业名称：【陕西咸阳农村商业银行股份有限公司】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住所：【陕西省咸阳市秦都区文兴路智汇原8号商业楼1单元1层4号、5号、6号】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12.企业名称：【陕西长武农村商业银行股份有限公司】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住所：【陕西省咸阳市长武县城西门什字北街002号】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13.企业名称：【陕西杨凌农村商业银行股份有限公司】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住所：【陕西省杨凌示范区康乐路43号】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14.企业名称：【陕西定边农村商业银行股份有限公司】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住所：【陕西省榆林市定边县西环路体育中心对面】</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15.企业名称：【陕西府谷农村商业银行股份有限公司】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住所：【陕西省榆林市府谷县新区营盘中路】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16.企业名称：【陕西榆林农村商业银行股份有限公司】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住所：【陕西省榆林市榆阳区长城中路2号】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17.企业名称：【陕西清涧农村商业银行股份有限公司】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住所：【陕西省榆林市清涧县西城区】</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18.企业名称：【陕西神木农村商业银行股份有限公司】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住所：【陕西省榆林市神木市神木镇东兴街中段】</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19.企业名称：【陕西米脂农村商业银行股份有限公司】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住所：【陕西省榆林市米脂县迎宾大道南侧园艺路东侧】</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20.企业名称：【陕西绥德农村商业银行股份有限公司】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住所：【陕西省榆林市绥德县北门街26号】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客户服务热线：【029-96262】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21.企业名称：【江苏扬中农村商业银行股份有限公司】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住所：【扬中市扬子西路79号】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客户服务热线：【0511-96008】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22.企业名称：【江苏射阳农村商业银行股份有限公司】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住所：【江苏省盐城市射阳县合德镇解放路385号】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客户服务热线：【0515-69966666】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23.企业名称：【浙江东阳农村商业银行股份有限公司】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住所：【东阳市双岘路18号】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24.企业名称：【浙江乐清农村商业银行股份有限公司】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住所：【乐清市城南街道伯乐西路99号】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25.企业名称：【宁波余姚农村商业银行股份有限公司】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住所：【余姚市新建路69号】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26.企业名称：【宁波镇海农村商业银行股份有限公司】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住所：【宁波市镇海区骆驼街道镇海大道中段788号】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27.企业名称：【宁波宁海农村商业银行股份有限公司】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住所：【宁海县跃龙街道学勉路1号（金融中心）】</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28.企业名称：【浙江丽水莲都农村商业银行股份有限公司】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住所：【浙江丽水市解放街438号】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29.企业名称：【浙江三门农村商业银行股份有限公司】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住所：【浙江省三门县海游街道上洋路68号】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30.企业名称：【浙江衢州柯城农村商业银行股份有限公司】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住所：【浙江省上街92号】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31.企业名称：【浙江云和农村商业银行股份有限公司】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住所：【浙江省丽水市云和县浮云街道新建路72号】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32.企业名称：【浙江庆元农村商业银行股份有限公司】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住所：【浙江省丽水市庆元县濛洲街道云鹤路3号】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33.企业名称：【浙江景宁农村商业银行股份有限公司】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住所：【浙江省丽水市景宁畲族自治县红星街道人民中路201号】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34.企业名称：【浙江松阳农村商业银行股份有限公司】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住所：【浙江省丽水市松阳县水南街道要津南路71号】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35.企业名称：【浙江缙云农村商业银行股份有限公司】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住所：【浙江省丽水市缙云县五云镇新区仙都路68号】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36.企业名称：【浙江遂昌农村商业银行股份有限公司】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住所：【浙江省丽水市遂昌县妙高街道溪边路100号】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37.企业名称：【浙江龙泉农村商业银行股份有限公司】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住所：【浙江省丽水市龙泉市中山东路101号】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38.企业名称：【浙江义乌农村商业银行股份有限公司】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住所：【浙江省义乌市福田街道城北路677号】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39.企业名称：【浙江仙居农村商业银行股份有限公司】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住所：【浙江省仙居县南峰街道穿城中路21号】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40.企业名称：【浙江兰溪农村商业银行股份有限公司】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住所：【浙江省兰溪市兰江街道丹溪大道18号】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41.企业名称：【浙江临海农村商业银行股份有限公司】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住所：【浙江省台州市临海市大洋街道河阳路299号】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42.企业名称：【浙江台州椒江农村商业银行股份有限公司】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住所：【浙江省台州市椒江区工人东路322号】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43.企业名称：【浙江温岭农村商业银行股份有限公司】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住所：【浙江省台州市温岭市城东街道下保路100号】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44.企业名称：【浙江台州路桥农村商业银行股份有限公司】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住所：【浙江省台州市路桥区西路桥大道328号】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45.企业名称：【浙江台州黄岩农村商业银行股份有限公司】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住所：【浙江省台州市黄岩区洞天路88号】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46.企业名称：【浙江嘉善农村商业银行股份有限公司】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住所：【浙江省嘉兴市嘉善县罗星街道车站南路999号】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47.企业名称：【浙江桐乡农村商业银行股份有限公司】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住所：【浙江省嘉兴市桐乡市梧桐街道校场东路59号】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48.企业名称：【浙江禾城农村商业银行股份有限公司】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住所：【浙江省嘉兴市经济技术开发区文昌路1229号】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49.企业名称：【浙江天台农村商业银行股份有限公司】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住所：【浙江省天台县赤城街道飞鹤路358号】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50.企业名称：【宁波北仑农村商业银行股份有限公司】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住所：【浙江省宁波市北仑区新碶宝山路69号（凤凰国际商务广场）1幢69号、63号（凤凰国际商务广场）1幢（2-26层）】</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51.企业名称：【宁波奉化农村商业银行股份有限公司】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住所：【浙江省宁波市奉化区锦屏街道中山路27号】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52.企业名称：【宁波甬城农村商业银行股份有限公司】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住所：【浙江省宁波市江北区育才路15、17号】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53.企业名称：【浙江嵊州农村商业银行股份有限公司】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住所：【浙江省嵊州市剡湖街道官河路398号】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54.企业名称：【浙江嵊泗农村商业银行股份有限公司】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住所：【浙江省嵊泗县菜园镇沙河路110号】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55.企业名称：【浙江平湖农村商业银行股份有限公司】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住所：【浙江省平湖市当湖街道胜利路518号】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56.企业名称：【浙江平阳农村商业银行股份有限公司】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住所：【浙江省平阳县鳌江镇车站大道999号】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57.企业名称：【浙江建德农村商业银行股份有限公司】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住所：【浙江省建德市新安江街道江滨中路176号】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58.企业名称：【浙江德清农村商业银行股份有限公司】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住所：【浙江省德清县武康街道沈长圩街50号】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59.企业名称：【宁波慈溪农村商业银行股份有限公司】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住所：【浙江省慈溪市浒山街道南城路 25 号、59 号 5-6 楼】</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60.企业名称：【浙江新昌农村商业银行股份有限公司】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住所：【浙江省新昌县七星街道七星路18号】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61.企业名称：【杭州联合农村商业银行股份有限公司】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住所：【浙江省杭州市上城区建国中路99号】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62.企业名称：【浙江临安农村商业银行股份有限公司】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住所：【浙江省杭州市临安区锦城街道城中街442号】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63.企业名称：【浙江杭州余杭农村商业银行股份有限公司】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住所：【浙江省杭州市临平区南苑街道南大街72号】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64.企业名称：【浙江富阳农村商业银行股份有限公司】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住所：【浙江省杭州市富阳区鹿山街道依江路501号第1幢】</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65.企业名称：【浙江桐庐农村商业银行股份有限公司】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住所：【浙江省杭州市桐庐县城迎春南路278号】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66.企业名称：【浙江淳安农村商业银行股份有限公司】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住所：【浙江省杭州市淳安县千岛湖镇环湖北路369号】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67.企业名称：【浙江萧山农村商业银行股份有限公司】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住所：【浙江省杭州市萧山区人民路258号】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68.企业名称：【浙江武义农村商业银行股份有限公司】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住所：【浙江省武义县城武阳中路37号】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69.企业名称：【浙江江山农村商业银行股份有限公司】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住所：【浙江省江山市双塔街道江滨路188号】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70.企业名称：【浙江浦江农村商业银行股份有限公司】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住所：【浙江省浦江县人民东路90号】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71.企业名称：【浙江海宁农村商业银行股份有限公司】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住所：【浙江省海宁市海洲街道钱江西路278号】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72.企业名称：【浙江海盐农村商业银行股份有限公司】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住所：【浙江省海盐县武原街道枣园西路176号】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73.企业名称：【浙江文成农村商业银行股份有限公司】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住所：【浙江省温州市文成县大峃镇伯温路6号】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74.企业名称：【浙江永嘉农村商业银行股份有限公司】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住所：【浙江省温州市永嘉县瓯北街道阳光大道3918号101室、201室、301室、401室、501室、1101室、1801室、2201室】</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75.企业名称：【浙江泰顺农村商业银行股份有限公司】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住所：【浙江省温州市泰顺县罗阳镇新城区文祥大道181号】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76.企业名称：【浙江温州瓯海农村商业银行股份有限公司】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住所：【浙江省温州市瓯海区瓯海大道989号】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77.企业名称：【浙江温州鹿城农村商业银行股份有限公司】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住所：【浙江省温州市鹿城区会展路1500号富银大厦】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78.企业名称：【浙江温州龙湾农村商业银行股份有限公司】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住所：【浙江省温州市龙湾区永中街道永宁西路555号】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79.企业名称：【湖州吴兴农村商业银行股份有限公司】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住所：【浙江省湖州市东街55号】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80.企业名称：【浙江南浔农村商业银行股份有限公司】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住所：【浙江省湖州市南浔区南浔镇人瑞路1188号】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81.企业名称：【浙江安吉农村商业银行股份有限公司】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住所：【浙江省湖州市安吉县昌硕街道昌硕东路1号(自主申报)】</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82.企业名称：【浙江长兴农村商业银行股份有限公司】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住所：【浙江省湖州市长兴县太湖街道明珠路1298号】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83.企业名称：【浙江玉环农村商业银行股份有限公司】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住所：【浙江省玉环市玉城街道珠港大道26号】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84.企业名称：【浙江上虞农村商业银行股份有限公司】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住所：【浙江省百官街道德盛路55号】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85.企业名称：【浙江绍兴恒信农村商业银行股份有限公司】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住所：【浙江省绍兴市中兴中路159号】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86.企业名称：【浙江绍兴瑞丰农村商业银行股份有限公司】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住所：【浙江省绍兴市柯桥区柯桥笛扬路1363号】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87.企业名称：【浙江舟山定海海洋农村商业银行股份有限公司】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住所：【浙江省舟山市定海区环城东路81号】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88.企业名称：【浙江岱山农村商业银行股份有限公司】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住所：【浙江省舟山市岱山县高亭镇衢山大道1009号(自主申报)】</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89.企业名称：【浙江舟山普陀农村商业银行股份有限公司】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住所：【浙江省舟山市普陀区东港街道麒麟街225号（自贸试验区内）】</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90.企业名称：【浙江苍南农村商业银行股份有限公司】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住所：【浙江省苍南县灵溪镇人民大道425号】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91.企业名称：【浙江常山农村商业银行股份有限公司】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住所：【浙江省衢州市常山县天马街道人民路125号】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92.企业名称：【浙江开化农村商业银行股份有限公司】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住所：【浙江省衢州市开化县华埠镇永吉二路8号】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93.企业名称：【浙江衢州衢江农村商业银行股份有限公司】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住所：【浙江省衢州市衢江区樟潭街道信安东路37号】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94.企业名称：【浙江龙游农村商业银行股份有限公司】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住所：【浙江省衢州市龙游县龙洲街道荣昌大道683、685、687号】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95.企业名称：【浙江诸暨农村商业银行股份有限公司】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住所：【浙江省诸暨市暨阳街道大桥东路2号】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96.企业名称：【浙江金华成泰农村商业银行股份有限公司】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住所：【浙江省金华市八一南街123号】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97.企业名称：【浙江永康农村商业银行股份有限公司】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住所：【浙江省金华市永康市九铃东路3259号】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98.企业名称：【浙江青田农村商业银行股份有限公司】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住所：【浙江省青田县鹤城街道鹤城东路180号】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99.企业名称：【浙江瑞安农村商业银行股份有限公司】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住所：【瑞安市安阳街道万松东路148号】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客户服务热线：【0571-96596】</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100.企业名称：【张家口银行股份有限公司】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住所：【河北省张家口市桥东区胜利北路51号】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客户服务热线：【400-6896368】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101.企业名称：【江苏宜兴农村商业银行股份有限公司】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住所：【江苏省宜兴市宜城街道解放东路579号】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102.企业名称：【江苏民丰农村商业银行股份有限公司】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住所：【江苏省宿迁市宿城区高宝湖路1号】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103.企业名称：【江苏响水农村商业银行股份有限公司】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住所：【江苏省盐城市响水县双园路84号】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【C】类份额（份额代码【AF266319C】）合作销售机构信息：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【D】类份额（份额代码【AF266319D】）合作销售机构信息：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【G】类份额（份额代码【AF266319G】）合作销售机构信息：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【M】类份额（份额代码【AF266319M】）合作销售机构信息：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1.企业名称：【江苏高淳农村商业银行股份有限公司】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住所：【江苏省南京市高淳区宝塔路123号】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客户服务热线：【025-96008】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2.企业名称：【内蒙古农村商业银行股份有限公司】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住所：【内蒙古自治区呼和浩特市赛罕区陶利西街1号】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客户服务热线：【0471-96688】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3.企业名称：【江苏句容农村商业银行股份有限公司】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住所：【江苏省句容市福地东路66号】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客户服务热线：【0511-96008】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4.企业名称：【江苏建湖农村商业银行股份有限公司】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住所：【江苏省建湖县湖南中路958号】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客户服务热线：【0515-96008】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5.企业名称：【江苏阜宁农村商业银行股份有限公司】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住所：【江苏省阜宁县城南新区上海路459号】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客户服务热线：【0515-96008】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6.企业名称：【江苏泰州农村商业银行股份有限公司】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住所：【江苏省泰州市海陵区西仓路36号】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客户服务热线：【0523-96008】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7.企业名称：【温州银行股份有限公司】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住所：【浙江省温州市鹿城区会展路1316号】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客户服务热线：【0577-96699】</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8.企业名称：【鄂尔多斯银行股份有限公司】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住所：【内蒙古自治区鄂尔多斯市东胜区乌审西街6号】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客户服务热线：【4000096622】</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9.企业名称：【江苏淮安农村商业银行股份有限公司】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住所：【江苏省淮安市清江浦区水渡口大道20号金融中心B1号楼】</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【N】类份额（份额代码【AF266319N】）合作销售机构信息：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1.企业名称：【江苏涟水农村商业银行股份有限公司】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住所：【淮安市涟水县涟城镇涟州路５号】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客户服务热线：【0517-96008】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2.企业名称：【湖南银行股份有限公司】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住所：【湖南省长沙市天心区湘江中路二段210号】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客户服务热线：【0731-96599】</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3.企业名称：【内蒙古银行股份有限公司】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住所：【内蒙古自治区呼和浩特市赛罕区腾飞南路33号】</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客户服务热线：【40005-96019】</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4.企业名称：【福建海峡银行股份有限公司】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住所：【福建省福州市台江区江滨中大道358号海峡银行大厦】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客户服务热线：【4008939999】</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【S】类份额（份额代码【AF266319S】）合作销售机构信息：</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1.企业名称：【中信银行股份有限公司】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 xml:space="preserve">    </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后续合作销售机构如有新增、减少和变更，信银理财将按照本说明书约定的方式告知投资者。</w:t>
            </w:r>
          </w:p>
        </w:tc>
      </w:tr>
      <w:tr w14:paraId="3BF4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E5FB7AD">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销售机构主要职责</w:t>
            </w:r>
          </w:p>
        </w:tc>
        <w:tc>
          <w:tcPr>
            <w:tcW w:w="3709" w:type="pct"/>
            <w:vAlign w:val="center"/>
          </w:tcPr>
          <w:p w14:paraId="0CCB71FB">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理财产品的宣传推广；</w:t>
            </w:r>
          </w:p>
          <w:p w14:paraId="7CDAF1AF">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投资者风险承受能力评估和投资者适当性管理；</w:t>
            </w:r>
          </w:p>
          <w:p w14:paraId="702914E0">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理财产品认</w:t>
            </w:r>
            <w:r>
              <w:rPr>
                <w:rFonts w:hint="eastAsia" w:ascii="楷体_GB2312" w:eastAsia="楷体_GB2312" w:cs="楷体_GB2312"/>
                <w:color w:val="000000" w:themeColor="text1"/>
                <w:sz w:val="20"/>
                <w:szCs w:val="20"/>
                <w:highlight w:val="none"/>
                <w14:textFill>
                  <w14:solidFill>
                    <w14:schemeClr w14:val="tx1"/>
                  </w14:solidFill>
                </w14:textFill>
              </w:rPr>
              <w:t>/申购、赎回等业务办理；</w:t>
            </w:r>
          </w:p>
          <w:p w14:paraId="4A9AD0E7">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协助管理人与投资者订立相关协议；</w:t>
            </w:r>
          </w:p>
          <w:p w14:paraId="2C74EE7E">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协助管理人与投资者沟通及进行信息披露；</w:t>
            </w:r>
          </w:p>
          <w:p w14:paraId="139ACE42">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接受投资者咨询、投诉和客户维护等销售服务；</w:t>
            </w:r>
          </w:p>
          <w:p w14:paraId="7AAA1E7A">
            <w:pPr>
              <w:pStyle w:val="20"/>
              <w:numPr>
                <w:ilvl w:val="0"/>
                <w:numId w:val="4"/>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国务院银行业监督管理机构规定的其他职责。</w:t>
            </w:r>
          </w:p>
        </w:tc>
      </w:tr>
      <w:tr w14:paraId="0D71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050542A">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托管人</w:t>
            </w:r>
          </w:p>
        </w:tc>
        <w:tc>
          <w:tcPr>
            <w:tcW w:w="3709" w:type="pct"/>
            <w:vAlign w:val="center"/>
          </w:tcPr>
          <w:p w14:paraId="7881BBFC">
            <w:pPr>
              <w:spacing w:line="300" w:lineRule="exact"/>
              <w:ind w:left="-2" w:leftChars="-1"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sz w:val="20"/>
                <w:szCs w:val="20"/>
                <w:highlight w:val="none"/>
              </w:rPr>
              <w:t>企业名称：【中信银行股份有限公司】</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住所：【北京市朝阳区光华路10号中信大厦】</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客户服务热线：【95558】</w:t>
            </w:r>
            <w:r>
              <w:rPr>
                <w:rFonts w:hint="eastAsia" w:ascii="楷体_GB2312" w:eastAsia="楷体_GB2312" w:cs="楷体_GB2312"/>
                <w:sz w:val="20"/>
                <w:szCs w:val="20"/>
                <w:highlight w:val="none"/>
              </w:rPr>
              <w:br w:type="textWrapping"/>
            </w:r>
            <w:r>
              <w:rPr>
                <w:rFonts w:hint="eastAsia" w:ascii="楷体_GB2312" w:eastAsia="楷体_GB2312" w:cs="楷体_GB2312"/>
                <w:sz w:val="20"/>
                <w:szCs w:val="20"/>
                <w:highlight w:val="none"/>
              </w:rP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p>
        </w:tc>
      </w:tr>
      <w:tr w14:paraId="5735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C8FAB92">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托管人职责</w:t>
            </w:r>
          </w:p>
        </w:tc>
        <w:tc>
          <w:tcPr>
            <w:tcW w:w="3709" w:type="pct"/>
            <w:vAlign w:val="center"/>
          </w:tcPr>
          <w:p w14:paraId="361E7CE9">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安全保管理财产品财产；</w:t>
            </w:r>
          </w:p>
          <w:p w14:paraId="783F89AB">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按照托管协议约定和管理人的投资指令，及时办理理财产品的清算、交割事宜，核对理财产品资金划拨记录；</w:t>
            </w:r>
          </w:p>
          <w:p w14:paraId="15E5EBA8">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建立与理财产品管理人的对账机制，复核、审查理财产品资金头寸、资产账目、</w:t>
            </w:r>
            <w:r>
              <w:rPr>
                <w:rFonts w:ascii="楷体_GB2312" w:eastAsia="楷体_GB2312" w:cs="楷体_GB2312"/>
                <w:color w:val="000000" w:themeColor="text1"/>
                <w:sz w:val="20"/>
                <w:szCs w:val="20"/>
                <w:highlight w:val="none"/>
                <w14:textFill>
                  <w14:solidFill>
                    <w14:schemeClr w14:val="tx1"/>
                  </w14:solidFill>
                </w14:textFill>
              </w:rPr>
              <w:t>资产净值</w:t>
            </w:r>
            <w:r>
              <w:rPr>
                <w:rFonts w:hint="eastAsia" w:ascii="楷体_GB2312" w:eastAsia="楷体_GB2312" w:cs="楷体_GB2312"/>
                <w:color w:val="000000" w:themeColor="text1"/>
                <w:sz w:val="20"/>
                <w:szCs w:val="20"/>
                <w:highlight w:val="none"/>
                <w14:textFill>
                  <w14:solidFill>
                    <w14:schemeClr w14:val="tx1"/>
                  </w14:solidFill>
                </w14:textFill>
              </w:rPr>
              <w:t>、理财产品份额认/申购、赎回价格等数据，及时核查认/申购、赎回以及投资资金的支付和到账情况；</w:t>
            </w:r>
          </w:p>
          <w:p w14:paraId="28C9B121">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监督理财产品投资运作，发现理财产品违反法律、行政法规、规章规定或合同约定进行投资的，应当拒绝执行，及时通知理财产品管理人并报告国务院银行业监督管理机构；</w:t>
            </w:r>
          </w:p>
          <w:p w14:paraId="4D3CA57E">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highlight w:val="none"/>
                <w14:textFill>
                  <w14:solidFill>
                    <w14:schemeClr w14:val="tx1"/>
                  </w14:solidFill>
                </w14:textFill>
              </w:rPr>
              <w:t>5</w:t>
            </w:r>
            <w:r>
              <w:rPr>
                <w:rFonts w:hint="eastAsia" w:ascii="楷体_GB2312" w:eastAsia="楷体_GB2312" w:cs="楷体_GB2312"/>
                <w:color w:val="000000" w:themeColor="text1"/>
                <w:sz w:val="20"/>
                <w:szCs w:val="20"/>
                <w:highlight w:val="none"/>
                <w14:textFill>
                  <w14:solidFill>
                    <w14:schemeClr w14:val="tx1"/>
                  </w14:solidFill>
                </w14:textFill>
              </w:rPr>
              <w:t>年以上；</w:t>
            </w:r>
          </w:p>
          <w:p w14:paraId="65054DC6">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20"/>
              <w:numPr>
                <w:ilvl w:val="0"/>
                <w:numId w:val="5"/>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国务院银行业监督管理机构规定的其他职责。</w:t>
            </w:r>
          </w:p>
        </w:tc>
      </w:tr>
      <w:tr w14:paraId="3191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5AE062F">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理财托管</w:t>
            </w:r>
            <w:r>
              <w:rPr>
                <w:rFonts w:ascii="Times New Roman" w:eastAsia="楷体_GB2312" w:cs="楷体_GB2312"/>
                <w:color w:val="000000" w:themeColor="text1"/>
                <w:sz w:val="20"/>
                <w:szCs w:val="20"/>
                <w:highlight w:val="none"/>
                <w14:textFill>
                  <w14:solidFill>
                    <w14:schemeClr w14:val="tx1"/>
                  </w14:solidFill>
                </w14:textFill>
              </w:rPr>
              <w:t>账户</w:t>
            </w:r>
          </w:p>
        </w:tc>
        <w:tc>
          <w:tcPr>
            <w:tcW w:w="3709" w:type="pct"/>
            <w:vAlign w:val="center"/>
          </w:tcPr>
          <w:p w14:paraId="382C2B1E">
            <w:pPr>
              <w:spacing w:line="300" w:lineRule="exact"/>
              <w:ind w:right="36" w:rightChars="15"/>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w:t>
            </w:r>
            <w:r>
              <w:rPr>
                <w:rFonts w:hint="eastAsia" w:ascii="楷体_GB2312" w:eastAsia="楷体_GB2312" w:cs="楷体_GB2312"/>
                <w:color w:val="000000" w:themeColor="text1"/>
                <w:sz w:val="20"/>
                <w:szCs w:val="20"/>
                <w:highlight w:val="none"/>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C53874">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投资者</w:t>
            </w:r>
            <w:r>
              <w:rPr>
                <w:rFonts w:ascii="Times New Roman" w:eastAsia="楷体_GB2312" w:cs="楷体_GB2312"/>
                <w:color w:val="000000" w:themeColor="text1"/>
                <w:sz w:val="20"/>
                <w:szCs w:val="20"/>
                <w:highlight w:val="none"/>
                <w14:textFill>
                  <w14:solidFill>
                    <w14:schemeClr w14:val="tx1"/>
                  </w14:solidFill>
                </w14:textFill>
              </w:rPr>
              <w:t>账户</w:t>
            </w:r>
          </w:p>
        </w:tc>
        <w:tc>
          <w:tcPr>
            <w:tcW w:w="3709" w:type="pct"/>
            <w:vAlign w:val="center"/>
          </w:tcPr>
          <w:p w14:paraId="5031BE54">
            <w:pPr>
              <w:pStyle w:val="20"/>
              <w:spacing w:line="300" w:lineRule="exact"/>
              <w:ind w:right="36" w:rightChars="15" w:firstLine="0"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投资者认购或申购（如有）理财</w:t>
            </w:r>
            <w:r>
              <w:rPr>
                <w:rFonts w:ascii="楷体_GB2312" w:eastAsia="楷体_GB2312" w:cs="楷体_GB2312"/>
                <w:color w:val="000000" w:themeColor="text1"/>
                <w:sz w:val="20"/>
                <w:szCs w:val="20"/>
                <w:highlight w:val="none"/>
                <w14:textFill>
                  <w14:solidFill>
                    <w14:schemeClr w14:val="tx1"/>
                  </w14:solidFill>
                </w14:textFill>
              </w:rPr>
              <w:t>产品</w:t>
            </w:r>
            <w:r>
              <w:rPr>
                <w:rFonts w:hint="eastAsia" w:ascii="楷体_GB2312" w:eastAsia="楷体_GB2312" w:cs="楷体_GB2312"/>
                <w:color w:val="000000" w:themeColor="text1"/>
                <w:sz w:val="20"/>
                <w:szCs w:val="20"/>
                <w:highlight w:val="none"/>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highlight w:val="none"/>
                <w14:textFill>
                  <w14:solidFill>
                    <w14:schemeClr w14:val="tx1"/>
                  </w14:solidFill>
                </w14:textFill>
              </w:rPr>
              <w:t>结算</w:t>
            </w:r>
            <w:r>
              <w:rPr>
                <w:rFonts w:hint="eastAsia" w:ascii="楷体_GB2312" w:eastAsia="楷体_GB2312" w:cs="楷体_GB2312"/>
                <w:color w:val="000000" w:themeColor="text1"/>
                <w:sz w:val="20"/>
                <w:szCs w:val="20"/>
                <w:highlight w:val="none"/>
                <w14:textFill>
                  <w14:solidFill>
                    <w14:schemeClr w14:val="tx1"/>
                  </w14:solidFill>
                </w14:textFill>
              </w:rPr>
              <w:t>账户。在本理财产品存续期间，除非经理财</w:t>
            </w:r>
            <w:r>
              <w:rPr>
                <w:rFonts w:ascii="楷体_GB2312" w:eastAsia="楷体_GB2312" w:cs="楷体_GB2312"/>
                <w:color w:val="000000" w:themeColor="text1"/>
                <w:sz w:val="20"/>
                <w:szCs w:val="20"/>
                <w:highlight w:val="none"/>
                <w14:textFill>
                  <w14:solidFill>
                    <w14:schemeClr w14:val="tx1"/>
                  </w14:solidFill>
                </w14:textFill>
              </w:rPr>
              <w:t>产品</w:t>
            </w:r>
            <w:r>
              <w:rPr>
                <w:rFonts w:hint="eastAsia" w:ascii="楷体_GB2312" w:eastAsia="楷体_GB2312" w:cs="楷体_GB2312"/>
                <w:color w:val="000000" w:themeColor="text1"/>
                <w:sz w:val="20"/>
                <w:szCs w:val="20"/>
                <w:highlight w:val="none"/>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C9168BC">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投资者</w:t>
            </w:r>
            <w:r>
              <w:rPr>
                <w:rFonts w:ascii="Times New Roman" w:eastAsia="楷体_GB2312" w:cs="楷体_GB2312"/>
                <w:color w:val="000000" w:themeColor="text1"/>
                <w:sz w:val="20"/>
                <w:szCs w:val="20"/>
                <w:highlight w:val="none"/>
                <w14:textFill>
                  <w14:solidFill>
                    <w14:schemeClr w14:val="tx1"/>
                  </w14:solidFill>
                </w14:textFill>
              </w:rPr>
              <w:t>理财账户</w:t>
            </w:r>
          </w:p>
        </w:tc>
        <w:tc>
          <w:tcPr>
            <w:tcW w:w="3709" w:type="pct"/>
            <w:vAlign w:val="center"/>
          </w:tcPr>
          <w:p w14:paraId="28841A80">
            <w:pPr>
              <w:pStyle w:val="20"/>
              <w:spacing w:line="300" w:lineRule="exact"/>
              <w:ind w:left="2" w:right="36" w:rightChars="15" w:firstLine="0"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7660C98">
            <w:pPr>
              <w:spacing w:line="300" w:lineRule="exact"/>
              <w:ind w:left="-2" w:leftChars="-1" w:right="36" w:rightChars="15"/>
              <w:rPr>
                <w:rFonts w:ascii="Times New Roman" w:eastAsia="楷体_GB2312" w:cs="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投资者</w:t>
            </w:r>
            <w:r>
              <w:rPr>
                <w:rFonts w:ascii="Times New Roman" w:eastAsia="楷体_GB2312" w:cs="楷体_GB2312"/>
                <w:color w:val="000000" w:themeColor="text1"/>
                <w:sz w:val="20"/>
                <w:szCs w:val="20"/>
                <w:highlight w:val="none"/>
                <w14:textFill>
                  <w14:solidFill>
                    <w14:schemeClr w14:val="tx1"/>
                  </w14:solidFill>
                </w14:textFill>
              </w:rPr>
              <w:t>理财交易账户</w:t>
            </w:r>
          </w:p>
        </w:tc>
        <w:tc>
          <w:tcPr>
            <w:tcW w:w="3709" w:type="pct"/>
            <w:vAlign w:val="center"/>
          </w:tcPr>
          <w:p w14:paraId="32D4C033">
            <w:pPr>
              <w:pStyle w:val="20"/>
              <w:spacing w:line="300" w:lineRule="exact"/>
              <w:ind w:left="2" w:right="36" w:rightChars="15" w:firstLine="0"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highlight w:val="none"/>
                <w14:textFill>
                  <w14:solidFill>
                    <w14:schemeClr w14:val="tx1"/>
                  </w14:solidFill>
                </w14:textFill>
              </w:rPr>
              <w:t>。具体</w:t>
            </w:r>
            <w:r>
              <w:rPr>
                <w:rFonts w:hint="eastAsia" w:ascii="楷体_GB2312" w:eastAsia="楷体_GB2312" w:cs="楷体_GB2312"/>
                <w:color w:val="000000" w:themeColor="text1"/>
                <w:sz w:val="20"/>
                <w:szCs w:val="20"/>
                <w:highlight w:val="none"/>
                <w14:textFill>
                  <w14:solidFill>
                    <w14:schemeClr w14:val="tx1"/>
                  </w14:solidFill>
                </w14:textFill>
              </w:rPr>
              <w:t>开户</w:t>
            </w:r>
            <w:r>
              <w:rPr>
                <w:rFonts w:ascii="楷体_GB2312" w:eastAsia="楷体_GB2312" w:cs="楷体_GB2312"/>
                <w:color w:val="000000" w:themeColor="text1"/>
                <w:sz w:val="20"/>
                <w:szCs w:val="20"/>
                <w:highlight w:val="none"/>
                <w14:textFill>
                  <w14:solidFill>
                    <w14:schemeClr w14:val="tx1"/>
                  </w14:solidFill>
                </w14:textFill>
              </w:rPr>
              <w:t>流程应</w:t>
            </w:r>
            <w:r>
              <w:rPr>
                <w:rFonts w:hint="eastAsia" w:ascii="楷体_GB2312" w:eastAsia="楷体_GB2312" w:cs="楷体_GB2312"/>
                <w:color w:val="000000" w:themeColor="text1"/>
                <w:sz w:val="20"/>
                <w:szCs w:val="20"/>
                <w:highlight w:val="none"/>
                <w14:textFill>
                  <w14:solidFill>
                    <w14:schemeClr w14:val="tx1"/>
                  </w14:solidFill>
                </w14:textFill>
              </w:rPr>
              <w:t>遵守</w:t>
            </w:r>
            <w:r>
              <w:rPr>
                <w:rFonts w:ascii="楷体_GB2312" w:eastAsia="楷体_GB2312" w:cs="楷体_GB2312"/>
                <w:color w:val="000000" w:themeColor="text1"/>
                <w:sz w:val="20"/>
                <w:szCs w:val="20"/>
                <w:highlight w:val="none"/>
                <w14:textFill>
                  <w14:solidFill>
                    <w14:schemeClr w14:val="tx1"/>
                  </w14:solidFill>
                </w14:textFill>
              </w:rPr>
              <w:t>信银理财或代销机构</w:t>
            </w:r>
            <w:r>
              <w:rPr>
                <w:rFonts w:hint="eastAsia" w:ascii="楷体_GB2312" w:eastAsia="楷体_GB2312" w:cs="楷体_GB2312"/>
                <w:color w:val="000000" w:themeColor="text1"/>
                <w:sz w:val="20"/>
                <w:szCs w:val="20"/>
                <w:highlight w:val="none"/>
                <w14:textFill>
                  <w14:solidFill>
                    <w14:schemeClr w14:val="tx1"/>
                  </w14:solidFill>
                </w14:textFill>
              </w:rPr>
              <w:t>网点</w:t>
            </w:r>
            <w:r>
              <w:rPr>
                <w:rFonts w:ascii="楷体_GB2312" w:eastAsia="楷体_GB2312" w:cs="楷体_GB2312"/>
                <w:color w:val="000000" w:themeColor="text1"/>
                <w:sz w:val="20"/>
                <w:szCs w:val="20"/>
                <w:highlight w:val="none"/>
                <w14:textFill>
                  <w14:solidFill>
                    <w14:schemeClr w14:val="tx1"/>
                  </w14:solidFill>
                </w14:textFill>
              </w:rPr>
              <w:t>或线上办理要求。</w:t>
            </w:r>
          </w:p>
        </w:tc>
      </w:tr>
      <w:tr w14:paraId="79CD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7F6AE4F">
            <w:pPr>
              <w:spacing w:line="300" w:lineRule="exact"/>
              <w:ind w:left="-2" w:leftChars="-1" w:right="36" w:rightChars="15"/>
              <w:rPr>
                <w:rFonts w:eastAsia="楷体_GB2312"/>
                <w:color w:val="000000" w:themeColor="text1"/>
                <w:sz w:val="20"/>
                <w:szCs w:val="20"/>
                <w:highlight w:val="none"/>
                <w14:textFill>
                  <w14:solidFill>
                    <w14:schemeClr w14:val="tx1"/>
                  </w14:solidFill>
                </w14:textFill>
              </w:rPr>
            </w:pPr>
            <w:r>
              <w:rPr>
                <w:rFonts w:hint="eastAsia" w:ascii="Times New Roman" w:eastAsia="楷体_GB2312" w:cs="楷体_GB2312"/>
                <w:color w:val="000000" w:themeColor="text1"/>
                <w:sz w:val="20"/>
                <w:szCs w:val="20"/>
                <w:highlight w:val="none"/>
                <w14:textFill>
                  <w14:solidFill>
                    <w14:schemeClr w14:val="tx1"/>
                  </w14:solidFill>
                </w14:textFill>
              </w:rPr>
              <w:t>信息披露</w:t>
            </w:r>
          </w:p>
        </w:tc>
        <w:tc>
          <w:tcPr>
            <w:tcW w:w="3709" w:type="pct"/>
            <w:vAlign w:val="center"/>
          </w:tcPr>
          <w:p w14:paraId="27FDFA24">
            <w:pPr>
              <w:pStyle w:val="20"/>
              <w:numPr>
                <w:ilvl w:val="3"/>
                <w:numId w:val="5"/>
              </w:numPr>
              <w:spacing w:line="300" w:lineRule="exact"/>
              <w:ind w:left="427" w:right="36" w:rightChars="15" w:hanging="42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w:t>
            </w:r>
            <w:r>
              <w:rPr>
                <w:rFonts w:ascii="楷体_GB2312" w:eastAsia="楷体_GB2312" w:cs="楷体_GB2312"/>
                <w:color w:val="000000" w:themeColor="text1"/>
                <w:sz w:val="20"/>
                <w:szCs w:val="20"/>
                <w:highlight w:val="none"/>
                <w14:textFill>
                  <w14:solidFill>
                    <w14:schemeClr w14:val="tx1"/>
                  </w14:solidFill>
                </w14:textFill>
              </w:rPr>
              <w:t>将通过【</w:t>
            </w:r>
            <w:r>
              <w:rPr>
                <w:rFonts w:hint="eastAsia" w:ascii="楷体_GB2312" w:eastAsia="楷体_GB2312" w:cs="楷体_GB2312"/>
                <w:color w:val="000000" w:themeColor="text1"/>
                <w:sz w:val="20"/>
                <w:szCs w:val="20"/>
                <w:highlight w:val="none"/>
                <w14:textFill>
                  <w14:solidFill>
                    <w14:schemeClr w14:val="tx1"/>
                  </w14:solidFill>
                </w14:textFill>
              </w:rPr>
              <w:t>信银理财官方网站（</w:t>
            </w:r>
            <w:r>
              <w:rPr>
                <w:highlight w:val="none"/>
              </w:rPr>
              <w:fldChar w:fldCharType="begin"/>
            </w:r>
            <w:r>
              <w:rPr>
                <w:highlight w:val="none"/>
              </w:rPr>
              <w:instrText xml:space="preserve"> HYPERLINK "http://www.citic-wealth.com" </w:instrText>
            </w:r>
            <w:r>
              <w:rPr>
                <w:highlight w:val="none"/>
              </w:rPr>
              <w:fldChar w:fldCharType="separate"/>
            </w:r>
            <w:r>
              <w:rPr>
                <w:rStyle w:val="12"/>
                <w:rFonts w:ascii="楷体_GB2312" w:eastAsia="楷体_GB2312" w:cs="楷体_GB2312"/>
                <w:sz w:val="20"/>
                <w:szCs w:val="20"/>
                <w:highlight w:val="none"/>
              </w:rPr>
              <w:t>http://www.citic-wealth.com</w:t>
            </w:r>
            <w:r>
              <w:rPr>
                <w:rStyle w:val="12"/>
                <w:rFonts w:ascii="楷体_GB2312" w:eastAsia="楷体_GB2312" w:cs="楷体_GB2312"/>
                <w:sz w:val="20"/>
                <w:szCs w:val="20"/>
                <w:highlight w:val="none"/>
              </w:rPr>
              <w:fldChar w:fldCharType="end"/>
            </w: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披露</w:t>
            </w:r>
            <w:r>
              <w:rPr>
                <w:rFonts w:ascii="楷体_GB2312" w:eastAsia="楷体_GB2312" w:cs="楷体_GB2312"/>
                <w:color w:val="000000" w:themeColor="text1"/>
                <w:sz w:val="20"/>
                <w:szCs w:val="20"/>
                <w:highlight w:val="none"/>
                <w14:textFill>
                  <w14:solidFill>
                    <w14:schemeClr w14:val="tx1"/>
                  </w14:solidFill>
                </w14:textFill>
              </w:rPr>
              <w:t>本理财产品的各类信息</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并按照国家金融监督管理总局</w:t>
            </w:r>
            <w:r>
              <w:rPr>
                <w:rFonts w:ascii="楷体_GB2312" w:eastAsia="楷体_GB2312" w:cs="楷体_GB2312"/>
                <w:color w:val="000000" w:themeColor="text1"/>
                <w:sz w:val="20"/>
                <w:szCs w:val="20"/>
                <w:highlight w:val="none"/>
                <w14:textFill>
                  <w14:solidFill>
                    <w14:schemeClr w14:val="tx1"/>
                  </w14:solidFill>
                </w14:textFill>
              </w:rPr>
              <w:t>规定</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在【中国理财网（www.chinawealth.com.cn）】披露本理财产品的相关信息</w:t>
            </w:r>
            <w:r>
              <w:rPr>
                <w:rFonts w:ascii="楷体_GB2312" w:eastAsia="楷体_GB2312" w:cs="楷体_GB2312"/>
                <w:color w:val="000000" w:themeColor="text1"/>
                <w:sz w:val="20"/>
                <w:szCs w:val="20"/>
                <w:highlight w:val="none"/>
                <w14:textFill>
                  <w14:solidFill>
                    <w14:schemeClr w14:val="tx1"/>
                  </w14:solidFill>
                </w14:textFill>
              </w:rPr>
              <w:t>。</w:t>
            </w:r>
          </w:p>
          <w:p w14:paraId="5811A9BC">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本理财产品存续期间内，因</w:t>
            </w:r>
            <w:r>
              <w:rPr>
                <w:rFonts w:ascii="楷体_GB2312" w:eastAsia="楷体_GB2312" w:cs="楷体_GB2312"/>
                <w:color w:val="000000" w:themeColor="text1"/>
                <w:sz w:val="20"/>
                <w:szCs w:val="20"/>
                <w:highlight w:val="none"/>
                <w14:textFill>
                  <w14:solidFill>
                    <w14:schemeClr w14:val="tx1"/>
                  </w14:solidFill>
                </w14:textFill>
              </w:rPr>
              <w:t>国家法律法规、监管规定发生变化，或是出于维持本产品正常运营需要</w:t>
            </w: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在不损害投资者</w:t>
            </w:r>
            <w:r>
              <w:rPr>
                <w:rFonts w:hint="eastAsia" w:ascii="楷体_GB2312" w:eastAsia="楷体_GB2312" w:cs="楷体_GB2312"/>
                <w:color w:val="000000" w:themeColor="text1"/>
                <w:sz w:val="20"/>
                <w:szCs w:val="20"/>
                <w:highlight w:val="none"/>
                <w14:textFill>
                  <w14:solidFill>
                    <w14:schemeClr w14:val="tx1"/>
                  </w14:solidFill>
                </w14:textFill>
              </w:rPr>
              <w:t>利益</w:t>
            </w:r>
            <w:r>
              <w:rPr>
                <w:rFonts w:ascii="楷体_GB2312" w:eastAsia="楷体_GB2312" w:cs="楷体_GB2312"/>
                <w:color w:val="000000" w:themeColor="text1"/>
                <w:sz w:val="20"/>
                <w:szCs w:val="20"/>
                <w:highlight w:val="none"/>
                <w14:textFill>
                  <w14:solidFill>
                    <w14:schemeClr w14:val="tx1"/>
                  </w14:solidFill>
                </w14:textFill>
              </w:rPr>
              <w:t>的前提下</w:t>
            </w:r>
            <w:r>
              <w:rPr>
                <w:rFonts w:hint="eastAsia" w:ascii="楷体_GB2312" w:eastAsia="楷体_GB2312" w:cs="楷体_GB2312"/>
                <w:color w:val="000000" w:themeColor="text1"/>
                <w:sz w:val="20"/>
                <w:szCs w:val="20"/>
                <w:highlight w:val="none"/>
                <w14:textFill>
                  <w14:solidFill>
                    <w14:schemeClr w14:val="tx1"/>
                  </w14:solidFill>
                </w14:textFill>
              </w:rPr>
              <w:t>，信银理财有权提前【2】个工作日向投资者发出</w:t>
            </w:r>
            <w:r>
              <w:rPr>
                <w:rFonts w:ascii="楷体_GB2312" w:eastAsia="楷体_GB2312" w:cs="楷体_GB2312"/>
                <w:color w:val="000000" w:themeColor="text1"/>
                <w:sz w:val="20"/>
                <w:szCs w:val="20"/>
                <w:highlight w:val="none"/>
                <w14:textFill>
                  <w14:solidFill>
                    <w14:schemeClr w14:val="tx1"/>
                  </w14:solidFill>
                </w14:textFill>
              </w:rPr>
              <w:t>通知</w:t>
            </w:r>
            <w:r>
              <w:rPr>
                <w:rFonts w:hint="eastAsia" w:ascii="楷体_GB2312" w:eastAsia="楷体_GB2312" w:cs="楷体_GB2312"/>
                <w:color w:val="000000" w:themeColor="text1"/>
                <w:sz w:val="20"/>
                <w:szCs w:val="20"/>
                <w:highlight w:val="none"/>
                <w14:textFill>
                  <w14:solidFill>
                    <w14:schemeClr w14:val="tx1"/>
                  </w14:solidFill>
                </w14:textFill>
              </w:rPr>
              <w:t>，以</w:t>
            </w:r>
            <w:r>
              <w:rPr>
                <w:rFonts w:ascii="楷体_GB2312" w:eastAsia="楷体_GB2312" w:cs="楷体_GB2312"/>
                <w:color w:val="000000" w:themeColor="text1"/>
                <w:sz w:val="20"/>
                <w:szCs w:val="20"/>
                <w:highlight w:val="none"/>
                <w14:textFill>
                  <w14:solidFill>
                    <w14:schemeClr w14:val="tx1"/>
                  </w14:solidFill>
                </w14:textFill>
              </w:rPr>
              <w:t>符合监管规定的方式</w:t>
            </w:r>
            <w:r>
              <w:rPr>
                <w:rFonts w:hint="eastAsia" w:ascii="楷体_GB2312" w:eastAsia="楷体_GB2312" w:cs="楷体_GB2312"/>
                <w:color w:val="000000" w:themeColor="text1"/>
                <w:sz w:val="20"/>
                <w:szCs w:val="20"/>
                <w:highlight w:val="none"/>
                <w14:textFill>
                  <w14:solidFill>
                    <w14:schemeClr w14:val="tx1"/>
                  </w14:solidFill>
                </w14:textFill>
              </w:rPr>
              <w:t>对说明书条款进行补充、说明和修改。</w:t>
            </w:r>
          </w:p>
          <w:p w14:paraId="07DBB1E1">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如信银理财</w:t>
            </w:r>
            <w:r>
              <w:rPr>
                <w:rFonts w:ascii="楷体_GB2312" w:eastAsia="楷体_GB2312" w:cs="楷体_GB2312"/>
                <w:color w:val="000000" w:themeColor="text1"/>
                <w:sz w:val="20"/>
                <w:szCs w:val="20"/>
                <w:highlight w:val="none"/>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highlight w:val="none"/>
                <w14:textFill>
                  <w14:solidFill>
                    <w14:schemeClr w14:val="tx1"/>
                  </w14:solidFill>
                </w14:textFill>
              </w:rPr>
              <w:t>个</w:t>
            </w:r>
            <w:r>
              <w:rPr>
                <w:rFonts w:ascii="楷体_GB2312" w:eastAsia="楷体_GB2312" w:cs="楷体_GB2312"/>
                <w:color w:val="000000" w:themeColor="text1"/>
                <w:sz w:val="20"/>
                <w:szCs w:val="20"/>
                <w:highlight w:val="none"/>
                <w14:textFill>
                  <w14:solidFill>
                    <w14:schemeClr w14:val="tx1"/>
                  </w14:solidFill>
                </w14:textFill>
              </w:rPr>
              <w:t>工作日</w:t>
            </w:r>
            <w:r>
              <w:rPr>
                <w:rFonts w:hint="eastAsia" w:ascii="楷体_GB2312" w:eastAsia="楷体_GB2312" w:cs="楷体_GB2312"/>
                <w:color w:val="000000" w:themeColor="text1"/>
                <w:sz w:val="20"/>
                <w:szCs w:val="20"/>
                <w:highlight w:val="none"/>
                <w14:textFill>
                  <w14:solidFill>
                    <w14:schemeClr w14:val="tx1"/>
                  </w14:solidFill>
                </w14:textFill>
              </w:rPr>
              <w:t>内向</w:t>
            </w:r>
            <w:r>
              <w:rPr>
                <w:rFonts w:ascii="楷体_GB2312" w:eastAsia="楷体_GB2312" w:cs="楷体_GB2312"/>
                <w:color w:val="000000" w:themeColor="text1"/>
                <w:sz w:val="20"/>
                <w:szCs w:val="20"/>
                <w:highlight w:val="none"/>
                <w14:textFill>
                  <w14:solidFill>
                    <w14:schemeClr w14:val="tx1"/>
                  </w14:solidFill>
                </w14:textFill>
              </w:rPr>
              <w:t>投资者发布信息。</w:t>
            </w:r>
          </w:p>
          <w:p w14:paraId="3A941581">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如信银理财</w:t>
            </w:r>
            <w:r>
              <w:rPr>
                <w:rFonts w:ascii="楷体_GB2312" w:eastAsia="楷体_GB2312" w:cs="楷体_GB2312"/>
                <w:color w:val="000000" w:themeColor="text1"/>
                <w:sz w:val="20"/>
                <w:szCs w:val="20"/>
                <w:highlight w:val="none"/>
                <w14:textFill>
                  <w14:solidFill>
                    <w14:schemeClr w14:val="tx1"/>
                  </w14:solidFill>
                </w14:textFill>
              </w:rPr>
              <w:t>决定提前</w:t>
            </w:r>
            <w:r>
              <w:rPr>
                <w:rFonts w:hint="eastAsia" w:ascii="楷体_GB2312" w:eastAsia="楷体_GB2312" w:cs="楷体_GB2312"/>
                <w:color w:val="000000" w:themeColor="text1"/>
                <w:sz w:val="20"/>
                <w:szCs w:val="20"/>
                <w:highlight w:val="none"/>
                <w14:textFill>
                  <w14:solidFill>
                    <w14:schemeClr w14:val="tx1"/>
                  </w14:solidFill>
                </w14:textFill>
              </w:rPr>
              <w:t>结束募集期或</w:t>
            </w:r>
            <w:r>
              <w:rPr>
                <w:rFonts w:ascii="楷体_GB2312" w:eastAsia="楷体_GB2312" w:cs="楷体_GB2312"/>
                <w:color w:val="000000" w:themeColor="text1"/>
                <w:sz w:val="20"/>
                <w:szCs w:val="20"/>
                <w:highlight w:val="none"/>
                <w14:textFill>
                  <w14:solidFill>
                    <w14:schemeClr w14:val="tx1"/>
                  </w14:solidFill>
                </w14:textFill>
              </w:rPr>
              <w:t>延长募集期</w:t>
            </w:r>
            <w:r>
              <w:rPr>
                <w:rFonts w:hint="eastAsia" w:ascii="楷体_GB2312" w:eastAsia="楷体_GB2312" w:cs="楷体_GB2312"/>
                <w:color w:val="000000" w:themeColor="text1"/>
                <w:sz w:val="20"/>
                <w:szCs w:val="20"/>
                <w:highlight w:val="none"/>
                <w14:textFill>
                  <w14:solidFill>
                    <w14:schemeClr w14:val="tx1"/>
                  </w14:solidFill>
                </w14:textFill>
              </w:rPr>
              <w:t>的，将在</w:t>
            </w:r>
            <w:r>
              <w:rPr>
                <w:rFonts w:ascii="楷体_GB2312" w:eastAsia="楷体_GB2312" w:cs="楷体_GB2312"/>
                <w:color w:val="000000" w:themeColor="text1"/>
                <w:sz w:val="20"/>
                <w:szCs w:val="20"/>
                <w:highlight w:val="none"/>
                <w14:textFill>
                  <w14:solidFill>
                    <w14:schemeClr w14:val="tx1"/>
                  </w14:solidFill>
                </w14:textFill>
              </w:rPr>
              <w:t>决定调整募集期后的【2】</w:t>
            </w:r>
            <w:r>
              <w:rPr>
                <w:rFonts w:hint="eastAsia" w:ascii="楷体_GB2312" w:eastAsia="楷体_GB2312" w:cs="楷体_GB2312"/>
                <w:color w:val="000000" w:themeColor="text1"/>
                <w:sz w:val="20"/>
                <w:szCs w:val="20"/>
                <w:highlight w:val="none"/>
                <w14:textFill>
                  <w14:solidFill>
                    <w14:schemeClr w14:val="tx1"/>
                  </w14:solidFill>
                </w14:textFill>
              </w:rPr>
              <w:t>个</w:t>
            </w:r>
            <w:r>
              <w:rPr>
                <w:rFonts w:ascii="楷体_GB2312" w:eastAsia="楷体_GB2312" w:cs="楷体_GB2312"/>
                <w:color w:val="000000" w:themeColor="text1"/>
                <w:sz w:val="20"/>
                <w:szCs w:val="20"/>
                <w:highlight w:val="none"/>
                <w14:textFill>
                  <w14:solidFill>
                    <w14:schemeClr w14:val="tx1"/>
                  </w14:solidFill>
                </w14:textFill>
              </w:rPr>
              <w:t>工作日内向</w:t>
            </w:r>
            <w:r>
              <w:rPr>
                <w:rFonts w:hint="eastAsia" w:ascii="楷体_GB2312" w:eastAsia="楷体_GB2312" w:cs="楷体_GB2312"/>
                <w:color w:val="000000" w:themeColor="text1"/>
                <w:sz w:val="20"/>
                <w:szCs w:val="20"/>
                <w:highlight w:val="none"/>
                <w14:textFill>
                  <w14:solidFill>
                    <w14:schemeClr w14:val="tx1"/>
                  </w14:solidFill>
                </w14:textFill>
              </w:rPr>
              <w:t>投资者发布</w:t>
            </w:r>
            <w:r>
              <w:rPr>
                <w:rFonts w:ascii="楷体_GB2312" w:eastAsia="楷体_GB2312" w:cs="楷体_GB2312"/>
                <w:color w:val="000000" w:themeColor="text1"/>
                <w:sz w:val="20"/>
                <w:szCs w:val="20"/>
                <w:highlight w:val="none"/>
                <w14:textFill>
                  <w14:solidFill>
                    <w14:schemeClr w14:val="tx1"/>
                  </w14:solidFill>
                </w14:textFill>
              </w:rPr>
              <w:t>相关信息。</w:t>
            </w:r>
          </w:p>
          <w:p w14:paraId="7965FB0F">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信银理财将</w:t>
            </w:r>
            <w:r>
              <w:rPr>
                <w:rFonts w:ascii="楷体_GB2312" w:eastAsia="楷体_GB2312" w:cs="楷体_GB2312"/>
                <w:color w:val="000000" w:themeColor="text1"/>
                <w:sz w:val="20"/>
                <w:szCs w:val="20"/>
                <w:highlight w:val="none"/>
                <w14:textFill>
                  <w14:solidFill>
                    <w14:schemeClr w14:val="tx1"/>
                  </w14:solidFill>
                </w14:textFill>
              </w:rPr>
              <w:t>在本产品成立后【</w:t>
            </w:r>
            <w:r>
              <w:rPr>
                <w:rFonts w:hint="eastAsia" w:ascii="楷体_GB2312" w:eastAsia="楷体_GB2312" w:cs="楷体_GB2312"/>
                <w:color w:val="000000" w:themeColor="text1"/>
                <w:sz w:val="20"/>
                <w:szCs w:val="20"/>
                <w:highlight w:val="none"/>
                <w14:textFill>
                  <w14:solidFill>
                    <w14:schemeClr w14:val="tx1"/>
                  </w14:solidFill>
                </w14:textFill>
              </w:rPr>
              <w:t>5</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个</w:t>
            </w:r>
            <w:r>
              <w:rPr>
                <w:rFonts w:ascii="楷体_GB2312" w:eastAsia="楷体_GB2312" w:cs="楷体_GB2312"/>
                <w:color w:val="000000" w:themeColor="text1"/>
                <w:sz w:val="20"/>
                <w:szCs w:val="20"/>
                <w:highlight w:val="none"/>
                <w14:textFill>
                  <w14:solidFill>
                    <w14:schemeClr w14:val="tx1"/>
                  </w14:solidFill>
                </w14:textFill>
              </w:rPr>
              <w:t>工作</w:t>
            </w:r>
            <w:r>
              <w:rPr>
                <w:rFonts w:hint="eastAsia" w:ascii="楷体_GB2312" w:eastAsia="楷体_GB2312" w:cs="楷体_GB2312"/>
                <w:color w:val="000000" w:themeColor="text1"/>
                <w:sz w:val="20"/>
                <w:szCs w:val="20"/>
                <w:highlight w:val="none"/>
                <w14:textFill>
                  <w14:solidFill>
                    <w14:schemeClr w14:val="tx1"/>
                  </w14:solidFill>
                </w14:textFill>
              </w:rPr>
              <w:t>日</w:t>
            </w:r>
            <w:r>
              <w:rPr>
                <w:rFonts w:ascii="楷体_GB2312" w:eastAsia="楷体_GB2312" w:cs="楷体_GB2312"/>
                <w:color w:val="000000" w:themeColor="text1"/>
                <w:sz w:val="20"/>
                <w:szCs w:val="20"/>
                <w:highlight w:val="none"/>
                <w14:textFill>
                  <w14:solidFill>
                    <w14:schemeClr w14:val="tx1"/>
                  </w14:solidFill>
                </w14:textFill>
              </w:rPr>
              <w:t>内披露发行公告。</w:t>
            </w:r>
          </w:p>
          <w:p w14:paraId="76FC2D2A">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如信银理财决定提前终止本产品，将于提前终止日前【2</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个工作日向投资者发布相关信息。</w:t>
            </w:r>
          </w:p>
          <w:p w14:paraId="237D92F2">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如本产品需延期清算，将于原定到期日前【2</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个工作日内向投资者发布相关信息。</w:t>
            </w:r>
          </w:p>
          <w:p w14:paraId="056B2842">
            <w:pPr>
              <w:pStyle w:val="20"/>
              <w:spacing w:line="300" w:lineRule="exact"/>
              <w:ind w:left="360" w:right="36" w:rightChars="15" w:firstLine="0"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信银理财将在本产品终止</w:t>
            </w:r>
            <w:r>
              <w:rPr>
                <w:rFonts w:ascii="楷体_GB2312" w:eastAsia="楷体_GB2312" w:cs="楷体_GB2312"/>
                <w:color w:val="000000" w:themeColor="text1"/>
                <w:sz w:val="20"/>
                <w:szCs w:val="20"/>
                <w:highlight w:val="none"/>
                <w14:textFill>
                  <w14:solidFill>
                    <w14:schemeClr w14:val="tx1"/>
                  </w14:solidFill>
                </w14:textFill>
              </w:rPr>
              <w:t>（包括</w:t>
            </w:r>
            <w:r>
              <w:rPr>
                <w:rFonts w:hint="eastAsia" w:ascii="楷体_GB2312" w:eastAsia="楷体_GB2312" w:cs="楷体_GB2312"/>
                <w:color w:val="000000" w:themeColor="text1"/>
                <w:sz w:val="20"/>
                <w:szCs w:val="20"/>
                <w:highlight w:val="none"/>
                <w14:textFill>
                  <w14:solidFill>
                    <w14:schemeClr w14:val="tx1"/>
                  </w14:solidFill>
                </w14:textFill>
              </w:rPr>
              <w:t>到期和</w:t>
            </w:r>
            <w:r>
              <w:rPr>
                <w:rFonts w:ascii="楷体_GB2312" w:eastAsia="楷体_GB2312" w:cs="楷体_GB2312"/>
                <w:color w:val="000000" w:themeColor="text1"/>
                <w:sz w:val="20"/>
                <w:szCs w:val="20"/>
                <w:highlight w:val="none"/>
                <w14:textFill>
                  <w14:solidFill>
                    <w14:schemeClr w14:val="tx1"/>
                  </w14:solidFill>
                </w14:textFill>
              </w:rPr>
              <w:t>提前终止）</w:t>
            </w:r>
            <w:r>
              <w:rPr>
                <w:rFonts w:hint="eastAsia" w:ascii="楷体_GB2312" w:eastAsia="楷体_GB2312" w:cs="楷体_GB2312"/>
                <w:color w:val="000000" w:themeColor="text1"/>
                <w:sz w:val="20"/>
                <w:szCs w:val="20"/>
                <w:highlight w:val="none"/>
                <w14:textFill>
                  <w14:solidFill>
                    <w14:schemeClr w14:val="tx1"/>
                  </w14:solidFill>
                </w14:textFill>
              </w:rPr>
              <w:t>日后【5】个工作日内，向投资者披露</w:t>
            </w:r>
            <w:r>
              <w:rPr>
                <w:rFonts w:ascii="楷体_GB2312" w:eastAsia="楷体_GB2312" w:cs="楷体_GB2312"/>
                <w:color w:val="000000" w:themeColor="text1"/>
                <w:sz w:val="20"/>
                <w:szCs w:val="20"/>
                <w:highlight w:val="none"/>
                <w14:textFill>
                  <w14:solidFill>
                    <w14:schemeClr w14:val="tx1"/>
                  </w14:solidFill>
                </w14:textFill>
              </w:rPr>
              <w:t>到期公告</w:t>
            </w:r>
            <w:r>
              <w:rPr>
                <w:rFonts w:hint="eastAsia" w:ascii="楷体_GB2312" w:eastAsia="楷体_GB2312" w:cs="楷体_GB2312"/>
                <w:color w:val="000000" w:themeColor="text1"/>
                <w:sz w:val="20"/>
                <w:szCs w:val="20"/>
                <w:highlight w:val="none"/>
                <w14:textFill>
                  <w14:solidFill>
                    <w14:schemeClr w14:val="tx1"/>
                  </w14:solidFill>
                </w14:textFill>
              </w:rPr>
              <w:t>，包括</w:t>
            </w:r>
            <w:r>
              <w:rPr>
                <w:rFonts w:ascii="楷体_GB2312" w:eastAsia="楷体_GB2312" w:cs="楷体_GB2312"/>
                <w:color w:val="000000" w:themeColor="text1"/>
                <w:sz w:val="20"/>
                <w:szCs w:val="20"/>
                <w:highlight w:val="none"/>
                <w14:textFill>
                  <w14:solidFill>
                    <w14:schemeClr w14:val="tx1"/>
                  </w14:solidFill>
                </w14:textFill>
              </w:rPr>
              <w:t>到期日产品</w:t>
            </w:r>
            <w:r>
              <w:rPr>
                <w:rFonts w:hint="eastAsia" w:ascii="楷体_GB2312" w:eastAsia="楷体_GB2312" w:cs="楷体_GB2312"/>
                <w:color w:val="000000" w:themeColor="text1"/>
                <w:sz w:val="20"/>
                <w:szCs w:val="20"/>
                <w:highlight w:val="none"/>
                <w14:textFill>
                  <w14:solidFill>
                    <w14:schemeClr w14:val="tx1"/>
                  </w14:solidFill>
                </w14:textFill>
              </w:rPr>
              <w:t>份额</w:t>
            </w:r>
            <w:r>
              <w:rPr>
                <w:rFonts w:ascii="楷体_GB2312" w:eastAsia="楷体_GB2312" w:cs="楷体_GB2312"/>
                <w:color w:val="000000" w:themeColor="text1"/>
                <w:sz w:val="20"/>
                <w:szCs w:val="20"/>
                <w:highlight w:val="none"/>
                <w14:textFill>
                  <w14:solidFill>
                    <w14:schemeClr w14:val="tx1"/>
                  </w14:solidFill>
                </w14:textFill>
              </w:rPr>
              <w:t>单位净值在内的</w:t>
            </w:r>
            <w:r>
              <w:rPr>
                <w:rFonts w:hint="eastAsia" w:ascii="楷体_GB2312" w:eastAsia="楷体_GB2312" w:cs="楷体_GB2312"/>
                <w:color w:val="000000" w:themeColor="text1"/>
                <w:sz w:val="20"/>
                <w:szCs w:val="20"/>
                <w:highlight w:val="none"/>
                <w14:textFill>
                  <w14:solidFill>
                    <w14:schemeClr w14:val="tx1"/>
                  </w14:solidFill>
                </w14:textFill>
              </w:rPr>
              <w:t>到期相关信息。</w:t>
            </w:r>
          </w:p>
          <w:p w14:paraId="23460B1C">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在产品</w:t>
            </w:r>
            <w:r>
              <w:rPr>
                <w:rFonts w:ascii="楷体_GB2312" w:eastAsia="楷体_GB2312" w:cs="楷体_GB2312"/>
                <w:color w:val="000000" w:themeColor="text1"/>
                <w:sz w:val="20"/>
                <w:szCs w:val="20"/>
                <w:highlight w:val="none"/>
                <w14:textFill>
                  <w14:solidFill>
                    <w14:schemeClr w14:val="tx1"/>
                  </w14:solidFill>
                </w14:textFill>
              </w:rPr>
              <w:t>存续期间，</w:t>
            </w:r>
            <w:r>
              <w:rPr>
                <w:rFonts w:hint="eastAsia" w:ascii="楷体_GB2312" w:eastAsia="楷体_GB2312" w:cs="楷体_GB2312"/>
                <w:color w:val="000000" w:themeColor="text1"/>
                <w:sz w:val="20"/>
                <w:szCs w:val="20"/>
                <w:highlight w:val="none"/>
                <w14:textFill>
                  <w14:solidFill>
                    <w14:schemeClr w14:val="tx1"/>
                  </w14:solidFill>
                </w14:textFill>
              </w:rPr>
              <w:t>信银理财根据</w:t>
            </w:r>
            <w:r>
              <w:rPr>
                <w:rFonts w:ascii="楷体_GB2312" w:eastAsia="楷体_GB2312" w:cs="楷体_GB2312"/>
                <w:color w:val="000000" w:themeColor="text1"/>
                <w:sz w:val="20"/>
                <w:szCs w:val="20"/>
                <w:highlight w:val="none"/>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highlight w:val="none"/>
                <w14:textFill>
                  <w14:solidFill>
                    <w14:schemeClr w14:val="tx1"/>
                  </w14:solidFill>
                </w14:textFill>
              </w:rPr>
              <w:t>的</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将</w:t>
            </w:r>
            <w:r>
              <w:rPr>
                <w:rFonts w:ascii="楷体_GB2312" w:eastAsia="楷体_GB2312" w:cs="楷体_GB2312"/>
                <w:color w:val="000000" w:themeColor="text1"/>
                <w:sz w:val="20"/>
                <w:szCs w:val="20"/>
                <w:highlight w:val="none"/>
                <w14:textFill>
                  <w14:solidFill>
                    <w14:schemeClr w14:val="tx1"/>
                  </w14:solidFill>
                </w14:textFill>
              </w:rPr>
              <w:t>提前【2】个工作日告知</w:t>
            </w:r>
            <w:r>
              <w:rPr>
                <w:rFonts w:hint="eastAsia" w:ascii="楷体_GB2312" w:eastAsia="楷体_GB2312" w:cs="楷体_GB2312"/>
                <w:color w:val="000000" w:themeColor="text1"/>
                <w:sz w:val="20"/>
                <w:szCs w:val="20"/>
                <w:highlight w:val="none"/>
                <w14:textFill>
                  <w14:solidFill>
                    <w14:schemeClr w14:val="tx1"/>
                  </w14:solidFill>
                </w14:textFill>
              </w:rPr>
              <w:t>投资者</w:t>
            </w:r>
            <w:r>
              <w:rPr>
                <w:rFonts w:ascii="楷体_GB2312" w:eastAsia="楷体_GB2312" w:cs="楷体_GB2312"/>
                <w:color w:val="000000" w:themeColor="text1"/>
                <w:sz w:val="20"/>
                <w:szCs w:val="20"/>
                <w:highlight w:val="none"/>
                <w14:textFill>
                  <w14:solidFill>
                    <w14:schemeClr w14:val="tx1"/>
                  </w14:solidFill>
                </w14:textFill>
              </w:rPr>
              <w:t>。</w:t>
            </w:r>
          </w:p>
          <w:p w14:paraId="79FB8F9D">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highlight w:val="none"/>
                <w14:textFill>
                  <w14:solidFill>
                    <w14:schemeClr w14:val="tx1"/>
                  </w14:solidFill>
                </w14:textFill>
              </w:rPr>
              <w:t>生效前</w:t>
            </w:r>
            <w:r>
              <w:rPr>
                <w:rFonts w:hint="eastAsia" w:ascii="楷体_GB2312" w:eastAsia="楷体_GB2312"/>
                <w:color w:val="000000" w:themeColor="text1"/>
                <w:sz w:val="20"/>
                <w:szCs w:val="20"/>
                <w:highlight w:val="none"/>
                <w14:textFill>
                  <w14:solidFill>
                    <w14:schemeClr w14:val="tx1"/>
                  </w14:solidFill>
                </w14:textFill>
              </w:rPr>
              <w:t>【2</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个</w:t>
            </w:r>
            <w:r>
              <w:rPr>
                <w:rFonts w:ascii="楷体_GB2312" w:eastAsia="楷体_GB2312"/>
                <w:color w:val="000000" w:themeColor="text1"/>
                <w:sz w:val="20"/>
                <w:szCs w:val="20"/>
                <w:highlight w:val="none"/>
                <w14:textFill>
                  <w14:solidFill>
                    <w14:schemeClr w14:val="tx1"/>
                  </w14:solidFill>
                </w14:textFill>
              </w:rPr>
              <w:t>工作日</w:t>
            </w:r>
            <w:r>
              <w:rPr>
                <w:rFonts w:hint="eastAsia" w:ascii="楷体_GB2312" w:eastAsia="楷体_GB2312"/>
                <w:color w:val="000000" w:themeColor="text1"/>
                <w:sz w:val="20"/>
                <w:szCs w:val="20"/>
                <w:highlight w:val="none"/>
                <w14:textFill>
                  <w14:solidFill>
                    <w14:schemeClr w14:val="tx1"/>
                  </w14:solidFill>
                </w14:textFill>
              </w:rPr>
              <w:t>告知投资者。</w:t>
            </w:r>
          </w:p>
          <w:p w14:paraId="13ECEA48">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本</w:t>
            </w:r>
            <w:r>
              <w:rPr>
                <w:rFonts w:ascii="Times New Roman" w:hAnsi="Times New Roman" w:eastAsia="楷体_GB2312" w:cs="楷体_GB2312"/>
                <w:color w:val="000000" w:themeColor="text1"/>
                <w:sz w:val="20"/>
                <w:szCs w:val="20"/>
                <w:highlight w:val="none"/>
                <w14:textFill>
                  <w14:solidFill>
                    <w14:schemeClr w14:val="tx1"/>
                  </w14:solidFill>
                </w14:textFill>
              </w:rPr>
              <w:t>产品存续</w:t>
            </w:r>
            <w:r>
              <w:rPr>
                <w:rFonts w:hint="eastAsia" w:ascii="Times New Roman" w:hAnsi="Times New Roman" w:eastAsia="楷体_GB2312" w:cs="楷体_GB2312"/>
                <w:color w:val="000000" w:themeColor="text1"/>
                <w:sz w:val="20"/>
                <w:szCs w:val="20"/>
                <w:highlight w:val="none"/>
                <w14:textFill>
                  <w14:solidFill>
                    <w14:schemeClr w14:val="tx1"/>
                  </w14:solidFill>
                </w14:textFill>
              </w:rPr>
              <w:t>期间</w:t>
            </w:r>
            <w:r>
              <w:rPr>
                <w:rFonts w:ascii="Times New Roman" w:hAnsi="Times New Roman" w:eastAsia="楷体_GB2312" w:cs="楷体_GB2312"/>
                <w:color w:val="000000" w:themeColor="text1"/>
                <w:sz w:val="20"/>
                <w:szCs w:val="20"/>
                <w:highlight w:val="none"/>
                <w14:textFill>
                  <w14:solidFill>
                    <w14:schemeClr w14:val="tx1"/>
                  </w14:solidFill>
                </w14:textFill>
              </w:rPr>
              <w:t>，</w:t>
            </w:r>
            <w:r>
              <w:rPr>
                <w:rFonts w:hint="eastAsia" w:ascii="Times New Roman" w:hAnsi="Times New Roman" w:eastAsia="楷体_GB2312" w:cs="楷体_GB2312"/>
                <w:color w:val="000000" w:themeColor="text1"/>
                <w:sz w:val="20"/>
                <w:szCs w:val="20"/>
                <w:highlight w:val="none"/>
                <w14:textFill>
                  <w14:solidFill>
                    <w14:schemeClr w14:val="tx1"/>
                  </w14:solidFill>
                </w14:textFill>
              </w:rPr>
              <w:t>如</w:t>
            </w:r>
            <w:r>
              <w:rPr>
                <w:rFonts w:ascii="Times New Roman" w:hAnsi="Times New Roman" w:eastAsia="楷体_GB2312" w:cs="楷体_GB2312"/>
                <w:color w:val="000000" w:themeColor="text1"/>
                <w:sz w:val="20"/>
                <w:szCs w:val="20"/>
                <w:highlight w:val="none"/>
                <w14:textFill>
                  <w14:solidFill>
                    <w14:schemeClr w14:val="tx1"/>
                  </w14:solidFill>
                </w14:textFill>
              </w:rPr>
              <w:t>因市场</w:t>
            </w:r>
            <w:r>
              <w:rPr>
                <w:rFonts w:hint="eastAsia" w:ascii="Times New Roman" w:hAnsi="Times New Roman" w:eastAsia="楷体_GB2312" w:cs="楷体_GB2312"/>
                <w:color w:val="000000" w:themeColor="text1"/>
                <w:sz w:val="20"/>
                <w:szCs w:val="20"/>
                <w:highlight w:val="none"/>
                <w14:textFill>
                  <w14:solidFill>
                    <w14:schemeClr w14:val="tx1"/>
                  </w14:solidFill>
                </w14:textFill>
              </w:rPr>
              <w:t>重大</w:t>
            </w:r>
            <w:r>
              <w:rPr>
                <w:rFonts w:ascii="Times New Roman" w:hAnsi="Times New Roman" w:eastAsia="楷体_GB2312" w:cs="楷体_GB2312"/>
                <w:color w:val="000000" w:themeColor="text1"/>
                <w:sz w:val="20"/>
                <w:szCs w:val="20"/>
                <w:highlight w:val="none"/>
                <w14:textFill>
                  <w14:solidFill>
                    <w14:schemeClr w14:val="tx1"/>
                  </w14:solidFill>
                </w14:textFill>
              </w:rPr>
              <w:t>变化导致投资比例暂时超出</w:t>
            </w:r>
            <w:r>
              <w:rPr>
                <w:rFonts w:hint="eastAsia" w:ascii="Times New Roman" w:hAnsi="Times New Roman" w:eastAsia="楷体_GB2312" w:cs="楷体_GB2312"/>
                <w:color w:val="000000" w:themeColor="text1"/>
                <w:sz w:val="20"/>
                <w:szCs w:val="20"/>
                <w:highlight w:val="none"/>
                <w14:textFill>
                  <w14:solidFill>
                    <w14:schemeClr w14:val="tx1"/>
                  </w14:solidFill>
                </w14:textFill>
              </w:rPr>
              <w:t>本</w:t>
            </w:r>
            <w:r>
              <w:rPr>
                <w:rFonts w:ascii="Times New Roman" w:hAnsi="Times New Roman" w:eastAsia="楷体_GB2312" w:cs="楷体_GB2312"/>
                <w:color w:val="000000" w:themeColor="text1"/>
                <w:sz w:val="20"/>
                <w:szCs w:val="20"/>
                <w:highlight w:val="none"/>
                <w14:textFill>
                  <w14:solidFill>
                    <w14:schemeClr w14:val="tx1"/>
                  </w14:solidFill>
                </w14:textFill>
              </w:rPr>
              <w:t>说明书约定的投资比例区间</w:t>
            </w:r>
            <w:r>
              <w:rPr>
                <w:rFonts w:hint="eastAsia" w:ascii="Times New Roman" w:hAnsi="Times New Roman" w:eastAsia="楷体_GB2312" w:cs="楷体_GB2312"/>
                <w:color w:val="000000" w:themeColor="text1"/>
                <w:sz w:val="20"/>
                <w:szCs w:val="20"/>
                <w:highlight w:val="none"/>
                <w14:textFill>
                  <w14:solidFill>
                    <w14:schemeClr w14:val="tx1"/>
                  </w14:solidFill>
                </w14:textFill>
              </w:rPr>
              <w:t>且</w:t>
            </w:r>
            <w:r>
              <w:rPr>
                <w:rFonts w:ascii="Times New Roman" w:hAnsi="Times New Roman" w:eastAsia="楷体_GB2312" w:cs="楷体_GB2312"/>
                <w:color w:val="000000" w:themeColor="text1"/>
                <w:sz w:val="20"/>
                <w:szCs w:val="20"/>
                <w:highlight w:val="none"/>
                <w14:textFill>
                  <w14:solidFill>
                    <w14:schemeClr w14:val="tx1"/>
                  </w14:solidFill>
                </w14:textFill>
              </w:rPr>
              <w:t>可能对理财产品收益产生重大影响的，</w:t>
            </w:r>
            <w:r>
              <w:rPr>
                <w:rFonts w:hint="eastAsia" w:ascii="Times New Roman" w:hAnsi="Times New Roman" w:eastAsia="楷体_GB2312" w:cs="楷体_GB2312"/>
                <w:color w:val="000000" w:themeColor="text1"/>
                <w:sz w:val="20"/>
                <w:szCs w:val="20"/>
                <w:highlight w:val="none"/>
                <w14:textFill>
                  <w14:solidFill>
                    <w14:schemeClr w14:val="tx1"/>
                  </w14:solidFill>
                </w14:textFill>
              </w:rPr>
              <w:t>信银理财</w:t>
            </w:r>
            <w:r>
              <w:rPr>
                <w:rFonts w:ascii="Times New Roman" w:hAnsi="Times New Roman" w:eastAsia="楷体_GB2312" w:cs="楷体_GB2312"/>
                <w:color w:val="000000" w:themeColor="text1"/>
                <w:sz w:val="20"/>
                <w:szCs w:val="20"/>
                <w:highlight w:val="none"/>
                <w14:textFill>
                  <w14:solidFill>
                    <w14:schemeClr w14:val="tx1"/>
                  </w14:solidFill>
                </w14:textFill>
              </w:rPr>
              <w:t>将</w:t>
            </w:r>
            <w:r>
              <w:rPr>
                <w:rFonts w:hint="eastAsia" w:ascii="Times New Roman" w:hAnsi="Times New Roman" w:eastAsia="楷体_GB2312" w:cs="楷体_GB2312"/>
                <w:color w:val="000000" w:themeColor="text1"/>
                <w:sz w:val="20"/>
                <w:szCs w:val="20"/>
                <w:highlight w:val="none"/>
                <w14:textFill>
                  <w14:solidFill>
                    <w14:schemeClr w14:val="tx1"/>
                  </w14:solidFill>
                </w14:textFill>
              </w:rPr>
              <w:t>在【</w:t>
            </w:r>
            <w:r>
              <w:rPr>
                <w:rFonts w:hint="eastAsia" w:ascii="Times New Roman" w:hAnsi="Times New Roman" w:eastAsia="楷体_GB2312" w:cs="楷体_GB2312"/>
                <w:color w:val="000000" w:themeColor="text1"/>
                <w:sz w:val="20"/>
                <w:szCs w:val="20"/>
                <w:highlight w:val="none"/>
                <w:lang w:val="en-US" w:eastAsia="zh-CN"/>
                <w14:textFill>
                  <w14:solidFill>
                    <w14:schemeClr w14:val="tx1"/>
                  </w14:solidFill>
                </w14:textFill>
              </w:rPr>
              <w:t>5</w:t>
            </w:r>
            <w:r>
              <w:rPr>
                <w:rFonts w:hint="eastAsia" w:ascii="Times New Roman" w:hAnsi="Times New Roman" w:eastAsia="楷体_GB2312" w:cs="楷体_GB2312"/>
                <w:color w:val="000000" w:themeColor="text1"/>
                <w:sz w:val="20"/>
                <w:szCs w:val="20"/>
                <w:highlight w:val="none"/>
                <w14:textFill>
                  <w14:solidFill>
                    <w14:schemeClr w14:val="tx1"/>
                  </w14:solidFill>
                </w14:textFill>
              </w:rPr>
              <w:t>】个</w:t>
            </w:r>
            <w:r>
              <w:rPr>
                <w:rFonts w:ascii="Times New Roman" w:hAnsi="Times New Roman" w:eastAsia="楷体_GB2312" w:cs="楷体_GB2312"/>
                <w:color w:val="000000" w:themeColor="text1"/>
                <w:sz w:val="20"/>
                <w:szCs w:val="20"/>
                <w:highlight w:val="none"/>
                <w14:textFill>
                  <w14:solidFill>
                    <w14:schemeClr w14:val="tx1"/>
                  </w14:solidFill>
                </w14:textFill>
              </w:rPr>
              <w:t>工作日内</w:t>
            </w:r>
            <w:r>
              <w:rPr>
                <w:rFonts w:hint="eastAsia" w:ascii="Times New Roman" w:hAnsi="Times New Roman" w:eastAsia="楷体_GB2312" w:cs="楷体_GB2312"/>
                <w:color w:val="000000" w:themeColor="text1"/>
                <w:sz w:val="20"/>
                <w:szCs w:val="20"/>
                <w:highlight w:val="none"/>
                <w14:textFill>
                  <w14:solidFill>
                    <w14:schemeClr w14:val="tx1"/>
                  </w14:solidFill>
                </w14:textFill>
              </w:rPr>
              <w:t>告知投资者</w:t>
            </w:r>
            <w:r>
              <w:rPr>
                <w:rFonts w:ascii="Times New Roman" w:hAnsi="Times New Roman" w:eastAsia="楷体_GB2312" w:cs="楷体_GB2312"/>
                <w:color w:val="000000" w:themeColor="text1"/>
                <w:sz w:val="20"/>
                <w:szCs w:val="20"/>
                <w:highlight w:val="none"/>
                <w14:textFill>
                  <w14:solidFill>
                    <w14:schemeClr w14:val="tx1"/>
                  </w14:solidFill>
                </w14:textFill>
              </w:rPr>
              <w:t>。</w:t>
            </w:r>
          </w:p>
          <w:p w14:paraId="13C3E740">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Times New Roman" w:hAnsi="Times New Roman" w:eastAsia="楷体_GB2312" w:cs="楷体_GB2312"/>
                <w:color w:val="000000" w:themeColor="text1"/>
                <w:sz w:val="20"/>
                <w:szCs w:val="20"/>
                <w:highlight w:val="none"/>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hAnsi="Times New Roman" w:eastAsia="楷体_GB2312" w:cs="楷体_GB2312"/>
                <w:color w:val="000000" w:themeColor="text1"/>
                <w:sz w:val="20"/>
                <w:szCs w:val="20"/>
                <w:highlight w:val="none"/>
                <w14:textFill>
                  <w14:solidFill>
                    <w14:schemeClr w14:val="tx1"/>
                  </w14:solidFill>
                </w14:textFill>
              </w:rPr>
              <w:t>。</w:t>
            </w:r>
          </w:p>
          <w:p w14:paraId="52D47665">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w:t>
            </w:r>
            <w:r>
              <w:rPr>
                <w:rFonts w:ascii="楷体_GB2312" w:eastAsia="楷体_GB2312" w:cs="楷体_GB2312"/>
                <w:color w:val="000000" w:themeColor="text1"/>
                <w:sz w:val="20"/>
                <w:szCs w:val="20"/>
                <w:highlight w:val="none"/>
                <w14:textFill>
                  <w14:solidFill>
                    <w14:schemeClr w14:val="tx1"/>
                  </w14:solidFill>
                </w14:textFill>
              </w:rPr>
              <w:t>产品存续期间，</w:t>
            </w:r>
            <w:r>
              <w:rPr>
                <w:rFonts w:hint="eastAsia" w:ascii="楷体_GB2312" w:eastAsia="楷体_GB2312" w:cs="楷体_GB2312"/>
                <w:color w:val="000000" w:themeColor="text1"/>
                <w:sz w:val="20"/>
                <w:szCs w:val="20"/>
                <w:highlight w:val="none"/>
                <w14:textFill>
                  <w14:solidFill>
                    <w14:schemeClr w14:val="tx1"/>
                  </w14:solidFill>
                </w14:textFill>
              </w:rPr>
              <w:t>信银理财</w:t>
            </w:r>
            <w:r>
              <w:rPr>
                <w:rFonts w:ascii="楷体_GB2312" w:eastAsia="楷体_GB2312" w:cs="楷体_GB2312"/>
                <w:color w:val="000000" w:themeColor="text1"/>
                <w:sz w:val="20"/>
                <w:szCs w:val="20"/>
                <w:highlight w:val="none"/>
                <w14:textFill>
                  <w14:solidFill>
                    <w14:schemeClr w14:val="tx1"/>
                  </w14:solidFill>
                </w14:textFill>
              </w:rPr>
              <w:t>将向投资者</w:t>
            </w:r>
            <w:r>
              <w:rPr>
                <w:rFonts w:hint="eastAsia" w:ascii="楷体_GB2312" w:eastAsia="楷体_GB2312" w:cs="楷体_GB2312"/>
                <w:color w:val="000000" w:themeColor="text1"/>
                <w:sz w:val="20"/>
                <w:szCs w:val="20"/>
                <w:highlight w:val="none"/>
                <w14:textFill>
                  <w14:solidFill>
                    <w14:schemeClr w14:val="tx1"/>
                  </w14:solidFill>
                </w14:textFill>
              </w:rPr>
              <w:t>发布</w:t>
            </w:r>
            <w:r>
              <w:rPr>
                <w:rFonts w:ascii="楷体_GB2312" w:eastAsia="楷体_GB2312" w:cs="楷体_GB2312"/>
                <w:color w:val="000000" w:themeColor="text1"/>
                <w:sz w:val="20"/>
                <w:szCs w:val="20"/>
                <w:highlight w:val="none"/>
                <w14:textFill>
                  <w14:solidFill>
                    <w14:schemeClr w14:val="tx1"/>
                  </w14:solidFill>
                </w14:textFill>
              </w:rPr>
              <w:t>定期报告，</w:t>
            </w:r>
            <w:r>
              <w:rPr>
                <w:rFonts w:hint="eastAsia" w:ascii="楷体_GB2312" w:eastAsia="楷体_GB2312" w:cs="楷体_GB2312"/>
                <w:color w:val="000000" w:themeColor="text1"/>
                <w:sz w:val="20"/>
                <w:szCs w:val="20"/>
                <w:highlight w:val="none"/>
                <w14:textFill>
                  <w14:solidFill>
                    <w14:schemeClr w14:val="tx1"/>
                  </w14:solidFill>
                </w14:textFill>
              </w:rPr>
              <w:t>包括</w:t>
            </w:r>
            <w:r>
              <w:rPr>
                <w:rFonts w:ascii="楷体_GB2312" w:eastAsia="楷体_GB2312" w:cs="楷体_GB2312"/>
                <w:color w:val="000000" w:themeColor="text1"/>
                <w:sz w:val="20"/>
                <w:szCs w:val="20"/>
                <w:highlight w:val="none"/>
                <w14:textFill>
                  <w14:solidFill>
                    <w14:schemeClr w14:val="tx1"/>
                  </w14:solidFill>
                </w14:textFill>
              </w:rPr>
              <w:t>但不限于季度、半年和年度报告。</w:t>
            </w:r>
            <w:r>
              <w:rPr>
                <w:rFonts w:hint="eastAsia" w:ascii="楷体_GB2312" w:eastAsia="楷体_GB2312" w:cs="楷体_GB2312"/>
                <w:color w:val="000000" w:themeColor="text1"/>
                <w:sz w:val="20"/>
                <w:szCs w:val="20"/>
                <w:highlight w:val="none"/>
                <w14:textFill>
                  <w14:solidFill>
                    <w14:schemeClr w14:val="tx1"/>
                  </w14:solidFill>
                </w14:textFill>
              </w:rPr>
              <w:t>管理人</w:t>
            </w:r>
            <w:r>
              <w:rPr>
                <w:rFonts w:ascii="楷体_GB2312" w:eastAsia="楷体_GB2312" w:cs="楷体_GB2312"/>
                <w:color w:val="000000" w:themeColor="text1"/>
                <w:sz w:val="20"/>
                <w:szCs w:val="20"/>
                <w:highlight w:val="none"/>
                <w14:textFill>
                  <w14:solidFill>
                    <w14:schemeClr w14:val="tx1"/>
                  </w14:solidFill>
                </w14:textFill>
              </w:rPr>
              <w:t>将在理财产品季度、半年和年度报告中披露理财产品组合资产情况及其流动性风险分析</w:t>
            </w:r>
            <w:r>
              <w:rPr>
                <w:rFonts w:hint="eastAsia" w:ascii="楷体_GB2312" w:eastAsia="楷体_GB2312" w:cs="楷体_GB2312"/>
                <w:color w:val="000000" w:themeColor="text1"/>
                <w:sz w:val="20"/>
                <w:szCs w:val="20"/>
                <w:highlight w:val="none"/>
                <w:lang w:eastAsia="zh-CN"/>
                <w14:textFill>
                  <w14:solidFill>
                    <w14:schemeClr w14:val="tx1"/>
                  </w14:solidFill>
                </w14:textFill>
              </w:rPr>
              <w:t>、投资资产类别和比例</w:t>
            </w:r>
            <w:r>
              <w:rPr>
                <w:rFonts w:ascii="楷体_GB2312" w:eastAsia="楷体_GB2312" w:cs="楷体_GB2312"/>
                <w:color w:val="000000" w:themeColor="text1"/>
                <w:sz w:val="20"/>
                <w:szCs w:val="20"/>
                <w:highlight w:val="none"/>
                <w14:textFill>
                  <w14:solidFill>
                    <w14:schemeClr w14:val="tx1"/>
                  </w14:solidFill>
                </w14:textFill>
              </w:rPr>
              <w:t>等</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理财产品成立不足九十个自然日的，</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管理人</w:t>
            </w:r>
            <w:r>
              <w:rPr>
                <w:rFonts w:hint="eastAsia" w:ascii="楷体_GB2312" w:eastAsia="楷体_GB2312" w:cs="楷体_GB2312"/>
                <w:color w:val="000000" w:themeColor="text1"/>
                <w:sz w:val="20"/>
                <w:szCs w:val="20"/>
                <w:highlight w:val="none"/>
                <w14:textFill>
                  <w14:solidFill>
                    <w14:schemeClr w14:val="tx1"/>
                  </w14:solidFill>
                </w14:textFill>
              </w:rPr>
              <w:t>可以不编制当期的季度、半年和年度报告。</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理财产品期限超过九十个自然日的，管理人将在存续期内至少披露一次定期报告。理财产品剩余存续期不足完整报告期，且到期公告包括对应定期报告内容的，可以不编制剩余存续期所对应的季度、半年和年度报告。</w:t>
            </w:r>
          </w:p>
          <w:p w14:paraId="10EC2279">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在</w:t>
            </w:r>
            <w:r>
              <w:rPr>
                <w:rFonts w:ascii="楷体_GB2312" w:eastAsia="楷体_GB2312" w:cs="楷体_GB2312"/>
                <w:color w:val="000000" w:themeColor="text1"/>
                <w:sz w:val="20"/>
                <w:szCs w:val="20"/>
                <w:highlight w:val="none"/>
                <w14:textFill>
                  <w14:solidFill>
                    <w14:schemeClr w14:val="tx1"/>
                  </w14:solidFill>
                </w14:textFill>
              </w:rPr>
              <w:t>本理财产品存续期间</w:t>
            </w:r>
            <w:r>
              <w:rPr>
                <w:rFonts w:hint="eastAsia" w:ascii="楷体_GB2312" w:eastAsia="楷体_GB2312" w:cs="楷体_GB2312"/>
                <w:color w:val="000000" w:themeColor="text1"/>
                <w:sz w:val="20"/>
                <w:szCs w:val="20"/>
                <w:highlight w:val="none"/>
                <w14:textFill>
                  <w14:solidFill>
                    <w14:schemeClr w14:val="tx1"/>
                  </w14:solidFill>
                </w14:textFill>
              </w:rPr>
              <w:t>信银理财</w:t>
            </w:r>
            <w:r>
              <w:rPr>
                <w:rFonts w:ascii="楷体_GB2312" w:eastAsia="楷体_GB2312" w:cs="楷体_GB2312"/>
                <w:color w:val="000000" w:themeColor="text1"/>
                <w:sz w:val="20"/>
                <w:szCs w:val="20"/>
                <w:highlight w:val="none"/>
                <w14:textFill>
                  <w14:solidFill>
                    <w14:schemeClr w14:val="tx1"/>
                  </w14:solidFill>
                </w14:textFill>
              </w:rPr>
              <w:t>获知</w:t>
            </w:r>
            <w:r>
              <w:rPr>
                <w:rFonts w:hint="eastAsia" w:ascii="楷体_GB2312" w:eastAsia="楷体_GB2312" w:cs="楷体_GB2312"/>
                <w:color w:val="000000" w:themeColor="text1"/>
                <w:sz w:val="20"/>
                <w:szCs w:val="20"/>
                <w:highlight w:val="none"/>
                <w14:textFill>
                  <w14:solidFill>
                    <w14:schemeClr w14:val="tx1"/>
                  </w14:solidFill>
                </w14:textFill>
              </w:rPr>
              <w:t>并</w:t>
            </w:r>
            <w:r>
              <w:rPr>
                <w:rFonts w:ascii="楷体_GB2312" w:eastAsia="楷体_GB2312" w:cs="楷体_GB2312"/>
                <w:color w:val="000000" w:themeColor="text1"/>
                <w:sz w:val="20"/>
                <w:szCs w:val="20"/>
                <w:highlight w:val="none"/>
                <w14:textFill>
                  <w14:solidFill>
                    <w14:schemeClr w14:val="tx1"/>
                  </w14:solidFill>
                </w14:textFill>
              </w:rPr>
              <w:t>经信银理财合理判断认为对</w:t>
            </w:r>
            <w:r>
              <w:rPr>
                <w:rFonts w:hint="eastAsia" w:ascii="楷体_GB2312" w:eastAsia="楷体_GB2312" w:cs="楷体_GB2312"/>
                <w:color w:val="000000" w:themeColor="text1"/>
                <w:sz w:val="20"/>
                <w:szCs w:val="20"/>
                <w:highlight w:val="none"/>
                <w14:textFill>
                  <w14:solidFill>
                    <w14:schemeClr w14:val="tx1"/>
                  </w14:solidFill>
                </w14:textFill>
              </w:rPr>
              <w:t>本</w:t>
            </w:r>
            <w:r>
              <w:rPr>
                <w:rFonts w:ascii="楷体_GB2312" w:eastAsia="楷体_GB2312" w:cs="楷体_GB2312"/>
                <w:color w:val="000000" w:themeColor="text1"/>
                <w:sz w:val="20"/>
                <w:szCs w:val="20"/>
                <w:highlight w:val="none"/>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highlight w:val="none"/>
                <w14:textFill>
                  <w14:solidFill>
                    <w14:schemeClr w14:val="tx1"/>
                  </w14:solidFill>
                </w14:textFill>
              </w:rPr>
              <w:t>按照</w:t>
            </w:r>
            <w:r>
              <w:rPr>
                <w:rFonts w:ascii="楷体_GB2312" w:eastAsia="楷体_GB2312" w:cs="楷体_GB2312"/>
                <w:color w:val="000000" w:themeColor="text1"/>
                <w:sz w:val="20"/>
                <w:szCs w:val="20"/>
                <w:highlight w:val="none"/>
                <w14:textFill>
                  <w14:solidFill>
                    <w14:schemeClr w14:val="tx1"/>
                  </w14:solidFill>
                </w14:textFill>
              </w:rPr>
              <w:t>法律法规、监管规定</w:t>
            </w:r>
            <w:r>
              <w:rPr>
                <w:rFonts w:hint="eastAsia" w:ascii="楷体_GB2312" w:eastAsia="楷体_GB2312" w:cs="楷体_GB2312"/>
                <w:color w:val="000000" w:themeColor="text1"/>
                <w:sz w:val="20"/>
                <w:szCs w:val="20"/>
                <w:highlight w:val="none"/>
                <w14:textFill>
                  <w14:solidFill>
                    <w14:schemeClr w14:val="tx1"/>
                  </w14:solidFill>
                </w14:textFill>
              </w:rPr>
              <w:t>及时</w:t>
            </w:r>
            <w:r>
              <w:rPr>
                <w:rFonts w:ascii="楷体_GB2312" w:eastAsia="楷体_GB2312" w:cs="楷体_GB2312"/>
                <w:color w:val="000000" w:themeColor="text1"/>
                <w:sz w:val="20"/>
                <w:szCs w:val="20"/>
                <w:highlight w:val="none"/>
                <w14:textFill>
                  <w14:solidFill>
                    <w14:schemeClr w14:val="tx1"/>
                  </w14:solidFill>
                </w14:textFill>
              </w:rPr>
              <w:t>向投资者发布相关信息。</w:t>
            </w:r>
          </w:p>
          <w:p w14:paraId="7013C41C">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信银理财将</w:t>
            </w:r>
            <w:r>
              <w:rPr>
                <w:rFonts w:ascii="楷体_GB2312" w:eastAsia="楷体_GB2312" w:cs="楷体_GB2312"/>
                <w:color w:val="000000" w:themeColor="text1"/>
                <w:sz w:val="20"/>
                <w:szCs w:val="20"/>
                <w:highlight w:val="none"/>
                <w14:textFill>
                  <w14:solidFill>
                    <w14:schemeClr w14:val="tx1"/>
                  </w14:solidFill>
                </w14:textFill>
              </w:rPr>
              <w:t>至少每周向投资者披露一次本产品的资产净值和份额净值。</w:t>
            </w:r>
          </w:p>
          <w:p w14:paraId="167010BD">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管理人在</w:t>
            </w:r>
            <w:r>
              <w:rPr>
                <w:rFonts w:ascii="楷体_GB2312" w:eastAsia="楷体_GB2312" w:cs="楷体_GB2312"/>
                <w:color w:val="000000" w:themeColor="text1"/>
                <w:sz w:val="20"/>
                <w:szCs w:val="20"/>
                <w:highlight w:val="none"/>
                <w14:textFill>
                  <w14:solidFill>
                    <w14:schemeClr w14:val="tx1"/>
                  </w14:solidFill>
                </w14:textFill>
              </w:rPr>
              <w:t>运用暂停</w:t>
            </w:r>
            <w:r>
              <w:rPr>
                <w:rFonts w:hint="eastAsia" w:ascii="楷体_GB2312" w:eastAsia="楷体_GB2312" w:cs="楷体_GB2312"/>
                <w:color w:val="000000" w:themeColor="text1"/>
                <w:sz w:val="20"/>
                <w:szCs w:val="20"/>
                <w:highlight w:val="none"/>
                <w14:textFill>
                  <w14:solidFill>
                    <w14:schemeClr w14:val="tx1"/>
                  </w14:solidFill>
                </w14:textFill>
              </w:rPr>
              <w:t>或</w:t>
            </w:r>
            <w:r>
              <w:rPr>
                <w:rFonts w:ascii="楷体_GB2312" w:eastAsia="楷体_GB2312" w:cs="楷体_GB2312"/>
                <w:color w:val="000000" w:themeColor="text1"/>
                <w:sz w:val="20"/>
                <w:szCs w:val="20"/>
                <w:highlight w:val="none"/>
                <w14:textFill>
                  <w14:solidFill>
                    <w14:schemeClr w14:val="tx1"/>
                  </w14:solidFill>
                </w14:textFill>
              </w:rPr>
              <w:t>拒绝认</w:t>
            </w:r>
            <w:r>
              <w:rPr>
                <w:rFonts w:hint="eastAsia" w:ascii="楷体_GB2312" w:eastAsia="楷体_GB2312" w:cs="楷体_GB2312"/>
                <w:color w:val="000000" w:themeColor="text1"/>
                <w:sz w:val="20"/>
                <w:szCs w:val="20"/>
                <w:highlight w:val="none"/>
                <w14:textFill>
                  <w14:solidFill>
                    <w14:schemeClr w14:val="tx1"/>
                  </w14:solidFill>
                </w14:textFill>
              </w:rPr>
              <w:t>购</w:t>
            </w:r>
            <w:r>
              <w:rPr>
                <w:rFonts w:ascii="楷体_GB2312" w:eastAsia="楷体_GB2312" w:cs="楷体_GB2312"/>
                <w:color w:val="000000" w:themeColor="text1"/>
                <w:sz w:val="20"/>
                <w:szCs w:val="20"/>
                <w:highlight w:val="none"/>
                <w14:textFill>
                  <w14:solidFill>
                    <w14:schemeClr w14:val="tx1"/>
                  </w14:solidFill>
                </w14:textFill>
              </w:rPr>
              <w:t>申请</w:t>
            </w: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暂停理财产品估值等措施后，</w:t>
            </w: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3</w:t>
            </w: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个交易日内告知投资者，并说明运用相关措施的原因、拟采取的应对安排等。在发生涉及理财产品认购事项调</w:t>
            </w:r>
            <w:r>
              <w:rPr>
                <w:rFonts w:hint="eastAsia" w:ascii="楷体_GB2312" w:eastAsia="楷体_GB2312" w:cs="楷体_GB2312"/>
                <w:color w:val="000000" w:themeColor="text1"/>
                <w:sz w:val="20"/>
                <w:szCs w:val="20"/>
                <w:highlight w:val="none"/>
                <w14:textFill>
                  <w14:solidFill>
                    <w14:schemeClr w14:val="tx1"/>
                  </w14:solidFill>
                </w14:textFill>
              </w:rPr>
              <w:t>整</w:t>
            </w:r>
            <w:r>
              <w:rPr>
                <w:rFonts w:ascii="楷体_GB2312" w:eastAsia="楷体_GB2312" w:cs="楷体_GB2312"/>
                <w:color w:val="000000" w:themeColor="text1"/>
                <w:sz w:val="20"/>
                <w:szCs w:val="20"/>
                <w:highlight w:val="none"/>
                <w14:textFill>
                  <w14:solidFill>
                    <w14:schemeClr w14:val="tx1"/>
                  </w14:solidFill>
                </w14:textFill>
              </w:rPr>
              <w:t>时，及时发布临时公告</w:t>
            </w:r>
            <w:r>
              <w:rPr>
                <w:rFonts w:hint="eastAsia" w:ascii="楷体_GB2312" w:eastAsia="楷体_GB2312" w:cs="楷体_GB2312"/>
                <w:color w:val="000000" w:themeColor="text1"/>
                <w:sz w:val="20"/>
                <w:szCs w:val="20"/>
                <w:highlight w:val="none"/>
                <w14:textFill>
                  <w14:solidFill>
                    <w14:schemeClr w14:val="tx1"/>
                  </w14:solidFill>
                </w14:textFill>
              </w:rPr>
              <w:t>。</w:t>
            </w:r>
          </w:p>
          <w:p w14:paraId="4D7FDA24">
            <w:pPr>
              <w:pStyle w:val="20"/>
              <w:numPr>
                <w:ilvl w:val="0"/>
                <w:numId w:val="6"/>
              </w:numPr>
              <w:spacing w:line="300" w:lineRule="exact"/>
              <w:ind w:right="36" w:rightChars="15" w:firstLineChars="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法律法规、</w:t>
            </w:r>
            <w:r>
              <w:rPr>
                <w:rFonts w:ascii="楷体_GB2312" w:eastAsia="楷体_GB2312" w:cs="楷体_GB2312"/>
                <w:color w:val="000000" w:themeColor="text1"/>
                <w:sz w:val="20"/>
                <w:szCs w:val="20"/>
                <w:highlight w:val="none"/>
                <w14:textFill>
                  <w14:solidFill>
                    <w14:schemeClr w14:val="tx1"/>
                  </w14:solidFill>
                </w14:textFill>
              </w:rPr>
              <w:t>规范性文件、</w:t>
            </w:r>
            <w:r>
              <w:rPr>
                <w:rFonts w:hint="eastAsia" w:ascii="楷体_GB2312" w:eastAsia="楷体_GB2312" w:cs="楷体_GB2312"/>
                <w:color w:val="000000" w:themeColor="text1"/>
                <w:sz w:val="20"/>
                <w:szCs w:val="20"/>
                <w:highlight w:val="none"/>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highlight w:val="none"/>
                <w14:textFill>
                  <w14:solidFill>
                    <w14:schemeClr w14:val="tx1"/>
                  </w14:solidFill>
                </w14:textFill>
              </w:rPr>
              <w:t>信息</w:t>
            </w:r>
            <w:r>
              <w:rPr>
                <w:rFonts w:hint="eastAsia" w:ascii="楷体_GB2312" w:eastAsia="楷体_GB2312" w:cs="楷体_GB2312"/>
                <w:color w:val="000000" w:themeColor="text1"/>
                <w:sz w:val="20"/>
                <w:szCs w:val="20"/>
                <w:highlight w:val="none"/>
                <w14:textFill>
                  <w14:solidFill>
                    <w14:schemeClr w14:val="tx1"/>
                  </w14:solidFill>
                </w14:textFill>
              </w:rPr>
              <w:t>披露的情形</w:t>
            </w:r>
            <w:r>
              <w:rPr>
                <w:rFonts w:ascii="楷体_GB2312" w:eastAsia="楷体_GB2312" w:cs="楷体_GB2312"/>
                <w:color w:val="000000" w:themeColor="text1"/>
                <w:sz w:val="20"/>
                <w:szCs w:val="20"/>
                <w:highlight w:val="none"/>
                <w14:textFill>
                  <w14:solidFill>
                    <w14:schemeClr w14:val="tx1"/>
                  </w14:solidFill>
                </w14:textFill>
              </w:rPr>
              <w:t>的，信银理财将根据上述规定向投资者发布相关信息</w:t>
            </w:r>
            <w:r>
              <w:rPr>
                <w:rFonts w:hint="eastAsia" w:ascii="楷体_GB2312" w:eastAsia="楷体_GB2312" w:cs="楷体_GB2312"/>
                <w:color w:val="000000" w:themeColor="text1"/>
                <w:sz w:val="20"/>
                <w:szCs w:val="20"/>
                <w:highlight w:val="none"/>
                <w14:textFill>
                  <w14:solidFill>
                    <w14:schemeClr w14:val="tx1"/>
                  </w14:solidFill>
                </w14:textFill>
              </w:rPr>
              <w:t>。</w:t>
            </w:r>
          </w:p>
        </w:tc>
      </w:tr>
    </w:tbl>
    <w:p w14:paraId="68AE099C">
      <w:pPr>
        <w:snapToGrid w:val="0"/>
        <w:ind w:left="-2" w:leftChars="-1" w:right="53" w:rightChars="22"/>
        <w:outlineLvl w:val="0"/>
        <w:rPr>
          <w:rFonts w:ascii="黑体" w:hAnsi="Times New Roman" w:eastAsia="黑体" w:cs="黑体"/>
          <w:color w:val="000000" w:themeColor="text1"/>
          <w:sz w:val="20"/>
          <w:szCs w:val="20"/>
          <w:highlight w:val="none"/>
          <w14:textFill>
            <w14:solidFill>
              <w14:schemeClr w14:val="tx1"/>
            </w14:solidFill>
          </w14:textFill>
        </w:rPr>
      </w:pPr>
    </w:p>
    <w:p w14:paraId="30C464FF">
      <w:pPr>
        <w:snapToGrid w:val="0"/>
        <w:ind w:left="-2" w:leftChars="-1" w:right="53" w:rightChars="22"/>
        <w:outlineLvl w:val="0"/>
        <w:rPr>
          <w:b/>
          <w:color w:val="000000" w:themeColor="text1"/>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20"/>
        <w:widowControl w:val="0"/>
        <w:snapToGrid w:val="0"/>
        <w:spacing w:line="300" w:lineRule="exact"/>
        <w:ind w:left="200" w:firstLine="201" w:firstLineChars="100"/>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2.代表理财产品签订投资和资产管理过程中涉及到的协议、合同等文本；</w:t>
      </w:r>
    </w:p>
    <w:p w14:paraId="1B580ABA">
      <w:pPr>
        <w:pStyle w:val="20"/>
        <w:widowControl w:val="0"/>
        <w:snapToGrid w:val="0"/>
        <w:spacing w:line="300" w:lineRule="exact"/>
        <w:ind w:firstLine="402"/>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hAnsi="Times New Roman" w:eastAsia="楷体_GB2312"/>
          <w:b/>
          <w:color w:val="000000" w:themeColor="text1"/>
          <w:sz w:val="20"/>
          <w:szCs w:val="20"/>
          <w:highlight w:val="none"/>
          <w14:textFill>
            <w14:solidFill>
              <w14:schemeClr w14:val="tx1"/>
            </w14:solidFill>
          </w14:textFill>
        </w:rPr>
      </w:pPr>
      <w:r>
        <w:rPr>
          <w:rFonts w:ascii="Times New Roman" w:hAnsi="Times New Roman" w:eastAsia="楷体_GB2312"/>
          <w:b/>
          <w:color w:val="000000" w:themeColor="text1"/>
          <w:sz w:val="20"/>
          <w:szCs w:val="20"/>
          <w:highlight w:val="none"/>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left="-2" w:leftChars="-1" w:right="53" w:rightChars="22" w:firstLine="400" w:firstLineChars="200"/>
        <w:outlineLvl w:val="0"/>
        <w:rPr>
          <w:rFonts w:ascii="楷体_GB2312" w:eastAsia="楷体_GB2312"/>
          <w:color w:val="000000" w:themeColor="text1"/>
          <w:sz w:val="20"/>
          <w:szCs w:val="20"/>
          <w:highlight w:val="none"/>
          <w14:textFill>
            <w14:solidFill>
              <w14:schemeClr w14:val="tx1"/>
            </w14:solidFill>
          </w14:textFill>
        </w:rPr>
      </w:pPr>
    </w:p>
    <w:p w14:paraId="35CD7F63">
      <w:pPr>
        <w:spacing w:line="300" w:lineRule="exact"/>
        <w:ind w:left="-2" w:leftChars="-1" w:right="36" w:rightChars="15"/>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四、理财</w:t>
      </w:r>
      <w:r>
        <w:rPr>
          <w:rFonts w:ascii="黑体" w:hAnsi="Times New Roman" w:eastAsia="黑体" w:cs="黑体"/>
          <w:color w:val="000000" w:themeColor="text1"/>
          <w:sz w:val="20"/>
          <w:szCs w:val="20"/>
          <w:highlight w:val="none"/>
          <w14:textFill>
            <w14:solidFill>
              <w14:schemeClr w14:val="tx1"/>
            </w14:solidFill>
          </w14:textFill>
        </w:rPr>
        <w:t>产品的认购</w:t>
      </w:r>
    </w:p>
    <w:p w14:paraId="408920C5">
      <w:pPr>
        <w:pStyle w:val="20"/>
        <w:numPr>
          <w:ilvl w:val="0"/>
          <w:numId w:val="7"/>
        </w:numPr>
        <w:spacing w:line="300" w:lineRule="exact"/>
        <w:ind w:left="0" w:firstLine="400"/>
        <w:jc w:val="both"/>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14:textFill>
            <w14:solidFill>
              <w14:schemeClr w14:val="tx1"/>
            </w14:solidFill>
          </w14:textFill>
        </w:rPr>
        <w:t>投资者在募集期</w:t>
      </w:r>
      <w:r>
        <w:rPr>
          <w:rFonts w:ascii="Times New Roman" w:hAnsi="Times New Roman" w:eastAsia="楷体_GB2312" w:cs="Times New Roman"/>
          <w:color w:val="000000" w:themeColor="text1"/>
          <w:sz w:val="20"/>
          <w:szCs w:val="20"/>
          <w:highlight w:val="none"/>
          <w14:textFill>
            <w14:solidFill>
              <w14:schemeClr w14:val="tx1"/>
            </w14:solidFill>
          </w14:textFill>
        </w:rPr>
        <w:t>内可</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提交</w:t>
      </w:r>
      <w:r>
        <w:rPr>
          <w:rFonts w:ascii="Times New Roman" w:hAnsi="Times New Roman" w:eastAsia="楷体_GB2312" w:cs="Times New Roman"/>
          <w:color w:val="000000" w:themeColor="text1"/>
          <w:sz w:val="20"/>
          <w:szCs w:val="20"/>
          <w:highlight w:val="none"/>
          <w14:textFill>
            <w14:solidFill>
              <w14:schemeClr w14:val="tx1"/>
            </w14:solidFill>
          </w14:textFill>
        </w:rPr>
        <w:t>认购申请，认购</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理财</w:t>
      </w:r>
      <w:r>
        <w:rPr>
          <w:rFonts w:ascii="Times New Roman" w:hAnsi="Times New Roman" w:eastAsia="楷体_GB2312" w:cs="Times New Roman"/>
          <w:color w:val="000000" w:themeColor="text1"/>
          <w:sz w:val="20"/>
          <w:szCs w:val="20"/>
          <w:highlight w:val="none"/>
          <w14:textFill>
            <w14:solidFill>
              <w14:schemeClr w14:val="tx1"/>
            </w14:solidFill>
          </w14:textFill>
        </w:rPr>
        <w:t>产品份额</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w:t>
      </w:r>
    </w:p>
    <w:p w14:paraId="433102F3">
      <w:pPr>
        <w:pStyle w:val="20"/>
        <w:numPr>
          <w:ilvl w:val="0"/>
          <w:numId w:val="7"/>
        </w:numPr>
        <w:spacing w:line="300" w:lineRule="exact"/>
        <w:ind w:left="0" w:firstLine="400"/>
        <w:jc w:val="both"/>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14:textFill>
            <w14:solidFill>
              <w14:schemeClr w14:val="tx1"/>
            </w14:solidFill>
          </w14:textFill>
        </w:rPr>
        <w:t>本</w:t>
      </w:r>
      <w:r>
        <w:rPr>
          <w:rFonts w:ascii="Times New Roman" w:hAnsi="Times New Roman" w:eastAsia="楷体_GB2312" w:cs="Times New Roman"/>
          <w:color w:val="000000" w:themeColor="text1"/>
          <w:sz w:val="20"/>
          <w:szCs w:val="20"/>
          <w:highlight w:val="none"/>
          <w14:textFill>
            <w14:solidFill>
              <w14:schemeClr w14:val="tx1"/>
            </w14:solidFill>
          </w14:textFill>
        </w:rPr>
        <w:t>理财产品采取金额认购的方式，</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认购份额</w:t>
      </w:r>
      <w:r>
        <w:rPr>
          <w:rFonts w:ascii="Times New Roman" w:hAnsi="Times New Roman" w:eastAsia="楷体_GB2312" w:cs="Times New Roman"/>
          <w:color w:val="000000" w:themeColor="text1"/>
          <w:sz w:val="20"/>
          <w:szCs w:val="20"/>
          <w:highlight w:val="none"/>
          <w14:textFill>
            <w14:solidFill>
              <w14:schemeClr w14:val="tx1"/>
            </w14:solidFill>
          </w14:textFill>
        </w:rPr>
        <w:t>=</w:t>
      </w:r>
      <w:r>
        <w:rPr>
          <w:rFonts w:hint="eastAsia" w:ascii="Times New Roman" w:hAnsi="Times New Roman" w:eastAsia="楷体_GB2312" w:cs="Times New Roman"/>
          <w:color w:val="000000" w:themeColor="text1"/>
          <w:sz w:val="20"/>
          <w:szCs w:val="20"/>
          <w:highlight w:val="none"/>
          <w:lang w:eastAsia="zh-CN"/>
          <w14:textFill>
            <w14:solidFill>
              <w14:schemeClr w14:val="tx1"/>
            </w14:solidFill>
          </w14:textFill>
        </w:rPr>
        <w:t>【</w:t>
      </w:r>
      <w:r>
        <w:rPr>
          <w:rFonts w:ascii="Times New Roman" w:hAnsi="Times New Roman" w:eastAsia="楷体_GB2312" w:cs="Times New Roman"/>
          <w:color w:val="000000" w:themeColor="text1"/>
          <w:sz w:val="20"/>
          <w:szCs w:val="20"/>
          <w:highlight w:val="none"/>
          <w14:textFill>
            <w14:solidFill>
              <w14:schemeClr w14:val="tx1"/>
            </w14:solidFill>
          </w14:textFill>
        </w:rPr>
        <w:t>人民币认购金额</w:t>
      </w:r>
      <w:r>
        <w:rPr>
          <w:rFonts w:hint="eastAsia" w:ascii="Times New Roman" w:hAnsi="Times New Roman" w:eastAsia="楷体_GB2312" w:cs="Times New Roman"/>
          <w:color w:val="000000" w:themeColor="text1"/>
          <w:sz w:val="20"/>
          <w:szCs w:val="20"/>
          <w:highlight w:val="none"/>
          <w:lang w:val="en-US" w:eastAsia="zh-CN"/>
          <w14:textFill>
            <w14:solidFill>
              <w14:schemeClr w14:val="tx1"/>
            </w14:solidFill>
          </w14:textFill>
        </w:rPr>
        <w:t>/</w:t>
      </w:r>
      <w:r>
        <w:rPr>
          <w:rFonts w:ascii="Times New Roman" w:hAnsi="Times New Roman" w:eastAsia="楷体_GB2312" w:cs="Times New Roman"/>
          <w:color w:val="000000" w:themeColor="text1"/>
          <w:sz w:val="20"/>
          <w:szCs w:val="20"/>
          <w:highlight w:val="none"/>
          <w14:textFill>
            <w14:solidFill>
              <w14:schemeClr w14:val="tx1"/>
            </w14:solidFill>
          </w14:textFill>
        </w:rPr>
        <w:t>（1</w:t>
      </w:r>
      <w:r>
        <w:rPr>
          <w:rFonts w:hint="eastAsia" w:ascii="Times New Roman" w:hAnsi="Times New Roman" w:eastAsia="楷体_GB2312" w:cs="Times New Roman"/>
          <w:color w:val="000000" w:themeColor="text1"/>
          <w:sz w:val="20"/>
          <w:szCs w:val="20"/>
          <w:highlight w:val="none"/>
          <w:lang w:val="en-US" w:eastAsia="zh-CN"/>
          <w14:textFill>
            <w14:solidFill>
              <w14:schemeClr w14:val="tx1"/>
            </w14:solidFill>
          </w14:textFill>
        </w:rPr>
        <w:t>+</w:t>
      </w:r>
      <w:r>
        <w:rPr>
          <w:rFonts w:ascii="Times New Roman" w:hAnsi="Times New Roman" w:eastAsia="楷体_GB2312" w:cs="Times New Roman"/>
          <w:color w:val="000000" w:themeColor="text1"/>
          <w:sz w:val="20"/>
          <w:szCs w:val="20"/>
          <w:highlight w:val="none"/>
          <w14:textFill>
            <w14:solidFill>
              <w14:schemeClr w14:val="tx1"/>
            </w14:solidFill>
          </w14:textFill>
        </w:rPr>
        <w:t>认购费率）</w:t>
      </w:r>
      <w:r>
        <w:rPr>
          <w:rFonts w:hint="eastAsia" w:ascii="Times New Roman" w:hAnsi="Times New Roman" w:eastAsia="楷体_GB2312" w:cs="Times New Roman"/>
          <w:color w:val="000000" w:themeColor="text1"/>
          <w:sz w:val="20"/>
          <w:szCs w:val="20"/>
          <w:highlight w:val="none"/>
          <w:lang w:eastAsia="zh-CN"/>
          <w14:textFill>
            <w14:solidFill>
              <w14:schemeClr w14:val="tx1"/>
            </w14:solidFill>
          </w14:textFill>
        </w:rPr>
        <w:t>】</w:t>
      </w:r>
      <w:r>
        <w:rPr>
          <w:rFonts w:ascii="Times New Roman" w:hAnsi="Times New Roman" w:eastAsia="楷体_GB2312" w:cs="Times New Roman"/>
          <w:color w:val="000000" w:themeColor="text1"/>
          <w:sz w:val="20"/>
          <w:szCs w:val="20"/>
          <w:highlight w:val="none"/>
          <w14:textFill>
            <w14:solidFill>
              <w14:schemeClr w14:val="tx1"/>
            </w14:solidFill>
          </w14:textFill>
        </w:rPr>
        <w:t>/1元</w:t>
      </w:r>
      <w:r>
        <w:rPr>
          <w:rFonts w:hint="eastAsia" w:ascii="Times New Roman" w:hAnsi="Times New Roman" w:eastAsia="楷体_GB2312" w:cs="Times New Roman"/>
          <w:color w:val="000000" w:themeColor="text1"/>
          <w:sz w:val="20"/>
          <w:szCs w:val="20"/>
          <w:highlight w:val="none"/>
          <w:lang w:eastAsia="zh-CN"/>
          <w14:textFill>
            <w14:solidFill>
              <w14:schemeClr w14:val="tx1"/>
            </w14:solidFill>
          </w14:textFill>
        </w:rPr>
        <w:t>，</w:t>
      </w:r>
      <w:r>
        <w:rPr>
          <w:rFonts w:ascii="Times New Roman" w:hAnsi="Times New Roman" w:eastAsia="楷体_GB2312" w:cs="Times New Roman"/>
          <w:color w:val="000000" w:themeColor="text1"/>
          <w:sz w:val="20"/>
          <w:szCs w:val="20"/>
          <w:highlight w:val="none"/>
          <w14:textFill>
            <w14:solidFill>
              <w14:schemeClr w14:val="tx1"/>
            </w14:solidFill>
          </w14:textFill>
        </w:rPr>
        <w:t>认购份额按照四舍五入方法计算，保留小数点后【2】位</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由此误差产生的损失由理财财产承担，产生的收益归理财财产所有</w:t>
      </w:r>
      <w:r>
        <w:rPr>
          <w:rFonts w:ascii="Times New Roman" w:hAnsi="Times New Roman" w:eastAsia="楷体_GB2312" w:cs="Times New Roman"/>
          <w:color w:val="000000" w:themeColor="text1"/>
          <w:sz w:val="20"/>
          <w:szCs w:val="20"/>
          <w:highlight w:val="none"/>
          <w14:textFill>
            <w14:solidFill>
              <w14:schemeClr w14:val="tx1"/>
            </w14:solidFill>
          </w14:textFill>
        </w:rPr>
        <w:t>。</w:t>
      </w:r>
    </w:p>
    <w:p w14:paraId="166A4339">
      <w:pPr>
        <w:pStyle w:val="20"/>
        <w:numPr>
          <w:ilvl w:val="0"/>
          <w:numId w:val="7"/>
        </w:numPr>
        <w:spacing w:line="300" w:lineRule="exact"/>
        <w:ind w:left="0" w:firstLine="400"/>
        <w:jc w:val="both"/>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Times New Roman" w:hAnsi="Times New Roman" w:eastAsia="楷体_GB2312" w:cs="Times New Roman"/>
          <w:color w:val="000000" w:themeColor="text1"/>
          <w:sz w:val="20"/>
          <w:szCs w:val="20"/>
          <w:highlight w:val="none"/>
          <w14:textFill>
            <w14:solidFill>
              <w14:schemeClr w14:val="tx1"/>
            </w14:solidFill>
          </w14:textFill>
        </w:rPr>
        <w:t>【</w:t>
      </w:r>
      <w:r>
        <w:rPr>
          <w:rFonts w:hint="eastAsia" w:ascii="楷体_GB2312" w:eastAsia="楷体_GB2312" w:cs="楷体_GB2312"/>
          <w:color w:val="000000"/>
          <w:sz w:val="20"/>
          <w:szCs w:val="20"/>
          <w:highlight w:val="none"/>
        </w:rPr>
        <w:t>募集期结束后的第一个工作日</w:t>
      </w:r>
      <w:r>
        <w:rPr>
          <w:rFonts w:ascii="Times New Roman" w:hAnsi="Times New Roman" w:eastAsia="楷体_GB2312" w:cs="Times New Roman"/>
          <w:color w:val="000000" w:themeColor="text1"/>
          <w:sz w:val="20"/>
          <w:szCs w:val="20"/>
          <w:highlight w:val="none"/>
          <w14:textFill>
            <w14:solidFill>
              <w14:schemeClr w14:val="tx1"/>
            </w14:solidFill>
          </w14:textFill>
        </w:rPr>
        <w:t>】</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为认购份额</w:t>
      </w:r>
      <w:r>
        <w:rPr>
          <w:rFonts w:ascii="Times New Roman" w:hAnsi="Times New Roman" w:eastAsia="楷体_GB2312" w:cs="Times New Roman"/>
          <w:color w:val="000000" w:themeColor="text1"/>
          <w:sz w:val="20"/>
          <w:szCs w:val="20"/>
          <w:highlight w:val="none"/>
          <w14:textFill>
            <w14:solidFill>
              <w14:schemeClr w14:val="tx1"/>
            </w14:solidFill>
          </w14:textFill>
        </w:rPr>
        <w:t>确认日</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，认购</w:t>
      </w:r>
      <w:r>
        <w:rPr>
          <w:rFonts w:ascii="Times New Roman" w:hAnsi="Times New Roman" w:eastAsia="楷体_GB2312" w:cs="Times New Roman"/>
          <w:color w:val="000000" w:themeColor="text1"/>
          <w:sz w:val="20"/>
          <w:szCs w:val="20"/>
          <w:highlight w:val="none"/>
          <w14:textFill>
            <w14:solidFill>
              <w14:schemeClr w14:val="tx1"/>
            </w14:solidFill>
          </w14:textFill>
        </w:rPr>
        <w:t>份额确认日后投资者可</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向销售机构</w:t>
      </w:r>
      <w:r>
        <w:rPr>
          <w:rFonts w:ascii="Times New Roman" w:hAnsi="Times New Roman" w:eastAsia="楷体_GB2312" w:cs="Times New Roman"/>
          <w:color w:val="000000" w:themeColor="text1"/>
          <w:sz w:val="20"/>
          <w:szCs w:val="20"/>
          <w:highlight w:val="none"/>
          <w14:textFill>
            <w14:solidFill>
              <w14:schemeClr w14:val="tx1"/>
            </w14:solidFill>
          </w14:textFill>
        </w:rPr>
        <w:t>查询认购是否</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成功</w:t>
      </w:r>
      <w:r>
        <w:rPr>
          <w:rFonts w:ascii="Times New Roman" w:hAnsi="Times New Roman" w:eastAsia="楷体_GB2312" w:cs="Times New Roman"/>
          <w:color w:val="000000" w:themeColor="text1"/>
          <w:sz w:val="20"/>
          <w:szCs w:val="20"/>
          <w:highlight w:val="none"/>
          <w14:textFill>
            <w14:solidFill>
              <w14:schemeClr w14:val="tx1"/>
            </w14:solidFill>
          </w14:textFill>
        </w:rPr>
        <w:t>。</w:t>
      </w:r>
      <w:r>
        <w:rPr>
          <w:rFonts w:hint="eastAsia" w:ascii="Times New Roman" w:hAnsi="Times New Roman" w:eastAsia="楷体_GB2312" w:cs="Times New Roman"/>
          <w:color w:val="000000" w:themeColor="text1"/>
          <w:sz w:val="20"/>
          <w:szCs w:val="20"/>
          <w:highlight w:val="none"/>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20"/>
        <w:numPr>
          <w:ilvl w:val="0"/>
          <w:numId w:val="7"/>
        </w:numPr>
        <w:spacing w:line="300" w:lineRule="exact"/>
        <w:ind w:left="0" w:firstLine="400"/>
        <w:jc w:val="both"/>
        <w:rPr>
          <w:rFonts w:ascii="Times New Roman" w:hAnsi="Times New Roman" w:eastAsia="楷体_GB2312" w:cs="Times New Roman"/>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管理人保留不接受认购申请的权利。</w:t>
      </w:r>
    </w:p>
    <w:p w14:paraId="787D5991">
      <w:pPr>
        <w:spacing w:line="300" w:lineRule="exact"/>
        <w:ind w:left="-2" w:leftChars="-1" w:right="36" w:rightChars="15"/>
        <w:rPr>
          <w:rFonts w:ascii="黑体" w:hAnsi="Times New Roman" w:eastAsia="黑体" w:cs="黑体"/>
          <w:color w:val="000000" w:themeColor="text1"/>
          <w:sz w:val="20"/>
          <w:szCs w:val="20"/>
          <w:highlight w:val="none"/>
          <w14:textFill>
            <w14:solidFill>
              <w14:schemeClr w14:val="tx1"/>
            </w14:solidFill>
          </w14:textFill>
        </w:rPr>
      </w:pPr>
    </w:p>
    <w:p w14:paraId="2142C2C1">
      <w:pPr>
        <w:spacing w:line="300" w:lineRule="exact"/>
        <w:ind w:left="-2" w:leftChars="-1" w:right="36" w:rightChars="15"/>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五</w:t>
      </w:r>
      <w:r>
        <w:rPr>
          <w:rFonts w:ascii="黑体" w:hAnsi="Times New Roman" w:eastAsia="黑体" w:cs="黑体"/>
          <w:color w:val="000000" w:themeColor="text1"/>
          <w:sz w:val="20"/>
          <w:szCs w:val="20"/>
          <w:highlight w:val="none"/>
          <w14:textFill>
            <w14:solidFill>
              <w14:schemeClr w14:val="tx1"/>
            </w14:solidFill>
          </w14:textFill>
        </w:rPr>
        <w:t>、</w:t>
      </w:r>
      <w:r>
        <w:rPr>
          <w:rFonts w:hint="eastAsia" w:ascii="黑体" w:hAnsi="Times New Roman" w:eastAsia="黑体" w:cs="黑体"/>
          <w:color w:val="000000" w:themeColor="text1"/>
          <w:sz w:val="20"/>
          <w:szCs w:val="20"/>
          <w:highlight w:val="none"/>
          <w14:textFill>
            <w14:solidFill>
              <w14:schemeClr w14:val="tx1"/>
            </w14:solidFill>
          </w14:textFill>
        </w:rPr>
        <w:t>理财</w:t>
      </w:r>
      <w:r>
        <w:rPr>
          <w:rFonts w:ascii="黑体" w:hAnsi="Times New Roman" w:eastAsia="黑体" w:cs="黑体"/>
          <w:color w:val="000000" w:themeColor="text1"/>
          <w:sz w:val="20"/>
          <w:szCs w:val="20"/>
          <w:highlight w:val="none"/>
          <w14:textFill>
            <w14:solidFill>
              <w14:schemeClr w14:val="tx1"/>
            </w14:solidFill>
          </w14:textFill>
        </w:rPr>
        <w:t>产品的</w:t>
      </w:r>
      <w:r>
        <w:rPr>
          <w:rFonts w:hint="eastAsia" w:ascii="黑体" w:hAnsi="Times New Roman" w:eastAsia="黑体" w:cs="黑体"/>
          <w:color w:val="000000" w:themeColor="text1"/>
          <w:sz w:val="20"/>
          <w:szCs w:val="20"/>
          <w:highlight w:val="none"/>
          <w14:textFill>
            <w14:solidFill>
              <w14:schemeClr w14:val="tx1"/>
            </w14:solidFill>
          </w14:textFill>
        </w:rPr>
        <w:t>申购和</w:t>
      </w:r>
      <w:r>
        <w:rPr>
          <w:rFonts w:ascii="黑体" w:hAnsi="Times New Roman" w:eastAsia="黑体" w:cs="黑体"/>
          <w:color w:val="000000" w:themeColor="text1"/>
          <w:sz w:val="20"/>
          <w:szCs w:val="20"/>
          <w:highlight w:val="none"/>
          <w14:textFill>
            <w14:solidFill>
              <w14:schemeClr w14:val="tx1"/>
            </w14:solidFill>
          </w14:textFill>
        </w:rPr>
        <w:t>赎回</w:t>
      </w:r>
    </w:p>
    <w:p w14:paraId="0AC6A6FA">
      <w:pPr>
        <w:spacing w:line="300" w:lineRule="exact"/>
        <w:ind w:left="-2" w:leftChars="-1" w:right="36" w:rightChars="15" w:firstLine="428" w:firstLineChars="214"/>
        <w:rPr>
          <w:rFonts w:ascii="楷体_GB2312" w:eastAsia="楷体_GB2312"/>
          <w:color w:val="000000" w:themeColor="text1"/>
          <w:sz w:val="20"/>
          <w:szCs w:val="20"/>
          <w:highlight w:val="none"/>
          <w14:textFill>
            <w14:solidFill>
              <w14:schemeClr w14:val="tx1"/>
            </w14:solidFill>
          </w14:textFill>
        </w:rPr>
      </w:pPr>
      <w:r>
        <w:rPr>
          <w:rFonts w:hint="eastAsia" w:ascii="Times New Roman" w:hAnsi="Times New Roman" w:eastAsia="楷体_GB2312"/>
          <w:color w:val="000000" w:themeColor="text1"/>
          <w:sz w:val="20"/>
          <w:szCs w:val="20"/>
          <w:highlight w:val="none"/>
          <w14:textFill>
            <w14:solidFill>
              <w14:schemeClr w14:val="tx1"/>
            </w14:solidFill>
          </w14:textFill>
        </w:rPr>
        <w:t>本产品不开放申购和赎回。</w:t>
      </w:r>
    </w:p>
    <w:p w14:paraId="453E6466">
      <w:pPr>
        <w:spacing w:line="300" w:lineRule="exact"/>
        <w:ind w:right="36" w:rightChars="15"/>
        <w:rPr>
          <w:rFonts w:ascii="楷体_GB2312" w:eastAsia="楷体_GB2312"/>
          <w:color w:val="000000" w:themeColor="text1"/>
          <w:sz w:val="20"/>
          <w:szCs w:val="20"/>
          <w:highlight w:val="none"/>
          <w14:textFill>
            <w14:solidFill>
              <w14:schemeClr w14:val="tx1"/>
            </w14:solidFill>
          </w14:textFill>
        </w:rPr>
      </w:pPr>
    </w:p>
    <w:p w14:paraId="6B9F2CF3">
      <w:pPr>
        <w:spacing w:line="300" w:lineRule="exact"/>
        <w:ind w:left="-2" w:leftChars="-1" w:right="96" w:rightChars="40"/>
        <w:rPr>
          <w:rFonts w:ascii="黑体" w:eastAsia="黑体"/>
          <w:color w:val="000000" w:themeColor="text1"/>
          <w:sz w:val="20"/>
          <w:szCs w:val="20"/>
          <w:highlight w:val="none"/>
          <w14:textFill>
            <w14:solidFill>
              <w14:schemeClr w14:val="tx1"/>
            </w14:solidFill>
          </w14:textFill>
        </w:rPr>
      </w:pPr>
      <w:r>
        <w:rPr>
          <w:rFonts w:hint="eastAsia" w:ascii="黑体" w:eastAsia="黑体" w:cs="黑体"/>
          <w:color w:val="000000" w:themeColor="text1"/>
          <w:sz w:val="20"/>
          <w:szCs w:val="20"/>
          <w:highlight w:val="none"/>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1</w:t>
      </w:r>
      <w:r>
        <w:rPr>
          <w:rFonts w:hint="eastAsia" w:ascii="楷体_GB2312" w:eastAsia="楷体_GB2312" w:cs="楷体_GB2312"/>
          <w:color w:val="000000" w:themeColor="text1"/>
          <w:sz w:val="20"/>
          <w:szCs w:val="20"/>
          <w:highlight w:val="none"/>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2</w:t>
      </w:r>
      <w:r>
        <w:rPr>
          <w:rFonts w:hint="eastAsia" w:ascii="楷体_GB2312" w:eastAsia="楷体_GB2312" w:cs="楷体_GB2312"/>
          <w:color w:val="000000" w:themeColor="text1"/>
          <w:sz w:val="20"/>
          <w:szCs w:val="20"/>
          <w:highlight w:val="none"/>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3</w:t>
      </w:r>
      <w:r>
        <w:rPr>
          <w:rFonts w:hint="eastAsia" w:ascii="楷体_GB2312" w:eastAsia="楷体_GB2312" w:cs="楷体_GB2312"/>
          <w:color w:val="000000" w:themeColor="text1"/>
          <w:sz w:val="20"/>
          <w:szCs w:val="20"/>
          <w:highlight w:val="none"/>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4</w:t>
      </w:r>
      <w:r>
        <w:rPr>
          <w:rFonts w:hint="eastAsia" w:ascii="楷体_GB2312" w:eastAsia="楷体_GB2312" w:cs="楷体_GB2312"/>
          <w:color w:val="000000" w:themeColor="text1"/>
          <w:sz w:val="20"/>
          <w:szCs w:val="20"/>
          <w:highlight w:val="none"/>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（5</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法律法规规定或管理人基于审慎考虑认定的其他情形。</w:t>
      </w:r>
    </w:p>
    <w:p w14:paraId="2D8C760D">
      <w:pPr>
        <w:spacing w:line="300" w:lineRule="exact"/>
        <w:ind w:right="0" w:rightChars="0"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如果投资者的认购申请被拒绝，被拒绝的认购款项将全额退还给投资者，扣款日至认购款项返还日期间是否计付利息以及利息计付规则以销售机构为准。</w:t>
      </w:r>
    </w:p>
    <w:p w14:paraId="2F9BC8AD">
      <w:pPr>
        <w:pStyle w:val="20"/>
        <w:numPr>
          <w:ilvl w:val="0"/>
          <w:numId w:val="8"/>
        </w:numPr>
        <w:spacing w:line="300" w:lineRule="exact"/>
        <w:ind w:right="96" w:rightChars="40" w:firstLineChars="0"/>
        <w:rPr>
          <w:rFonts w:ascii="黑体" w:eastAsia="黑体" w:cs="黑体"/>
          <w:color w:val="000000" w:themeColor="text1"/>
          <w:sz w:val="20"/>
          <w:szCs w:val="20"/>
          <w:highlight w:val="none"/>
          <w14:textFill>
            <w14:solidFill>
              <w14:schemeClr w14:val="tx1"/>
            </w14:solidFill>
          </w14:textFill>
        </w:rPr>
      </w:pPr>
      <w:r>
        <w:rPr>
          <w:rFonts w:ascii="黑体" w:eastAsia="黑体" w:cs="黑体"/>
          <w:color w:val="000000" w:themeColor="text1"/>
          <w:sz w:val="20"/>
          <w:szCs w:val="20"/>
          <w:highlight w:val="none"/>
          <w14:textFill>
            <w14:solidFill>
              <w14:schemeClr w14:val="tx1"/>
            </w14:solidFill>
          </w14:textFill>
        </w:rPr>
        <w:t>理财资金分配</w:t>
      </w:r>
    </w:p>
    <w:p w14:paraId="44DD0FE2">
      <w:pPr>
        <w:pStyle w:val="20"/>
        <w:numPr>
          <w:ilvl w:val="0"/>
          <w:numId w:val="0"/>
        </w:numPr>
        <w:spacing w:line="300" w:lineRule="exact"/>
        <w:ind w:right="96" w:rightChars="40" w:firstLine="420" w:firstLineChars="0"/>
        <w:rPr>
          <w:rFonts w:ascii="黑体" w:eastAsia="黑体" w:cs="黑体"/>
          <w:color w:val="000000" w:themeColor="text1"/>
          <w:sz w:val="20"/>
          <w:szCs w:val="20"/>
          <w:highlight w:val="none"/>
          <w14:textFill>
            <w14:solidFill>
              <w14:schemeClr w14:val="tx1"/>
            </w14:solidFill>
          </w14:textFill>
        </w:rPr>
      </w:pPr>
      <w:r>
        <w:rPr>
          <w:rFonts w:hint="eastAsia" w:ascii="黑体" w:eastAsia="黑体" w:cs="黑体"/>
          <w:color w:val="000000" w:themeColor="text1"/>
          <w:sz w:val="20"/>
          <w:szCs w:val="20"/>
          <w:highlight w:val="none"/>
          <w:lang w:eastAsia="zh-CN"/>
          <w14:textFill>
            <w14:solidFill>
              <w14:schemeClr w14:val="tx1"/>
            </w14:solidFill>
          </w14:textFill>
        </w:rPr>
        <w:t>（一）</w:t>
      </w:r>
      <w:r>
        <w:rPr>
          <w:rFonts w:hint="eastAsia" w:ascii="黑体" w:eastAsia="黑体" w:cs="黑体"/>
          <w:color w:val="000000" w:themeColor="text1"/>
          <w:sz w:val="20"/>
          <w:szCs w:val="20"/>
          <w:highlight w:val="none"/>
          <w14:textFill>
            <w14:solidFill>
              <w14:schemeClr w14:val="tx1"/>
            </w14:solidFill>
          </w14:textFill>
        </w:rPr>
        <w:t>期间</w:t>
      </w:r>
      <w:r>
        <w:rPr>
          <w:rFonts w:ascii="黑体" w:eastAsia="黑体" w:cs="黑体"/>
          <w:color w:val="000000" w:themeColor="text1"/>
          <w:sz w:val="20"/>
          <w:szCs w:val="20"/>
          <w:highlight w:val="none"/>
          <w14:textFill>
            <w14:solidFill>
              <w14:schemeClr w14:val="tx1"/>
            </w14:solidFill>
          </w14:textFill>
        </w:rPr>
        <w:t>分配</w:t>
      </w:r>
    </w:p>
    <w:p w14:paraId="244E4B04">
      <w:pPr>
        <w:spacing w:line="300" w:lineRule="exact"/>
        <w:ind w:right="96" w:rightChars="40" w:firstLine="402" w:firstLineChars="20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b/>
          <w:bCs/>
          <w:color w:val="000000" w:themeColor="text1"/>
          <w:sz w:val="20"/>
          <w:szCs w:val="20"/>
          <w:highlight w:val="none"/>
          <w14:textFill>
            <w14:solidFill>
              <w14:schemeClr w14:val="tx1"/>
            </w14:solidFill>
          </w14:textFill>
        </w:rPr>
        <w:t>无。</w:t>
      </w:r>
    </w:p>
    <w:p w14:paraId="2FCF4BB6">
      <w:pPr>
        <w:pStyle w:val="20"/>
        <w:numPr>
          <w:ilvl w:val="0"/>
          <w:numId w:val="0"/>
        </w:numPr>
        <w:spacing w:line="300" w:lineRule="exact"/>
        <w:ind w:right="96" w:rightChars="40" w:firstLine="420" w:firstLineChars="0"/>
        <w:rPr>
          <w:rFonts w:hint="eastAsia" w:ascii="黑体" w:eastAsia="黑体" w:cs="黑体"/>
          <w:color w:val="000000" w:themeColor="text1"/>
          <w:sz w:val="20"/>
          <w:szCs w:val="20"/>
          <w:highlight w:val="none"/>
          <w:lang w:eastAsia="zh-CN"/>
          <w14:textFill>
            <w14:solidFill>
              <w14:schemeClr w14:val="tx1"/>
            </w14:solidFill>
          </w14:textFill>
        </w:rPr>
      </w:pPr>
      <w:r>
        <w:rPr>
          <w:rFonts w:hint="eastAsia" w:ascii="黑体" w:eastAsia="黑体" w:cs="黑体"/>
          <w:color w:val="000000" w:themeColor="text1"/>
          <w:sz w:val="20"/>
          <w:szCs w:val="20"/>
          <w:highlight w:val="none"/>
          <w:lang w:eastAsia="zh-CN"/>
          <w14:textFill>
            <w14:solidFill>
              <w14:schemeClr w14:val="tx1"/>
            </w14:solidFill>
          </w14:textFill>
        </w:rPr>
        <w:t>（二）终止分配</w:t>
      </w:r>
    </w:p>
    <w:p w14:paraId="5F49184E">
      <w:pPr>
        <w:spacing w:line="300" w:lineRule="exact"/>
        <w:ind w:right="36" w:rightChars="15" w:firstLine="400" w:firstLineChars="20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1</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本产品在扣除信银理财</w:t>
      </w:r>
      <w:r>
        <w:rPr>
          <w:rFonts w:ascii="楷体_GB2312" w:eastAsia="楷体_GB2312" w:cs="楷体_GB2312"/>
          <w:color w:val="000000" w:themeColor="text1"/>
          <w:sz w:val="20"/>
          <w:szCs w:val="20"/>
          <w:highlight w:val="none"/>
          <w14:textFill>
            <w14:solidFill>
              <w14:schemeClr w14:val="tx1"/>
            </w14:solidFill>
          </w14:textFill>
        </w:rPr>
        <w:t>应收取费用</w:t>
      </w:r>
      <w:r>
        <w:rPr>
          <w:rFonts w:hint="eastAsia" w:ascii="楷体_GB2312" w:eastAsia="楷体_GB2312" w:cs="楷体_GB2312"/>
          <w:color w:val="000000" w:themeColor="text1"/>
          <w:sz w:val="20"/>
          <w:szCs w:val="20"/>
          <w:highlight w:val="none"/>
          <w14:textFill>
            <w14:solidFill>
              <w14:schemeClr w14:val="tx1"/>
            </w14:solidFill>
          </w14:textFill>
        </w:rPr>
        <w:t>及其他应由产品承担的税费后的投资损益全部归属投资者。</w:t>
      </w:r>
    </w:p>
    <w:p w14:paraId="6CF59FB7">
      <w:pPr>
        <w:spacing w:line="300" w:lineRule="exact"/>
        <w:ind w:right="36" w:rightChars="15" w:firstLine="400" w:firstLineChars="200"/>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2</w:t>
      </w:r>
      <w:r>
        <w:rPr>
          <w:rFonts w:ascii="楷体_GB2312" w:eastAsia="楷体_GB2312"/>
          <w:color w:val="000000" w:themeColor="text1"/>
          <w:sz w:val="20"/>
          <w:szCs w:val="20"/>
          <w:highlight w:val="none"/>
          <w14:textFill>
            <w14:solidFill>
              <w14:schemeClr w14:val="tx1"/>
            </w14:solidFill>
          </w14:textFill>
        </w:rPr>
        <w:t>.如产品正常到期</w:t>
      </w:r>
      <w:r>
        <w:rPr>
          <w:rFonts w:hint="eastAsia" w:ascii="楷体_GB2312" w:eastAsia="楷体_GB2312"/>
          <w:color w:val="000000" w:themeColor="text1"/>
          <w:sz w:val="20"/>
          <w:szCs w:val="20"/>
          <w:highlight w:val="none"/>
          <w14:textFill>
            <w14:solidFill>
              <w14:schemeClr w14:val="tx1"/>
            </w14:solidFill>
          </w14:textFill>
        </w:rPr>
        <w:t>或</w:t>
      </w:r>
      <w:r>
        <w:rPr>
          <w:rFonts w:ascii="楷体_GB2312" w:eastAsia="楷体_GB2312"/>
          <w:color w:val="000000" w:themeColor="text1"/>
          <w:sz w:val="20"/>
          <w:szCs w:val="20"/>
          <w:highlight w:val="none"/>
          <w14:textFill>
            <w14:solidFill>
              <w14:schemeClr w14:val="tx1"/>
            </w14:solidFill>
          </w14:textFill>
        </w:rPr>
        <w:t>提前终止，理财资金于</w:t>
      </w:r>
      <w:r>
        <w:rPr>
          <w:rFonts w:hint="eastAsia" w:ascii="楷体_GB2312" w:eastAsia="楷体_GB2312"/>
          <w:color w:val="000000" w:themeColor="text1"/>
          <w:sz w:val="20"/>
          <w:szCs w:val="20"/>
          <w:highlight w:val="none"/>
          <w14:textFill>
            <w14:solidFill>
              <w14:schemeClr w14:val="tx1"/>
            </w14:solidFill>
          </w14:textFill>
        </w:rPr>
        <w:t>到期日</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实际</w:t>
      </w:r>
      <w:r>
        <w:rPr>
          <w:rFonts w:ascii="楷体_GB2312" w:eastAsia="楷体_GB2312"/>
          <w:color w:val="000000" w:themeColor="text1"/>
          <w:sz w:val="20"/>
          <w:szCs w:val="20"/>
          <w:highlight w:val="none"/>
          <w14:textFill>
            <w14:solidFill>
              <w14:schemeClr w14:val="tx1"/>
            </w14:solidFill>
          </w14:textFill>
        </w:rPr>
        <w:t>到期日</w:t>
      </w:r>
      <w:r>
        <w:rPr>
          <w:rFonts w:hint="eastAsia" w:ascii="楷体_GB2312" w:eastAsia="楷体_GB2312"/>
          <w:color w:val="000000" w:themeColor="text1"/>
          <w:sz w:val="20"/>
          <w:szCs w:val="20"/>
          <w:highlight w:val="none"/>
          <w14:textFill>
            <w14:solidFill>
              <w14:schemeClr w14:val="tx1"/>
            </w14:solidFill>
          </w14:textFill>
        </w:rPr>
        <w:t>或</w:t>
      </w:r>
      <w:r>
        <w:rPr>
          <w:rFonts w:ascii="楷体_GB2312" w:eastAsia="楷体_GB2312"/>
          <w:color w:val="000000" w:themeColor="text1"/>
          <w:sz w:val="20"/>
          <w:szCs w:val="20"/>
          <w:highlight w:val="none"/>
          <w14:textFill>
            <w14:solidFill>
              <w14:schemeClr w14:val="tx1"/>
            </w14:solidFill>
          </w14:textFill>
        </w:rPr>
        <w:t>提前终止日</w:t>
      </w:r>
      <w:r>
        <w:rPr>
          <w:rFonts w:hint="eastAsia" w:ascii="楷体_GB2312" w:eastAsia="楷体_GB2312"/>
          <w:color w:val="000000" w:themeColor="text1"/>
          <w:sz w:val="20"/>
          <w:szCs w:val="20"/>
          <w:highlight w:val="none"/>
          <w14:textFill>
            <w14:solidFill>
              <w14:schemeClr w14:val="tx1"/>
            </w14:solidFill>
          </w14:textFill>
        </w:rPr>
        <w:t>）</w:t>
      </w:r>
      <w:r>
        <w:rPr>
          <w:rFonts w:ascii="楷体_GB2312" w:eastAsia="楷体_GB2312"/>
          <w:color w:val="000000" w:themeColor="text1"/>
          <w:sz w:val="20"/>
          <w:szCs w:val="20"/>
          <w:highlight w:val="none"/>
          <w14:textFill>
            <w14:solidFill>
              <w14:schemeClr w14:val="tx1"/>
            </w14:solidFill>
          </w14:textFill>
        </w:rPr>
        <w:t>后【</w:t>
      </w:r>
      <w:r>
        <w:rPr>
          <w:rFonts w:hint="eastAsia" w:ascii="楷体_GB2312" w:eastAsia="楷体_GB2312"/>
          <w:color w:val="000000" w:themeColor="text1"/>
          <w:sz w:val="20"/>
          <w:szCs w:val="20"/>
          <w:highlight w:val="none"/>
          <w14:textFill>
            <w14:solidFill>
              <w14:schemeClr w14:val="tx1"/>
            </w14:solidFill>
          </w14:textFill>
        </w:rPr>
        <w:t>5</w:t>
      </w:r>
      <w:r>
        <w:rPr>
          <w:rFonts w:ascii="楷体_GB2312" w:eastAsia="楷体_GB2312"/>
          <w:color w:val="000000" w:themeColor="text1"/>
          <w:sz w:val="20"/>
          <w:szCs w:val="20"/>
          <w:highlight w:val="none"/>
          <w14:textFill>
            <w14:solidFill>
              <w14:schemeClr w14:val="tx1"/>
            </w14:solidFill>
          </w14:textFill>
        </w:rPr>
        <w:t>】个工作日内根据实际情况一次性分配，如遇</w:t>
      </w:r>
      <w:r>
        <w:rPr>
          <w:rFonts w:hint="eastAsia" w:ascii="楷体_GB2312" w:eastAsia="楷体_GB2312"/>
          <w:color w:val="000000" w:themeColor="text1"/>
          <w:sz w:val="20"/>
          <w:szCs w:val="20"/>
          <w:highlight w:val="none"/>
          <w14:textFill>
            <w14:solidFill>
              <w14:schemeClr w14:val="tx1"/>
            </w14:solidFill>
          </w14:textFill>
        </w:rPr>
        <w:t>非工作日</w:t>
      </w:r>
      <w:r>
        <w:rPr>
          <w:rFonts w:ascii="楷体_GB2312" w:eastAsia="楷体_GB2312"/>
          <w:color w:val="000000" w:themeColor="text1"/>
          <w:sz w:val="20"/>
          <w:szCs w:val="20"/>
          <w:highlight w:val="none"/>
          <w14:textFill>
            <w14:solidFill>
              <w14:schemeClr w14:val="tx1"/>
            </w14:solidFill>
          </w14:textFill>
        </w:rPr>
        <w:t>则顺延至下一工作日。</w:t>
      </w:r>
    </w:p>
    <w:p w14:paraId="0B5273DF">
      <w:pPr>
        <w:spacing w:line="300" w:lineRule="exact"/>
        <w:ind w:right="36" w:rightChars="15" w:firstLine="400" w:firstLineChars="200"/>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3.</w:t>
      </w:r>
      <w:r>
        <w:rPr>
          <w:rFonts w:hint="eastAsia" w:ascii="楷体_GB2312" w:eastAsia="楷体_GB2312" w:cs="楷体_GB2312"/>
          <w:color w:val="000000" w:themeColor="text1"/>
          <w:sz w:val="20"/>
          <w:szCs w:val="20"/>
          <w:highlight w:val="none"/>
          <w14:textFill>
            <w14:solidFill>
              <w14:schemeClr w14:val="tx1"/>
            </w14:solidFill>
          </w14:textFill>
        </w:rPr>
        <w:t>投资者到期日应得资金计算公式如下：</w:t>
      </w:r>
    </w:p>
    <w:p w14:paraId="3D646041">
      <w:pPr>
        <w:spacing w:line="300" w:lineRule="exact"/>
        <w:ind w:right="36" w:rightChars="15" w:firstLine="400" w:firstLineChars="200"/>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投资者应得资金</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到期日产品可分配的总金额</w:t>
      </w:r>
      <w:r>
        <w:rPr>
          <w:rFonts w:ascii="楷体_GB2312" w:eastAsia="楷体_GB2312" w:cs="楷体_GB2312"/>
          <w:color w:val="000000" w:themeColor="text1"/>
          <w:sz w:val="20"/>
          <w:szCs w:val="20"/>
          <w:highlight w:val="none"/>
          <w14:textFill>
            <w14:solidFill>
              <w14:schemeClr w14:val="tx1"/>
            </w14:solidFill>
          </w14:textFill>
        </w:rPr>
        <w:t>/产品的总份额*投资者的持有份额</w:t>
      </w:r>
    </w:p>
    <w:p w14:paraId="55FA2824">
      <w:pPr>
        <w:spacing w:line="300" w:lineRule="exact"/>
        <w:ind w:right="36" w:rightChars="15" w:firstLine="400" w:firstLineChars="200"/>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4.</w:t>
      </w:r>
      <w:r>
        <w:rPr>
          <w:rFonts w:hint="eastAsia" w:ascii="楷体_GB2312" w:eastAsia="楷体_GB2312" w:cs="楷体_GB2312"/>
          <w:color w:val="000000" w:themeColor="text1"/>
          <w:sz w:val="20"/>
          <w:szCs w:val="20"/>
          <w:highlight w:val="none"/>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highlight w:val="none"/>
          <w14:textFill>
            <w14:solidFill>
              <w14:schemeClr w14:val="tx1"/>
            </w14:solidFill>
          </w14:textFill>
        </w:rPr>
        <w:t>其他原因延长</w:t>
      </w:r>
      <w:r>
        <w:rPr>
          <w:rFonts w:hint="eastAsia" w:ascii="楷体_GB2312" w:eastAsia="楷体_GB2312" w:cs="楷体_GB2312"/>
          <w:color w:val="000000" w:themeColor="text1"/>
          <w:sz w:val="20"/>
          <w:szCs w:val="20"/>
          <w:highlight w:val="none"/>
          <w14:textFill>
            <w14:solidFill>
              <w14:schemeClr w14:val="tx1"/>
            </w14:solidFill>
          </w14:textFill>
        </w:rPr>
        <w:t>，产品到期日视情况将可能相应进行调整，若进行调整，信银理财将以本产品</w:t>
      </w:r>
      <w:r>
        <w:rPr>
          <w:rFonts w:ascii="楷体_GB2312" w:eastAsia="楷体_GB2312" w:cs="楷体_GB2312"/>
          <w:color w:val="000000" w:themeColor="text1"/>
          <w:sz w:val="20"/>
          <w:szCs w:val="20"/>
          <w:highlight w:val="none"/>
          <w14:textFill>
            <w14:solidFill>
              <w14:schemeClr w14:val="tx1"/>
            </w14:solidFill>
          </w14:textFill>
        </w:rPr>
        <w:t>说明书</w:t>
      </w:r>
      <w:r>
        <w:rPr>
          <w:rFonts w:hint="eastAsia" w:ascii="楷体_GB2312" w:eastAsia="楷体_GB2312" w:cs="楷体_GB2312"/>
          <w:color w:val="000000" w:themeColor="text1"/>
          <w:sz w:val="20"/>
          <w:szCs w:val="20"/>
          <w:highlight w:val="none"/>
          <w14:textFill>
            <w14:solidFill>
              <w14:schemeClr w14:val="tx1"/>
            </w14:solidFill>
          </w14:textFill>
        </w:rPr>
        <w:t>约定的</w:t>
      </w:r>
      <w:r>
        <w:rPr>
          <w:rFonts w:ascii="楷体_GB2312" w:eastAsia="楷体_GB2312" w:cs="楷体_GB2312"/>
          <w:color w:val="000000" w:themeColor="text1"/>
          <w:sz w:val="20"/>
          <w:szCs w:val="20"/>
          <w:highlight w:val="none"/>
          <w14:textFill>
            <w14:solidFill>
              <w14:schemeClr w14:val="tx1"/>
            </w14:solidFill>
          </w14:textFill>
        </w:rPr>
        <w:t>方式通知投资者</w:t>
      </w:r>
      <w:r>
        <w:rPr>
          <w:rFonts w:hint="eastAsia" w:ascii="楷体_GB2312" w:eastAsia="楷体_GB2312" w:cs="楷体_GB2312"/>
          <w:color w:val="000000" w:themeColor="text1"/>
          <w:sz w:val="20"/>
          <w:szCs w:val="20"/>
          <w:highlight w:val="none"/>
          <w14:textFill>
            <w14:solidFill>
              <w14:schemeClr w14:val="tx1"/>
            </w14:solidFill>
          </w14:textFill>
        </w:rPr>
        <w:t>。</w:t>
      </w:r>
    </w:p>
    <w:p w14:paraId="558A3115">
      <w:pPr>
        <w:spacing w:line="300" w:lineRule="exact"/>
        <w:ind w:right="36" w:rightChars="15" w:firstLine="400" w:firstLineChars="200"/>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5</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投资者通过</w:t>
      </w:r>
      <w:r>
        <w:rPr>
          <w:rFonts w:ascii="楷体_GB2312" w:eastAsia="楷体_GB2312"/>
          <w:color w:val="000000" w:themeColor="text1"/>
          <w:sz w:val="20"/>
          <w:szCs w:val="20"/>
          <w:highlight w:val="none"/>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highlight w:val="none"/>
          <w14:textFill>
            <w14:solidFill>
              <w14:schemeClr w14:val="tx1"/>
            </w14:solidFill>
          </w14:textFill>
        </w:rPr>
        <w:t>账户的</w:t>
      </w:r>
      <w:r>
        <w:rPr>
          <w:rFonts w:ascii="楷体_GB2312" w:eastAsia="楷体_GB2312"/>
          <w:color w:val="000000" w:themeColor="text1"/>
          <w:sz w:val="20"/>
          <w:szCs w:val="20"/>
          <w:highlight w:val="none"/>
          <w14:textFill>
            <w14:solidFill>
              <w14:schemeClr w14:val="tx1"/>
            </w14:solidFill>
          </w14:textFill>
        </w:rPr>
        <w:t>时间以代销机构的清算时间为准。</w:t>
      </w:r>
    </w:p>
    <w:p w14:paraId="3A470B0F">
      <w:pPr>
        <w:spacing w:line="300" w:lineRule="exact"/>
        <w:ind w:left="-2" w:leftChars="-1" w:right="36" w:rightChars="15"/>
        <w:rPr>
          <w:color w:val="000000" w:themeColor="text1"/>
          <w:highlight w:val="none"/>
          <w14:textFill>
            <w14:solidFill>
              <w14:schemeClr w14:val="tx1"/>
            </w14:solidFill>
          </w14:textFill>
        </w:rPr>
      </w:pPr>
    </w:p>
    <w:p w14:paraId="0B43CF77">
      <w:pPr>
        <w:snapToGrid w:val="0"/>
        <w:spacing w:line="300" w:lineRule="exact"/>
        <w:ind w:left="-2" w:leftChars="-1" w:right="53" w:rightChars="22"/>
        <w:outlineLvl w:val="0"/>
        <w:rPr>
          <w:rFonts w:ascii="黑体" w:eastAsia="黑体" w:cs="黑体"/>
          <w:b/>
          <w:color w:val="000000" w:themeColor="text1"/>
          <w:sz w:val="20"/>
          <w:szCs w:val="20"/>
          <w:highlight w:val="none"/>
          <w14:textFill>
            <w14:solidFill>
              <w14:schemeClr w14:val="tx1"/>
            </w14:solidFill>
          </w14:textFill>
        </w:rPr>
      </w:pPr>
      <w:r>
        <w:rPr>
          <w:rFonts w:hint="eastAsia" w:ascii="黑体" w:eastAsia="黑体" w:cs="黑体"/>
          <w:b/>
          <w:color w:val="000000" w:themeColor="text1"/>
          <w:sz w:val="20"/>
          <w:szCs w:val="20"/>
          <w:highlight w:val="none"/>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1．本产品的费用包括认购费、销售服务费、托管费、固定管理费、浮动管理费、</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信息技术服务费</w:t>
      </w:r>
      <w:r>
        <w:rPr>
          <w:rFonts w:ascii="楷体_GB2312" w:eastAsia="楷体_GB2312" w:cs="楷体_GB2312"/>
          <w:b/>
          <w:color w:val="000000" w:themeColor="text1"/>
          <w:sz w:val="20"/>
          <w:szCs w:val="20"/>
          <w:highlight w:val="none"/>
          <w14:textFill>
            <w14:solidFill>
              <w14:schemeClr w14:val="tx1"/>
            </w14:solidFill>
          </w14:textFill>
        </w:rPr>
        <w:t>，产品运作和清算中产生的其他资金汇划费、结算费、交易手续费、注册登记费、信息披露费、账户服务费、审计费、律师费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highlight w:val="none"/>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highlight w:val="none"/>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highlight w:val="none"/>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highlight w:val="none"/>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color w:val="000000"/>
          <w:sz w:val="20"/>
          <w:szCs w:val="20"/>
          <w:highlight w:val="none"/>
        </w:rPr>
        <w:t>2.认购费</w:t>
      </w:r>
      <w:r>
        <w:rPr>
          <w:rFonts w:hint="eastAsia" w:ascii="楷体_GB2312" w:eastAsia="楷体_GB2312" w:cs="楷体_GB2312"/>
          <w:b/>
          <w:color w:val="000000"/>
          <w:sz w:val="20"/>
          <w:szCs w:val="20"/>
          <w:highlight w:val="none"/>
        </w:rPr>
        <w:t>：</w:t>
      </w:r>
      <w:r>
        <w:rPr>
          <w:rFonts w:ascii="楷体_GB2312" w:eastAsia="楷体_GB2312" w:cs="楷体_GB2312"/>
          <w:b/>
          <w:sz w:val="20"/>
          <w:szCs w:val="20"/>
          <w:highlight w:val="none"/>
        </w:rPr>
        <w:t>【A】类份额不收取认购费，【B】类份额不收取认购费，【C】类份额不收取认购费，【D】类份额不收取认购费，【G】类份额不收取认购费，【M】类份额不收取认购费，【N】类份额不收取认购费，【S】类份额不收取认购费</w:t>
      </w:r>
      <w:r>
        <w:rPr>
          <w:rFonts w:hint="eastAsia" w:ascii="楷体_GB2312" w:eastAsia="楷体_GB2312" w:cs="楷体_GB2312"/>
          <w:b/>
          <w:sz w:val="20"/>
          <w:szCs w:val="20"/>
          <w:highlight w:val="none"/>
        </w:rPr>
        <w:t>。</w:t>
      </w:r>
    </w:p>
    <w:p w14:paraId="54618D66">
      <w:pPr>
        <w:snapToGrid w:val="0"/>
        <w:spacing w:line="300" w:lineRule="exact"/>
        <w:ind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color w:val="000000"/>
          <w:sz w:val="20"/>
          <w:szCs w:val="20"/>
          <w:highlight w:val="none"/>
        </w:rPr>
        <w:t>3.销售服务费</w:t>
      </w:r>
    </w:p>
    <w:p w14:paraId="284BF5F7">
      <w:pPr>
        <w:snapToGrid w:val="0"/>
        <w:spacing w:line="300" w:lineRule="exact"/>
        <w:ind w:firstLine="402" w:firstLineChars="200"/>
        <w:outlineLvl w:val="0"/>
        <w:rPr>
          <w:rFonts w:ascii="楷体_GB2312" w:eastAsia="楷体_GB2312"/>
          <w:b/>
          <w:sz w:val="20"/>
          <w:szCs w:val="20"/>
          <w:highlight w:val="none"/>
        </w:rPr>
      </w:pPr>
      <w:r>
        <w:rPr>
          <w:rFonts w:ascii="楷体_GB2312" w:eastAsia="楷体_GB2312" w:cs="楷体_GB2312"/>
          <w:b/>
          <w:sz w:val="20"/>
          <w:szCs w:val="20"/>
          <w:highlight w:val="none"/>
        </w:rPr>
        <w:t>【A】类份额费率【0.15%】/年，【B】类份额费率【0.15%】/年，【C】类份额费率【0.05%】/年，【D】类份额费率【0.10%】/年，【G】类份额费率【0.10%】/年，【M】类份额费率【0.20%】/年，【N】类份额费率【0.30%】/年，【S】类份额费率【0.10%】/年，计算方式为【</w:t>
      </w:r>
      <w:r>
        <w:rPr>
          <w:rFonts w:hint="eastAsia" w:ascii="楷体_GB2312" w:eastAsia="楷体_GB2312" w:cs="楷体_GB2312"/>
          <w:b/>
          <w:sz w:val="20"/>
          <w:szCs w:val="20"/>
          <w:highlight w:val="none"/>
        </w:rPr>
        <w:t>每日销售费</w:t>
      </w:r>
      <w:r>
        <w:rPr>
          <w:rFonts w:ascii="楷体_GB2312" w:eastAsia="楷体_GB2312" w:cs="楷体_GB2312"/>
          <w:b/>
          <w:sz w:val="20"/>
          <w:szCs w:val="20"/>
          <w:highlight w:val="none"/>
        </w:rPr>
        <w:t>=理财产品上一自然日产品净资产×销售费率/365。（在首个起息日计算销售服务费时，以产品成立日的实收本金为计提基础，计算托管费、固定管理费时亦参照执行）】</w:t>
      </w:r>
      <w:r>
        <w:rPr>
          <w:rFonts w:hint="eastAsia" w:ascii="楷体_GB2312" w:eastAsia="楷体_GB2312" w:cs="楷体_GB2312"/>
          <w:b/>
          <w:sz w:val="20"/>
          <w:szCs w:val="20"/>
          <w:highlight w:val="none"/>
        </w:rPr>
        <w:t>。</w:t>
      </w:r>
    </w:p>
    <w:p w14:paraId="55AFEBB0">
      <w:pPr>
        <w:snapToGrid w:val="0"/>
        <w:spacing w:line="300" w:lineRule="exact"/>
        <w:ind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color w:val="000000"/>
          <w:sz w:val="20"/>
          <w:szCs w:val="20"/>
          <w:highlight w:val="none"/>
        </w:rPr>
        <w:t>销售服务费每日计提，按【</w:t>
      </w:r>
      <w:r>
        <w:rPr>
          <w:rFonts w:hint="eastAsia" w:ascii="楷体_GB2312" w:eastAsia="楷体_GB2312" w:cs="楷体_GB2312"/>
          <w:b/>
          <w:sz w:val="20"/>
          <w:szCs w:val="20"/>
          <w:highlight w:val="none"/>
        </w:rPr>
        <w:t>季</w:t>
      </w:r>
      <w:r>
        <w:rPr>
          <w:rFonts w:ascii="楷体_GB2312" w:eastAsia="楷体_GB2312" w:cs="楷体_GB2312"/>
          <w:b/>
          <w:color w:val="000000"/>
          <w:sz w:val="20"/>
          <w:szCs w:val="20"/>
          <w:highlight w:val="none"/>
        </w:rPr>
        <w:t>】支付，由管理人向托管人发送指令，托管人复核后按【季】从资产中一次性支付。投资者通过代销机构购买理财产品的，代销机构收取的</w:t>
      </w:r>
      <w:r>
        <w:rPr>
          <w:rFonts w:hint="eastAsia" w:ascii="楷体_GB2312" w:eastAsia="楷体_GB2312" w:cs="楷体_GB2312"/>
          <w:b/>
          <w:color w:val="000000"/>
          <w:sz w:val="20"/>
          <w:szCs w:val="20"/>
          <w:highlight w:val="none"/>
        </w:rPr>
        <w:t>销售</w:t>
      </w:r>
      <w:r>
        <w:rPr>
          <w:rFonts w:ascii="楷体_GB2312" w:eastAsia="楷体_GB2312" w:cs="楷体_GB2312"/>
          <w:b/>
          <w:color w:val="000000"/>
          <w:sz w:val="20"/>
          <w:szCs w:val="20"/>
          <w:highlight w:val="none"/>
        </w:rPr>
        <w:t>相关费用以代销机构规定为准。</w:t>
      </w:r>
    </w:p>
    <w:p w14:paraId="7D1AECCA">
      <w:pPr>
        <w:spacing w:line="300" w:lineRule="exact"/>
        <w:ind w:firstLine="402" w:firstLineChars="200"/>
        <w:rPr>
          <w:rFonts w:ascii="楷体_GB2312" w:eastAsia="楷体_GB2312" w:cs="楷体_GB2312"/>
          <w:b/>
          <w:color w:val="000000"/>
          <w:sz w:val="20"/>
          <w:szCs w:val="20"/>
          <w:highlight w:val="none"/>
        </w:rPr>
      </w:pPr>
      <w:r>
        <w:rPr>
          <w:rFonts w:hint="eastAsia" w:ascii="楷体_GB2312" w:eastAsia="楷体_GB2312" w:cs="楷体_GB2312"/>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color w:val="000000"/>
          <w:sz w:val="20"/>
          <w:szCs w:val="20"/>
          <w:highlight w:val="none"/>
        </w:rPr>
        <w:t>4.托管费</w:t>
      </w:r>
    </w:p>
    <w:p w14:paraId="2C84DF00">
      <w:pPr>
        <w:snapToGrid w:val="0"/>
        <w:spacing w:line="300" w:lineRule="exact"/>
        <w:ind w:firstLine="402" w:firstLineChars="200"/>
        <w:outlineLvl w:val="0"/>
        <w:rPr>
          <w:rFonts w:ascii="楷体_GB2312" w:eastAsia="楷体_GB2312"/>
          <w:b/>
          <w:sz w:val="20"/>
          <w:szCs w:val="20"/>
          <w:highlight w:val="none"/>
        </w:rPr>
      </w:pPr>
      <w:r>
        <w:rPr>
          <w:rFonts w:ascii="楷体_GB2312" w:eastAsia="楷体_GB2312" w:cs="楷体_GB2312"/>
          <w:b/>
          <w:sz w:val="20"/>
          <w:szCs w:val="20"/>
          <w:highlight w:val="none"/>
        </w:rPr>
        <w:t>费率【0.05%】/年，计算方式为【</w:t>
      </w:r>
      <w:r>
        <w:rPr>
          <w:rFonts w:hint="eastAsia" w:ascii="楷体_GB2312" w:eastAsia="楷体_GB2312" w:cs="楷体_GB2312"/>
          <w:b/>
          <w:sz w:val="20"/>
          <w:szCs w:val="20"/>
          <w:highlight w:val="none"/>
        </w:rPr>
        <w:t>每日托管费</w:t>
      </w:r>
      <w:r>
        <w:rPr>
          <w:rFonts w:ascii="楷体_GB2312" w:eastAsia="楷体_GB2312" w:cs="楷体_GB2312"/>
          <w:b/>
          <w:sz w:val="20"/>
          <w:szCs w:val="20"/>
          <w:highlight w:val="none"/>
        </w:rPr>
        <w:t>=理财产品上一自然日产品净资产×托管费率/365】</w:t>
      </w:r>
      <w:r>
        <w:rPr>
          <w:rFonts w:hint="eastAsia" w:ascii="楷体_GB2312" w:eastAsia="楷体_GB2312" w:cs="楷体_GB2312"/>
          <w:b/>
          <w:sz w:val="20"/>
          <w:szCs w:val="20"/>
          <w:highlight w:val="none"/>
        </w:rPr>
        <w:t>。</w:t>
      </w:r>
    </w:p>
    <w:p w14:paraId="61F79A12">
      <w:pPr>
        <w:snapToGrid w:val="0"/>
        <w:spacing w:line="300" w:lineRule="exact"/>
        <w:ind w:firstLine="402" w:firstLineChars="200"/>
        <w:outlineLvl w:val="0"/>
        <w:rPr>
          <w:rFonts w:ascii="楷体_GB2312" w:eastAsia="楷体_GB2312"/>
          <w:b/>
          <w:color w:val="000000"/>
          <w:sz w:val="20"/>
          <w:szCs w:val="20"/>
          <w:highlight w:val="none"/>
        </w:rPr>
      </w:pPr>
      <w:r>
        <w:rPr>
          <w:rFonts w:ascii="楷体_GB2312" w:eastAsia="楷体_GB2312" w:cs="楷体_GB2312"/>
          <w:b/>
          <w:color w:val="000000"/>
          <w:sz w:val="20"/>
          <w:szCs w:val="20"/>
          <w:highlight w:val="none"/>
        </w:rPr>
        <w:t>托管费每日计提，按【</w:t>
      </w:r>
      <w:r>
        <w:rPr>
          <w:rFonts w:hint="eastAsia" w:ascii="楷体_GB2312" w:eastAsia="楷体_GB2312" w:cs="楷体_GB2312"/>
          <w:b/>
          <w:color w:val="000000"/>
          <w:sz w:val="20"/>
          <w:szCs w:val="20"/>
          <w:highlight w:val="none"/>
        </w:rPr>
        <w:t>年</w:t>
      </w:r>
      <w:r>
        <w:rPr>
          <w:rFonts w:ascii="楷体_GB2312" w:eastAsia="楷体_GB2312" w:cs="楷体_GB2312"/>
          <w:b/>
          <w:color w:val="000000"/>
          <w:sz w:val="20"/>
          <w:szCs w:val="20"/>
          <w:highlight w:val="none"/>
        </w:rPr>
        <w:t>】支付，由管理人向托管人发送指令，托管人复核后从资产中一次性支付。</w:t>
      </w:r>
    </w:p>
    <w:p w14:paraId="015FAA49">
      <w:pPr>
        <w:snapToGrid w:val="0"/>
        <w:spacing w:line="300" w:lineRule="exact"/>
        <w:ind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color w:val="000000"/>
          <w:sz w:val="20"/>
          <w:szCs w:val="20"/>
          <w:highlight w:val="none"/>
        </w:rPr>
        <w:t>5.固定管理费</w:t>
      </w:r>
    </w:p>
    <w:p w14:paraId="0B9B6D7F">
      <w:pPr>
        <w:snapToGrid w:val="0"/>
        <w:spacing w:line="300" w:lineRule="exact"/>
        <w:ind w:firstLine="402" w:firstLineChars="200"/>
        <w:outlineLvl w:val="0"/>
        <w:rPr>
          <w:rFonts w:ascii="楷体_GB2312" w:eastAsia="楷体_GB2312"/>
          <w:b/>
          <w:sz w:val="20"/>
          <w:szCs w:val="20"/>
          <w:highlight w:val="none"/>
        </w:rPr>
      </w:pPr>
      <w:r>
        <w:rPr>
          <w:rFonts w:hint="eastAsia" w:ascii="楷体_GB2312" w:eastAsia="楷体_GB2312" w:cs="楷体_GB2312"/>
          <w:b/>
          <w:sz w:val="20"/>
          <w:szCs w:val="20"/>
          <w:highlight w:val="none"/>
        </w:rPr>
        <w:t>费率【</w:t>
      </w:r>
      <w:r>
        <w:rPr>
          <w:rFonts w:ascii="楷体_GB2312" w:eastAsia="楷体_GB2312" w:cs="楷体_GB2312"/>
          <w:b/>
          <w:sz w:val="20"/>
          <w:szCs w:val="20"/>
          <w:highlight w:val="none"/>
        </w:rPr>
        <w:t>0.15%】/年，计算方式为【</w:t>
      </w:r>
      <w:r>
        <w:rPr>
          <w:rFonts w:hint="eastAsia" w:ascii="楷体_GB2312" w:eastAsia="楷体_GB2312" w:cs="楷体_GB2312"/>
          <w:b/>
          <w:sz w:val="20"/>
          <w:szCs w:val="20"/>
          <w:highlight w:val="none"/>
        </w:rPr>
        <w:t>每日固定管理费</w:t>
      </w:r>
      <w:r>
        <w:rPr>
          <w:rFonts w:ascii="楷体_GB2312" w:eastAsia="楷体_GB2312" w:cs="楷体_GB2312"/>
          <w:b/>
          <w:sz w:val="20"/>
          <w:szCs w:val="20"/>
          <w:highlight w:val="none"/>
        </w:rPr>
        <w:t>=理财产品上一自然日产品净资产×固定管理费率/365】</w:t>
      </w:r>
      <w:r>
        <w:rPr>
          <w:rFonts w:hint="eastAsia" w:ascii="楷体_GB2312" w:eastAsia="楷体_GB2312" w:cs="楷体_GB2312"/>
          <w:b/>
          <w:sz w:val="20"/>
          <w:szCs w:val="20"/>
          <w:highlight w:val="none"/>
        </w:rPr>
        <w:t>。</w:t>
      </w:r>
    </w:p>
    <w:p w14:paraId="60C301C7">
      <w:pPr>
        <w:snapToGrid w:val="0"/>
        <w:spacing w:line="300" w:lineRule="exact"/>
        <w:ind w:left="-2" w:leftChars="-1" w:firstLine="402" w:firstLineChars="200"/>
        <w:outlineLvl w:val="0"/>
        <w:rPr>
          <w:rFonts w:ascii="楷体_GB2312" w:eastAsia="楷体_GB2312"/>
          <w:b/>
          <w:sz w:val="20"/>
          <w:szCs w:val="20"/>
          <w:highlight w:val="none"/>
        </w:rPr>
      </w:pPr>
      <w:r>
        <w:rPr>
          <w:rFonts w:hint="eastAsia" w:ascii="楷体_GB2312" w:eastAsia="楷体_GB2312" w:cs="楷体_GB2312"/>
          <w:b/>
          <w:sz w:val="20"/>
          <w:szCs w:val="20"/>
          <w:highlight w:val="none"/>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color w:val="000000"/>
          <w:sz w:val="20"/>
          <w:szCs w:val="20"/>
          <w:highlight w:val="none"/>
        </w:rPr>
        <w:t>6.浮动管理费</w:t>
      </w:r>
    </w:p>
    <w:p w14:paraId="03DB22E1">
      <w:pPr>
        <w:snapToGrid w:val="0"/>
        <w:spacing w:line="300" w:lineRule="exact"/>
        <w:ind w:right="96" w:rightChars="40" w:firstLine="402" w:firstLineChars="200"/>
        <w:outlineLvl w:val="0"/>
        <w:rPr>
          <w:rFonts w:ascii="楷体_GB2312" w:eastAsia="楷体_GB2312" w:cs="楷体_GB2312"/>
          <w:b/>
          <w:color w:val="000000"/>
          <w:sz w:val="20"/>
          <w:szCs w:val="20"/>
          <w:highlight w:val="none"/>
        </w:rPr>
      </w:pPr>
      <w:r>
        <w:rPr>
          <w:rFonts w:ascii="楷体_GB2312" w:eastAsia="楷体_GB2312" w:cs="楷体_GB2312"/>
          <w:b/>
          <w:sz w:val="20"/>
          <w:szCs w:val="20"/>
          <w:highlight w:val="none"/>
        </w:rPr>
        <w:t>【A】类份额设立业绩比较基准，在产品到期日或提前终止日时，如计提浮动管理费前年化收益率超过【2.15%】的，管理人将收取超额部分的【50%】作为浮动管理费。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【B】类份额设立业绩比较基准，在产品到期日或提前终止日时，如计提浮动管理费前年化收益率超过【2.15%】的，管理人将收取超额部分的【50%】作为浮动管理费。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【C】类份额设立业绩比较基准，在产品到期日或提前终止日时，如计提浮动管理费前年化收益率超过【2.25%】的，管理人将收取超额部分的【50%】作为浮动管理费。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【D】类份额设立业绩比较基准，在产品到期日或提前终止日时，如计提浮动管理费前年化收益率超过【2.20%】的，管理人将收取超额部分的【50%】作为浮动管理费。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【G】类份额设立业绩比较基准，在产品到期日或提前终止日时，如计提浮动管理费前年化收益率超过【2.20%】的，管理人将收取超额部分的【50%】作为浮动管理费。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【M】类份额设立业绩比较基准，在产品到期日或提前终止日时，如计提浮动管理费前年化收益率超过【2.10%】的，管理人将收取超额部分的【50%】作为浮动管理费。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【N】类份额设立业绩比较基准，在产品到期日或提前终止日时，如计提浮动管理费前年化收益率超过【2.00%】的，管理人将收取超额部分的【50%】作为浮动管理费。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【S】类份额设立业绩比较基准，在产品到期日或提前终止日时，如计提浮动管理费前年化收益率超过【2.20%】的，管理人将收取超额部分的【50%】作为浮动管理费。</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浮动管理费到期日或提前终止日计提，由管理人向托管人发送指令，托管人复核后到期从资产中一次性支付。</w:t>
      </w:r>
      <w:r>
        <w:rPr>
          <w:rFonts w:ascii="楷体_GB2312" w:eastAsia="楷体_GB2312" w:cs="楷体_GB2312"/>
          <w:b/>
          <w:sz w:val="20"/>
          <w:szCs w:val="20"/>
          <w:highlight w:val="none"/>
        </w:rPr>
        <w:br w:type="textWrapping"/>
      </w:r>
      <w:r>
        <w:rPr>
          <w:rFonts w:ascii="楷体_GB2312" w:eastAsia="楷体_GB2312" w:cs="楷体_GB2312"/>
          <w:b/>
          <w:sz w:val="20"/>
          <w:szCs w:val="20"/>
          <w:highlight w:val="none"/>
        </w:rP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3FEEA123">
      <w:pPr>
        <w:snapToGrid w:val="0"/>
        <w:spacing w:line="300" w:lineRule="exact"/>
        <w:ind w:right="96" w:rightChars="40" w:firstLine="402" w:firstLineChars="200"/>
        <w:outlineLvl w:val="0"/>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pPr>
      <w:bookmarkStart w:id="1" w:name="_GoBack"/>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7.信息技术服务费</w:t>
      </w:r>
    </w:p>
    <w:p w14:paraId="526BE375">
      <w:pPr>
        <w:snapToGrid w:val="0"/>
        <w:spacing w:line="300" w:lineRule="exact"/>
        <w:ind w:firstLine="402" w:firstLineChars="200"/>
        <w:outlineLvl w:val="0"/>
        <w:rPr>
          <w:rFonts w:ascii="楷体_GB2312" w:eastAsia="楷体_GB2312"/>
          <w:b/>
          <w:sz w:val="20"/>
          <w:szCs w:val="20"/>
          <w:highlight w:val="none"/>
        </w:rPr>
      </w:pPr>
      <w:r>
        <w:rPr>
          <w:rFonts w:hint="eastAsia" w:ascii="楷体_GB2312" w:eastAsia="楷体_GB2312" w:cs="楷体_GB2312"/>
          <w:b/>
          <w:sz w:val="20"/>
          <w:szCs w:val="20"/>
          <w:highlight w:val="none"/>
        </w:rPr>
        <w:t>费率【</w:t>
      </w:r>
      <w:r>
        <w:rPr>
          <w:rFonts w:hint="eastAsia" w:ascii="楷体_GB2312" w:eastAsia="楷体_GB2312" w:cs="楷体_GB2312"/>
          <w:b/>
          <w:sz w:val="20"/>
          <w:szCs w:val="20"/>
          <w:highlight w:val="none"/>
          <w:lang w:val="en-US" w:eastAsia="zh-CN"/>
        </w:rPr>
        <w:t>0.002%</w:t>
      </w:r>
      <w:r>
        <w:rPr>
          <w:rFonts w:ascii="楷体_GB2312" w:eastAsia="楷体_GB2312" w:cs="楷体_GB2312"/>
          <w:b/>
          <w:sz w:val="20"/>
          <w:szCs w:val="20"/>
          <w:highlight w:val="none"/>
        </w:rPr>
        <w:t>】/年，计算方式为【</w:t>
      </w:r>
      <w:r>
        <w:rPr>
          <w:rFonts w:hint="eastAsia" w:ascii="楷体_GB2312" w:eastAsia="楷体_GB2312" w:cs="楷体_GB2312"/>
          <w:b/>
          <w:sz w:val="20"/>
          <w:szCs w:val="20"/>
          <w:highlight w:val="none"/>
        </w:rPr>
        <w:t>每日</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信息技术服务费</w:t>
      </w:r>
      <w:r>
        <w:rPr>
          <w:rFonts w:ascii="楷体_GB2312" w:eastAsia="楷体_GB2312" w:cs="楷体_GB2312"/>
          <w:b/>
          <w:sz w:val="20"/>
          <w:szCs w:val="20"/>
          <w:highlight w:val="none"/>
        </w:rPr>
        <w:t>=理财产品上一自然日产品净资产×</w:t>
      </w:r>
      <w:r>
        <w:rPr>
          <w:rFonts w:hint="eastAsia" w:ascii="楷体_GB2312" w:eastAsia="楷体_GB2312" w:cs="楷体_GB2312"/>
          <w:b/>
          <w:bCs/>
          <w:color w:val="000000" w:themeColor="text1"/>
          <w:sz w:val="20"/>
          <w:szCs w:val="20"/>
          <w:highlight w:val="none"/>
          <w:lang w:val="en-US" w:eastAsia="zh-CN"/>
          <w14:textFill>
            <w14:solidFill>
              <w14:schemeClr w14:val="tx1"/>
            </w14:solidFill>
          </w14:textFill>
        </w:rPr>
        <w:t>信息技术服务费率</w:t>
      </w:r>
      <w:r>
        <w:rPr>
          <w:rFonts w:ascii="楷体_GB2312" w:eastAsia="楷体_GB2312" w:cs="楷体_GB2312"/>
          <w:b/>
          <w:sz w:val="20"/>
          <w:szCs w:val="20"/>
          <w:highlight w:val="none"/>
        </w:rPr>
        <w:t>/365】</w:t>
      </w:r>
      <w:r>
        <w:rPr>
          <w:rFonts w:hint="eastAsia" w:ascii="楷体_GB2312" w:eastAsia="楷体_GB2312" w:cs="楷体_GB2312"/>
          <w:b/>
          <w:sz w:val="20"/>
          <w:szCs w:val="20"/>
          <w:highlight w:val="none"/>
        </w:rPr>
        <w:t>。</w:t>
      </w:r>
    </w:p>
    <w:p w14:paraId="030E1128">
      <w:pPr>
        <w:snapToGrid w:val="0"/>
        <w:spacing w:line="300" w:lineRule="exact"/>
        <w:ind w:left="0" w:leftChars="0" w:right="96" w:rightChars="40" w:firstLine="402" w:firstLineChars="200"/>
        <w:outlineLvl w:val="0"/>
        <w:rPr>
          <w:rFonts w:hint="eastAsia" w:ascii="楷体_GB2312" w:eastAsia="楷体_GB2312" w:cs="楷体_GB2312"/>
          <w:b/>
          <w:bCs/>
          <w:color w:val="000000" w:themeColor="text1"/>
          <w:sz w:val="20"/>
          <w:szCs w:val="20"/>
          <w:highlight w:val="none"/>
          <w14:textFill>
            <w14:solidFill>
              <w14:schemeClr w14:val="tx1"/>
            </w14:solidFill>
          </w14:textFill>
        </w:rPr>
      </w:pPr>
      <w:r>
        <w:rPr>
          <w:rFonts w:hint="eastAsia" w:ascii="楷体_GB2312" w:eastAsia="楷体_GB2312" w:cs="楷体_GB2312"/>
          <w:b/>
          <w:sz w:val="20"/>
          <w:szCs w:val="20"/>
          <w:highlight w:val="none"/>
          <w:lang w:val="en-US" w:eastAsia="zh-CN"/>
        </w:rPr>
        <w:t>信息技术服务费系理财产品使用银行业理财登记托管中心有限公司中央数据交换平台服务产生，信息技术服务费</w:t>
      </w:r>
      <w:r>
        <w:rPr>
          <w:rFonts w:hint="eastAsia" w:ascii="楷体_GB2312" w:eastAsia="楷体_GB2312" w:cs="楷体_GB2312"/>
          <w:b/>
          <w:sz w:val="20"/>
          <w:szCs w:val="20"/>
          <w:highlight w:val="none"/>
        </w:rPr>
        <w:t>每日计提，按【</w:t>
      </w:r>
      <w:r>
        <w:rPr>
          <w:rFonts w:hint="eastAsia" w:ascii="楷体_GB2312" w:eastAsia="楷体_GB2312" w:cs="楷体_GB2312"/>
          <w:b/>
          <w:sz w:val="20"/>
          <w:szCs w:val="20"/>
          <w:highlight w:val="none"/>
          <w:lang w:val="en-US" w:eastAsia="zh-CN"/>
        </w:rPr>
        <w:t>季</w:t>
      </w:r>
      <w:r>
        <w:rPr>
          <w:rFonts w:hint="eastAsia" w:ascii="楷体_GB2312" w:eastAsia="楷体_GB2312" w:cs="楷体_GB2312"/>
          <w:b/>
          <w:sz w:val="20"/>
          <w:szCs w:val="20"/>
          <w:highlight w:val="none"/>
        </w:rPr>
        <w:t>】支付，由管理人向托管人发送指令，托管人复核后从资产中一次性支付</w:t>
      </w:r>
      <w:r>
        <w:rPr>
          <w:rFonts w:hint="eastAsia" w:ascii="楷体_GB2312" w:eastAsia="楷体_GB2312" w:cs="楷体_GB2312"/>
          <w:b/>
          <w:sz w:val="20"/>
          <w:szCs w:val="20"/>
          <w:highlight w:val="none"/>
          <w:lang w:val="en-US" w:eastAsia="zh-CN"/>
        </w:rPr>
        <w:t>银行业理财登记托管中心有限公司</w:t>
      </w:r>
      <w:r>
        <w:rPr>
          <w:rFonts w:hint="eastAsia" w:ascii="楷体_GB2312" w:eastAsia="楷体_GB2312" w:cs="楷体_GB2312"/>
          <w:b/>
          <w:sz w:val="20"/>
          <w:szCs w:val="20"/>
          <w:highlight w:val="none"/>
        </w:rPr>
        <w:t>。</w:t>
      </w:r>
    </w:p>
    <w:p w14:paraId="45CA16D2">
      <w:pPr>
        <w:snapToGrid w:val="0"/>
        <w:spacing w:line="300" w:lineRule="exact"/>
        <w:ind w:firstLine="402" w:firstLineChars="200"/>
        <w:outlineLvl w:val="0"/>
        <w:rPr>
          <w:rFonts w:ascii="楷体_GB2312" w:eastAsia="楷体_GB2312" w:cs="楷体_GB2312"/>
          <w:b/>
          <w:color w:val="000000"/>
          <w:sz w:val="20"/>
          <w:szCs w:val="20"/>
          <w:highlight w:val="none"/>
        </w:rPr>
      </w:pPr>
      <w:r>
        <w:rPr>
          <w:rFonts w:hint="eastAsia" w:ascii="楷体_GB2312" w:eastAsia="楷体_GB2312" w:cs="楷体_GB2312"/>
          <w:b/>
          <w:color w:val="000000"/>
          <w:sz w:val="20"/>
          <w:szCs w:val="20"/>
          <w:highlight w:val="none"/>
          <w:lang w:val="en-US" w:eastAsia="zh-CN"/>
        </w:rPr>
        <w:t>8</w:t>
      </w:r>
      <w:r>
        <w:rPr>
          <w:rFonts w:ascii="楷体_GB2312" w:eastAsia="楷体_GB2312" w:cs="楷体_GB2312"/>
          <w:b/>
          <w:color w:val="000000"/>
          <w:sz w:val="20"/>
          <w:szCs w:val="20"/>
          <w:highlight w:val="none"/>
        </w:rPr>
        <w:t>.产</w:t>
      </w:r>
      <w:bookmarkEnd w:id="1"/>
      <w:r>
        <w:rPr>
          <w:rFonts w:ascii="楷体_GB2312" w:eastAsia="楷体_GB2312" w:cs="楷体_GB2312"/>
          <w:b/>
          <w:color w:val="000000"/>
          <w:sz w:val="20"/>
          <w:szCs w:val="20"/>
          <w:highlight w:val="none"/>
        </w:rPr>
        <w:t>品运作和清算中产生的其他资金汇划费、结算费、交易手续费、注册登记费、信息披露费、账户服务费、审计费、律师费</w:t>
      </w:r>
      <w:r>
        <w:rPr>
          <w:rFonts w:hint="eastAsia" w:ascii="楷体_GB2312" w:eastAsia="楷体_GB2312" w:cs="楷体_GB2312"/>
          <w:b/>
          <w:color w:val="000000"/>
          <w:sz w:val="20"/>
          <w:szCs w:val="20"/>
          <w:highlight w:val="none"/>
        </w:rPr>
        <w:t>、因投资资产而产生的资产推荐服务费等相关费用</w:t>
      </w:r>
      <w:r>
        <w:rPr>
          <w:rFonts w:ascii="楷体_GB2312" w:eastAsia="楷体_GB2312" w:cs="楷体_GB2312"/>
          <w:b/>
          <w:color w:val="000000"/>
          <w:sz w:val="20"/>
          <w:szCs w:val="20"/>
          <w:highlight w:val="none"/>
        </w:rPr>
        <w:t>及按照法律法规规章规定和理财产品销售文件约定应由产品承担的费用等，按照实际发生时从产品资产中列支。</w:t>
      </w:r>
    </w:p>
    <w:p w14:paraId="284F0913">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highlight w:val="none"/>
          <w14:textFill>
            <w14:solidFill>
              <w14:schemeClr w14:val="tx1"/>
            </w14:solidFill>
          </w14:textFill>
        </w:rPr>
      </w:pPr>
    </w:p>
    <w:p w14:paraId="79F8174C">
      <w:pPr>
        <w:spacing w:line="300" w:lineRule="exact"/>
        <w:ind w:right="29" w:rightChars="12"/>
        <w:rPr>
          <w:rFonts w:ascii="黑体" w:eastAsia="黑体"/>
          <w:color w:val="000000" w:themeColor="text1"/>
          <w:sz w:val="20"/>
          <w:szCs w:val="20"/>
          <w:highlight w:val="none"/>
          <w14:textFill>
            <w14:solidFill>
              <w14:schemeClr w14:val="tx1"/>
            </w14:solidFill>
          </w14:textFill>
        </w:rPr>
      </w:pPr>
      <w:r>
        <w:rPr>
          <w:rFonts w:hint="eastAsia" w:ascii="黑体" w:eastAsia="黑体" w:cs="黑体"/>
          <w:color w:val="000000" w:themeColor="text1"/>
          <w:sz w:val="20"/>
          <w:szCs w:val="20"/>
          <w:highlight w:val="none"/>
          <w14:textFill>
            <w14:solidFill>
              <w14:schemeClr w14:val="tx1"/>
            </w14:solidFill>
          </w14:textFill>
        </w:rPr>
        <w:t>九、资产估值</w:t>
      </w:r>
    </w:p>
    <w:p w14:paraId="1AB5D47C">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1</w:t>
      </w:r>
      <w:r>
        <w:rPr>
          <w:rFonts w:hint="eastAsia" w:ascii="楷体_GB2312" w:eastAsia="楷体_GB2312" w:cs="楷体_GB2312"/>
          <w:color w:val="000000" w:themeColor="text1"/>
          <w:sz w:val="20"/>
          <w:szCs w:val="20"/>
          <w:highlight w:val="none"/>
          <w14:textFill>
            <w14:solidFill>
              <w14:schemeClr w14:val="tx1"/>
            </w14:solidFill>
          </w14:textFill>
        </w:rPr>
        <w:t>．估值日</w:t>
      </w:r>
    </w:p>
    <w:p w14:paraId="773AD8D1">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w:t>
      </w:r>
      <w:r>
        <w:rPr>
          <w:rFonts w:ascii="楷体_GB2312" w:eastAsia="楷体_GB2312" w:cs="楷体_GB2312"/>
          <w:color w:val="000000" w:themeColor="text1"/>
          <w:sz w:val="20"/>
          <w:szCs w:val="20"/>
          <w:highlight w:val="none"/>
          <w14:textFill>
            <w14:solidFill>
              <w14:schemeClr w14:val="tx1"/>
            </w14:solidFill>
          </w14:textFill>
        </w:rPr>
        <w:t>产品的估值日为</w:t>
      </w:r>
      <w:r>
        <w:rPr>
          <w:rFonts w:hint="eastAsia" w:ascii="楷体_GB2312" w:eastAsia="楷体_GB2312" w:cs="楷体_GB2312"/>
          <w:color w:val="000000" w:themeColor="text1"/>
          <w:sz w:val="20"/>
          <w:szCs w:val="20"/>
          <w:highlight w:val="none"/>
          <w14:textFill>
            <w14:solidFill>
              <w14:schemeClr w14:val="tx1"/>
            </w14:solidFill>
          </w14:textFill>
        </w:rPr>
        <w:t>净值披露日和收益分配日</w:t>
      </w:r>
      <w:r>
        <w:rPr>
          <w:rFonts w:ascii="楷体_GB2312" w:eastAsia="楷体_GB2312" w:cs="楷体_GB2312"/>
          <w:color w:val="000000" w:themeColor="text1"/>
          <w:sz w:val="20"/>
          <w:szCs w:val="20"/>
          <w:highlight w:val="none"/>
          <w14:textFill>
            <w14:solidFill>
              <w14:schemeClr w14:val="tx1"/>
            </w14:solidFill>
          </w14:textFill>
        </w:rPr>
        <w:t>。</w:t>
      </w:r>
    </w:p>
    <w:p w14:paraId="2D3F1DD2">
      <w:pPr>
        <w:numPr>
          <w:ilvl w:val="0"/>
          <w:numId w:val="9"/>
        </w:numPr>
        <w:spacing w:line="300" w:lineRule="exact"/>
        <w:ind w:firstLine="400" w:firstLineChars="200"/>
        <w:jc w:val="both"/>
        <w:rPr>
          <w:rFonts w:hint="default" w:ascii="楷体_GB2312" w:eastAsia="楷体_GB2312" w:cs="楷体_GB2312"/>
          <w:color w:val="000000" w:themeColor="text1"/>
          <w:sz w:val="20"/>
          <w:szCs w:val="20"/>
          <w:highlight w:val="none"/>
          <w:lang w:val="en-US" w:eastAsia="zh-CN"/>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估值原则</w:t>
      </w:r>
    </w:p>
    <w:p w14:paraId="79EA9118">
      <w:pPr>
        <w:numPr>
          <w:ilvl w:val="-1"/>
          <w:numId w:val="0"/>
        </w:numPr>
        <w:spacing w:line="300" w:lineRule="exact"/>
        <w:ind w:firstLine="0" w:firstLineChars="0"/>
        <w:jc w:val="both"/>
        <w:rPr>
          <w:rFonts w:hint="eastAsia"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 xml:space="preserve">    </w:t>
      </w:r>
      <w:r>
        <w:rPr>
          <w:rFonts w:hint="eastAsia" w:ascii="楷体_GB2312" w:eastAsia="楷体_GB2312" w:cs="楷体_GB2312"/>
          <w:color w:val="000000" w:themeColor="text1"/>
          <w:sz w:val="20"/>
          <w:szCs w:val="20"/>
          <w:highlight w:val="none"/>
          <w14:textFill>
            <w14:solidFill>
              <w14:schemeClr w14:val="tx1"/>
            </w14:solidFill>
          </w14:textFill>
        </w:rPr>
        <w:t>管理人在确定相关金融工具的公允价值时，应符合《企业会计准则》、监管部门有关规定。</w:t>
      </w:r>
    </w:p>
    <w:p w14:paraId="53F4A7F7">
      <w:pPr>
        <w:numPr>
          <w:ilvl w:val="-1"/>
          <w:numId w:val="0"/>
        </w:numPr>
        <w:spacing w:line="300" w:lineRule="exact"/>
        <w:ind w:firstLine="400" w:firstLineChars="200"/>
        <w:jc w:val="both"/>
        <w:rPr>
          <w:rFonts w:hint="eastAsia"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1</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对存在活跃市场且能够获取相同投资品种报价的金融工具，在估值日有报价的，除会计准则规定的例外情况外，应将该报价不加调整地应用于该金融工具的公允价值计量。估值日无报价且最近交易日后未发生影响公允价值计量的重大事件的，应采用最近交易日的报价确定金融工具</w:t>
      </w:r>
      <w:r>
        <w:rPr>
          <w:rFonts w:hint="eastAsia" w:ascii="楷体_GB2312" w:eastAsia="楷体_GB2312" w:cs="楷体_GB2312"/>
          <w:color w:val="000000" w:themeColor="text1"/>
          <w:sz w:val="20"/>
          <w:szCs w:val="20"/>
          <w:highlight w:val="none"/>
          <w:lang w:eastAsia="zh-CN"/>
          <w14:textFill>
            <w14:solidFill>
              <w14:schemeClr w14:val="tx1"/>
            </w14:solidFill>
          </w14:textFill>
        </w:rPr>
        <w:t>的</w:t>
      </w:r>
      <w:r>
        <w:rPr>
          <w:rFonts w:hint="eastAsia" w:ascii="楷体_GB2312" w:eastAsia="楷体_GB2312" w:cs="楷体_GB2312"/>
          <w:color w:val="000000" w:themeColor="text1"/>
          <w:sz w:val="20"/>
          <w:szCs w:val="20"/>
          <w:highlight w:val="none"/>
          <w14:textFill>
            <w14:solidFill>
              <w14:schemeClr w14:val="tx1"/>
            </w14:solidFill>
          </w14:textFill>
        </w:rPr>
        <w:t>公允价值。有充足证据表明估值日或最近交易日的报价不能真实反映金融工具</w:t>
      </w:r>
      <w:r>
        <w:rPr>
          <w:rFonts w:hint="eastAsia" w:ascii="楷体_GB2312" w:eastAsia="楷体_GB2312" w:cs="楷体_GB2312"/>
          <w:color w:val="000000" w:themeColor="text1"/>
          <w:sz w:val="20"/>
          <w:szCs w:val="20"/>
          <w:highlight w:val="none"/>
          <w:lang w:eastAsia="zh-CN"/>
          <w14:textFill>
            <w14:solidFill>
              <w14:schemeClr w14:val="tx1"/>
            </w14:solidFill>
          </w14:textFill>
        </w:rPr>
        <w:t>的</w:t>
      </w:r>
      <w:r>
        <w:rPr>
          <w:rFonts w:hint="eastAsia" w:ascii="楷体_GB2312" w:eastAsia="楷体_GB2312" w:cs="楷体_GB2312"/>
          <w:color w:val="000000" w:themeColor="text1"/>
          <w:sz w:val="20"/>
          <w:szCs w:val="20"/>
          <w:highlight w:val="none"/>
          <w14:textFill>
            <w14:solidFill>
              <w14:schemeClr w14:val="tx1"/>
            </w14:solidFill>
          </w14:textFill>
        </w:rPr>
        <w:t>公允价值的，应对报价进行调整，确定公允价值。</w:t>
      </w:r>
    </w:p>
    <w:p w14:paraId="6CF710A9">
      <w:pPr>
        <w:numPr>
          <w:ilvl w:val="-1"/>
          <w:numId w:val="0"/>
        </w:numPr>
        <w:spacing w:line="300" w:lineRule="exact"/>
        <w:ind w:firstLine="400" w:firstLineChars="200"/>
        <w:jc w:val="both"/>
        <w:rPr>
          <w:rFonts w:hint="eastAsia"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2</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对存在活跃市场的投资品种，如估值日无报价的，需结合最近交易日后经济环境是否发生了重大变化，评估是否对最近交易市价进行调整，确定公允价值。</w:t>
      </w:r>
    </w:p>
    <w:p w14:paraId="760BED59">
      <w:pPr>
        <w:numPr>
          <w:ilvl w:val="-1"/>
          <w:numId w:val="0"/>
        </w:numPr>
        <w:spacing w:line="300" w:lineRule="exact"/>
        <w:ind w:firstLine="400" w:firstLineChars="200"/>
        <w:jc w:val="both"/>
        <w:rPr>
          <w:rFonts w:hint="eastAsia"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3</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对不存在活跃市场的投资品种，应采用市场参与者普遍认同且被以往市场实际交易价格验证具有可靠性的估值技术确定金融工具的公允价值。采用估值技术确定公允价值时，应优先使用可观察输入值，只有在无法取得相关金融工具可观察输入值或取得不切实可行的情况下，才可以使用不可观察输入值。</w:t>
      </w:r>
    </w:p>
    <w:p w14:paraId="747172AD">
      <w:pPr>
        <w:numPr>
          <w:ilvl w:val="-1"/>
          <w:numId w:val="0"/>
        </w:num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4</w:t>
      </w:r>
      <w:r>
        <w:rPr>
          <w:rFonts w:hint="eastAsia" w:ascii="楷体_GB2312" w:eastAsia="楷体_GB2312" w:cs="楷体_GB2312"/>
          <w:color w:val="000000" w:themeColor="text1"/>
          <w:sz w:val="20"/>
          <w:szCs w:val="20"/>
          <w:highlight w:val="none"/>
          <w:lang w:eastAsia="zh-CN"/>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公司在估值过程中可参考第三方估值机构提供的估值结果或估值参数。当采用第三方估值机构提供的价格数据估值时，应选取可靠的、信誉良好的第三方估值机构，并充分了解第三方估值机构所使用的估值技术和估值结果的产生过程，通过定期对估值结构或估值参数进行校验评价其估值质量，防范可能出现的估值偏差。</w:t>
      </w:r>
    </w:p>
    <w:p w14:paraId="57A19E35">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3</w:t>
      </w:r>
      <w:r>
        <w:rPr>
          <w:rFonts w:hint="eastAsia" w:ascii="楷体_GB2312" w:eastAsia="楷体_GB2312" w:cs="楷体_GB2312"/>
          <w:color w:val="000000" w:themeColor="text1"/>
          <w:sz w:val="20"/>
          <w:szCs w:val="20"/>
          <w:highlight w:val="none"/>
          <w14:textFill>
            <w14:solidFill>
              <w14:schemeClr w14:val="tx1"/>
            </w14:solidFill>
          </w14:textFill>
        </w:rPr>
        <w:t>．估值</w:t>
      </w:r>
      <w:r>
        <w:rPr>
          <w:rFonts w:ascii="楷体_GB2312" w:eastAsia="楷体_GB2312" w:cs="楷体_GB2312"/>
          <w:color w:val="000000" w:themeColor="text1"/>
          <w:sz w:val="20"/>
          <w:szCs w:val="20"/>
          <w:highlight w:val="none"/>
          <w14:textFill>
            <w14:solidFill>
              <w14:schemeClr w14:val="tx1"/>
            </w14:solidFill>
          </w14:textFill>
        </w:rPr>
        <w:t>对象和</w:t>
      </w:r>
      <w:r>
        <w:rPr>
          <w:rFonts w:hint="eastAsia" w:ascii="楷体_GB2312" w:eastAsia="楷体_GB2312" w:cs="楷体_GB2312"/>
          <w:color w:val="000000" w:themeColor="text1"/>
          <w:sz w:val="20"/>
          <w:szCs w:val="20"/>
          <w:highlight w:val="none"/>
          <w14:textFill>
            <w14:solidFill>
              <w14:schemeClr w14:val="tx1"/>
            </w14:solidFill>
          </w14:textFill>
        </w:rPr>
        <w:t>估值方法</w:t>
      </w:r>
    </w:p>
    <w:p w14:paraId="6EB8E0C3">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1）银行存款、回购等货币市场工具</w:t>
      </w:r>
    </w:p>
    <w:p w14:paraId="3F0DE640">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4）未上市基金估值</w:t>
      </w:r>
    </w:p>
    <w:p w14:paraId="15E45F74">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 xml:space="preserve">5）非上市股权估值 </w:t>
      </w:r>
    </w:p>
    <w:p w14:paraId="59D6180F">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val="000000" w:themeColor="text1"/>
          <w:sz w:val="20"/>
          <w:szCs w:val="20"/>
          <w:highlight w:val="none"/>
          <w:u w:val="singl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4</w:t>
      </w:r>
      <w:r>
        <w:rPr>
          <w:rFonts w:hint="eastAsia" w:ascii="楷体_GB2312" w:eastAsia="楷体_GB2312" w:cs="楷体_GB2312"/>
          <w:color w:val="000000" w:themeColor="text1"/>
          <w:sz w:val="20"/>
          <w:szCs w:val="20"/>
          <w:highlight w:val="none"/>
          <w14:textFill>
            <w14:solidFill>
              <w14:schemeClr w14:val="tx1"/>
            </w14:solidFill>
          </w14:textFill>
        </w:rPr>
        <w:t>．估值</w:t>
      </w:r>
      <w:r>
        <w:rPr>
          <w:rFonts w:ascii="楷体_GB2312" w:eastAsia="楷体_GB2312" w:cs="楷体_GB2312"/>
          <w:color w:val="000000" w:themeColor="text1"/>
          <w:sz w:val="20"/>
          <w:szCs w:val="20"/>
          <w:highlight w:val="none"/>
          <w14:textFill>
            <w14:solidFill>
              <w14:schemeClr w14:val="tx1"/>
            </w14:solidFill>
          </w14:textFill>
        </w:rPr>
        <w:t>错误的处理</w:t>
      </w:r>
    </w:p>
    <w:p w14:paraId="6ECABD3B">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eastAsia="楷体_GB2312" w:cs="楷体_GB2312"/>
          <w:color w:val="000000" w:themeColor="text1"/>
          <w:sz w:val="20"/>
          <w:szCs w:val="20"/>
          <w:highlight w:val="none"/>
          <w14:textFill>
            <w14:solidFill>
              <w14:schemeClr w14:val="tx1"/>
            </w14:solidFill>
          </w14:textFill>
        </w:rPr>
        <w:t>托管人</w:t>
      </w:r>
      <w:r>
        <w:rPr>
          <w:rFonts w:hint="eastAsia" w:ascii="楷体_GB2312" w:eastAsia="楷体_GB2312" w:cs="楷体_GB2312"/>
          <w:color w:val="000000" w:themeColor="text1"/>
          <w:sz w:val="20"/>
          <w:szCs w:val="20"/>
          <w:highlight w:val="none"/>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w:t>
      </w:r>
      <w:r>
        <w:rPr>
          <w:rFonts w:ascii="楷体_GB2312" w:eastAsia="楷体_GB2312"/>
          <w:color w:val="000000" w:themeColor="text1"/>
          <w:sz w:val="20"/>
          <w:szCs w:val="20"/>
          <w:highlight w:val="none"/>
          <w14:textFill>
            <w14:solidFill>
              <w14:schemeClr w14:val="tx1"/>
            </w14:solidFill>
          </w14:textFill>
        </w:rPr>
        <w:t>1</w:t>
      </w:r>
      <w:r>
        <w:rPr>
          <w:rFonts w:hint="eastAsia" w:ascii="楷体_GB2312" w:eastAsia="楷体_GB2312"/>
          <w:color w:val="000000" w:themeColor="text1"/>
          <w:sz w:val="20"/>
          <w:szCs w:val="20"/>
          <w:highlight w:val="none"/>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A</w:t>
      </w:r>
      <w:r>
        <w:rPr>
          <w:rFonts w:hint="eastAsia" w:ascii="楷体_GB2312" w:eastAsia="楷体_GB2312"/>
          <w:color w:val="000000" w:themeColor="text1"/>
          <w:sz w:val="20"/>
          <w:szCs w:val="20"/>
          <w:highlight w:val="none"/>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B</w:t>
      </w:r>
      <w:r>
        <w:rPr>
          <w:rFonts w:hint="eastAsia" w:ascii="楷体_GB2312" w:eastAsia="楷体_GB2312"/>
          <w:color w:val="000000" w:themeColor="text1"/>
          <w:sz w:val="20"/>
          <w:szCs w:val="20"/>
          <w:highlight w:val="none"/>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val="000000" w:themeColor="text1"/>
          <w:sz w:val="20"/>
          <w:szCs w:val="20"/>
          <w:highlight w:val="none"/>
          <w14:textFill>
            <w14:solidFill>
              <w14:schemeClr w14:val="tx1"/>
            </w14:solidFill>
          </w14:textFill>
        </w:rPr>
        <w:t>应当积极采取必要措施消除</w:t>
      </w:r>
      <w:r>
        <w:rPr>
          <w:rFonts w:hint="eastAsia" w:ascii="楷体_GB2312" w:eastAsia="楷体_GB2312"/>
          <w:color w:val="000000" w:themeColor="text1"/>
          <w:sz w:val="20"/>
          <w:szCs w:val="20"/>
          <w:highlight w:val="none"/>
          <w14:textFill>
            <w14:solidFill>
              <w14:schemeClr w14:val="tx1"/>
            </w14:solidFill>
          </w14:textFill>
        </w:rPr>
        <w:t>差错</w:t>
      </w:r>
      <w:r>
        <w:rPr>
          <w:rFonts w:ascii="楷体_GB2312" w:eastAsia="楷体_GB2312"/>
          <w:color w:val="000000" w:themeColor="text1"/>
          <w:sz w:val="20"/>
          <w:szCs w:val="20"/>
          <w:highlight w:val="none"/>
          <w14:textFill>
            <w14:solidFill>
              <w14:schemeClr w14:val="tx1"/>
            </w14:solidFill>
          </w14:textFill>
        </w:rPr>
        <w:t>带来的影响</w:t>
      </w:r>
      <w:r>
        <w:rPr>
          <w:rFonts w:hint="eastAsia" w:ascii="楷体_GB2312" w:eastAsia="楷体_GB2312"/>
          <w:color w:val="000000" w:themeColor="text1"/>
          <w:sz w:val="20"/>
          <w:szCs w:val="20"/>
          <w:highlight w:val="none"/>
          <w14:textFill>
            <w14:solidFill>
              <w14:schemeClr w14:val="tx1"/>
            </w14:solidFill>
          </w14:textFill>
        </w:rPr>
        <w:t>。</w:t>
      </w:r>
    </w:p>
    <w:p w14:paraId="548BA121">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C</w:t>
      </w:r>
      <w:r>
        <w:rPr>
          <w:rFonts w:hint="eastAsia" w:ascii="楷体_GB2312" w:eastAsia="楷体_GB2312"/>
          <w:color w:val="000000" w:themeColor="text1"/>
          <w:sz w:val="20"/>
          <w:szCs w:val="20"/>
          <w:highlight w:val="none"/>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D</w:t>
      </w:r>
      <w:r>
        <w:rPr>
          <w:rFonts w:hint="eastAsia" w:ascii="楷体_GB2312" w:eastAsia="楷体_GB2312"/>
          <w:color w:val="000000" w:themeColor="text1"/>
          <w:sz w:val="20"/>
          <w:szCs w:val="20"/>
          <w:highlight w:val="none"/>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E</w:t>
      </w:r>
      <w:r>
        <w:rPr>
          <w:rFonts w:hint="eastAsia" w:ascii="楷体_GB2312" w:eastAsia="楷体_GB2312"/>
          <w:color w:val="000000" w:themeColor="text1"/>
          <w:sz w:val="20"/>
          <w:szCs w:val="20"/>
          <w:highlight w:val="none"/>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w:t>
      </w:r>
      <w:r>
        <w:rPr>
          <w:rFonts w:ascii="楷体_GB2312" w:eastAsia="楷体_GB2312"/>
          <w:color w:val="000000" w:themeColor="text1"/>
          <w:sz w:val="20"/>
          <w:szCs w:val="20"/>
          <w:highlight w:val="none"/>
          <w14:textFill>
            <w14:solidFill>
              <w14:schemeClr w14:val="tx1"/>
            </w14:solidFill>
          </w14:textFill>
        </w:rPr>
        <w:t>2</w:t>
      </w:r>
      <w:r>
        <w:rPr>
          <w:rFonts w:hint="eastAsia" w:ascii="楷体_GB2312" w:eastAsia="楷体_GB2312"/>
          <w:color w:val="000000" w:themeColor="text1"/>
          <w:sz w:val="20"/>
          <w:szCs w:val="20"/>
          <w:highlight w:val="none"/>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hint="eastAsia" w:ascii="楷体_GB2312" w:eastAsia="楷体_GB2312"/>
          <w:color w:val="000000" w:themeColor="text1"/>
          <w:sz w:val="20"/>
          <w:szCs w:val="20"/>
          <w:highlight w:val="none"/>
          <w:lang w:eastAsia="zh-CN"/>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A</w:t>
      </w:r>
      <w:r>
        <w:rPr>
          <w:rFonts w:hint="eastAsia" w:ascii="楷体_GB2312" w:eastAsia="楷体_GB2312"/>
          <w:color w:val="000000" w:themeColor="text1"/>
          <w:sz w:val="20"/>
          <w:szCs w:val="20"/>
          <w:highlight w:val="none"/>
          <w14:textFill>
            <w14:solidFill>
              <w14:schemeClr w14:val="tx1"/>
            </w14:solidFill>
          </w14:textFill>
        </w:rPr>
        <w:t>查明估值错误发生的原因，列明所有的管理人和托管人并根据估值错误发生的原因确定估值错误的责任方</w:t>
      </w:r>
      <w:r>
        <w:rPr>
          <w:rFonts w:hint="eastAsia" w:ascii="楷体_GB2312" w:eastAsia="楷体_GB2312"/>
          <w:color w:val="000000" w:themeColor="text1"/>
          <w:sz w:val="20"/>
          <w:szCs w:val="20"/>
          <w:highlight w:val="none"/>
          <w:lang w:eastAsia="zh-CN"/>
          <w14:textFill>
            <w14:solidFill>
              <w14:schemeClr w14:val="tx1"/>
            </w14:solidFill>
          </w14:textFill>
        </w:rPr>
        <w:t>；</w:t>
      </w:r>
    </w:p>
    <w:p w14:paraId="47F684A2">
      <w:pPr>
        <w:spacing w:line="300" w:lineRule="exact"/>
        <w:ind w:firstLine="400" w:firstLineChars="200"/>
        <w:jc w:val="both"/>
        <w:rPr>
          <w:rFonts w:hint="eastAsia" w:ascii="楷体_GB2312" w:eastAsia="楷体_GB2312"/>
          <w:color w:val="000000" w:themeColor="text1"/>
          <w:sz w:val="20"/>
          <w:szCs w:val="20"/>
          <w:highlight w:val="none"/>
          <w:lang w:eastAsia="zh-CN"/>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B</w:t>
      </w:r>
      <w:r>
        <w:rPr>
          <w:rFonts w:hint="eastAsia" w:ascii="楷体_GB2312" w:eastAsia="楷体_GB2312"/>
          <w:color w:val="000000" w:themeColor="text1"/>
          <w:sz w:val="20"/>
          <w:szCs w:val="20"/>
          <w:highlight w:val="none"/>
          <w14:textFill>
            <w14:solidFill>
              <w14:schemeClr w14:val="tx1"/>
            </w14:solidFill>
          </w14:textFill>
        </w:rPr>
        <w:t>根据估值错误处理原则对因估值错误造成的损失进行评估</w:t>
      </w:r>
      <w:r>
        <w:rPr>
          <w:rFonts w:hint="eastAsia" w:ascii="楷体_GB2312" w:eastAsia="楷体_GB2312"/>
          <w:color w:val="000000" w:themeColor="text1"/>
          <w:sz w:val="20"/>
          <w:szCs w:val="20"/>
          <w:highlight w:val="none"/>
          <w:lang w:eastAsia="zh-CN"/>
          <w14:textFill>
            <w14:solidFill>
              <w14:schemeClr w14:val="tx1"/>
            </w14:solidFill>
          </w14:textFill>
        </w:rPr>
        <w:t>；</w:t>
      </w:r>
    </w:p>
    <w:p w14:paraId="3C76DF03">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14:textFill>
            <w14:solidFill>
              <w14:schemeClr w14:val="tx1"/>
            </w14:solidFill>
          </w14:textFill>
        </w:rPr>
        <w:t>C</w:t>
      </w:r>
      <w:r>
        <w:rPr>
          <w:rFonts w:hint="eastAsia" w:ascii="楷体_GB2312" w:eastAsia="楷体_GB2312"/>
          <w:color w:val="000000" w:themeColor="text1"/>
          <w:sz w:val="20"/>
          <w:szCs w:val="20"/>
          <w:highlight w:val="none"/>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lang w:val="en-US" w:eastAsia="zh-CN"/>
          <w14:textFill>
            <w14:solidFill>
              <w14:schemeClr w14:val="tx1"/>
            </w14:solidFill>
          </w14:textFill>
        </w:rPr>
        <w:t>5</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w:t>
      </w:r>
      <w:r>
        <w:rPr>
          <w:rFonts w:ascii="楷体_GB2312" w:eastAsia="楷体_GB2312"/>
          <w:color w:val="000000" w:themeColor="text1"/>
          <w:sz w:val="20"/>
          <w:szCs w:val="20"/>
          <w:highlight w:val="none"/>
          <w14:textFill>
            <w14:solidFill>
              <w14:schemeClr w14:val="tx1"/>
            </w14:solidFill>
          </w14:textFill>
        </w:rPr>
        <w:t>1</w:t>
      </w:r>
      <w:r>
        <w:rPr>
          <w:rFonts w:hint="eastAsia" w:ascii="楷体_GB2312" w:eastAsia="楷体_GB2312"/>
          <w:color w:val="000000" w:themeColor="text1"/>
          <w:sz w:val="20"/>
          <w:szCs w:val="20"/>
          <w:highlight w:val="none"/>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w:t>
      </w:r>
      <w:r>
        <w:rPr>
          <w:rFonts w:ascii="楷体_GB2312" w:eastAsia="楷体_GB2312"/>
          <w:color w:val="000000" w:themeColor="text1"/>
          <w:sz w:val="20"/>
          <w:szCs w:val="20"/>
          <w:highlight w:val="none"/>
          <w14:textFill>
            <w14:solidFill>
              <w14:schemeClr w14:val="tx1"/>
            </w14:solidFill>
          </w14:textFill>
        </w:rPr>
        <w:t>2</w:t>
      </w:r>
      <w:r>
        <w:rPr>
          <w:rFonts w:hint="eastAsia" w:ascii="楷体_GB2312" w:eastAsia="楷体_GB2312"/>
          <w:color w:val="000000" w:themeColor="text1"/>
          <w:sz w:val="20"/>
          <w:szCs w:val="20"/>
          <w:highlight w:val="none"/>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6</w:t>
      </w:r>
      <w:r>
        <w:rPr>
          <w:rFonts w:hint="eastAsia" w:ascii="楷体_GB2312" w:eastAsia="楷体_GB2312" w:cs="楷体_GB2312"/>
          <w:color w:val="000000" w:themeColor="text1"/>
          <w:sz w:val="20"/>
          <w:szCs w:val="20"/>
          <w:highlight w:val="none"/>
          <w14:textFill>
            <w14:solidFill>
              <w14:schemeClr w14:val="tx1"/>
            </w14:solidFill>
          </w14:textFill>
        </w:rPr>
        <w:t>．暂停</w:t>
      </w:r>
      <w:r>
        <w:rPr>
          <w:rFonts w:ascii="楷体_GB2312" w:eastAsia="楷体_GB2312" w:cs="楷体_GB2312"/>
          <w:color w:val="000000" w:themeColor="text1"/>
          <w:sz w:val="20"/>
          <w:szCs w:val="20"/>
          <w:highlight w:val="none"/>
          <w14:textFill>
            <w14:solidFill>
              <w14:schemeClr w14:val="tx1"/>
            </w14:solidFill>
          </w14:textFill>
        </w:rPr>
        <w:t>估值的情形</w:t>
      </w:r>
    </w:p>
    <w:p w14:paraId="3714930D">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（1</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（2</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（3</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产品投资的其他</w:t>
      </w:r>
      <w:r>
        <w:rPr>
          <w:rFonts w:hint="eastAsia" w:ascii="楷体_GB2312" w:eastAsia="楷体_GB2312" w:cs="楷体_GB2312"/>
          <w:color w:val="000000" w:themeColor="text1"/>
          <w:sz w:val="20"/>
          <w:szCs w:val="20"/>
          <w:highlight w:val="none"/>
          <w14:textFill>
            <w14:solidFill>
              <w14:schemeClr w14:val="tx1"/>
            </w14:solidFill>
          </w14:textFill>
        </w:rPr>
        <w:t>资产</w:t>
      </w:r>
      <w:r>
        <w:rPr>
          <w:rFonts w:ascii="楷体_GB2312" w:eastAsia="楷体_GB2312" w:cs="楷体_GB2312"/>
          <w:color w:val="000000" w:themeColor="text1"/>
          <w:sz w:val="20"/>
          <w:szCs w:val="20"/>
          <w:highlight w:val="none"/>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w:t>
      </w:r>
      <w:r>
        <w:rPr>
          <w:rFonts w:ascii="楷体_GB2312" w:eastAsia="楷体_GB2312" w:cs="楷体_GB2312"/>
          <w:color w:val="000000" w:themeColor="text1"/>
          <w:sz w:val="20"/>
          <w:szCs w:val="20"/>
          <w:highlight w:val="none"/>
          <w14:textFill>
            <w14:solidFill>
              <w14:schemeClr w14:val="tx1"/>
            </w14:solidFill>
          </w14:textFill>
        </w:rPr>
        <w:t>4）</w:t>
      </w:r>
      <w:r>
        <w:rPr>
          <w:rFonts w:hint="eastAsia" w:ascii="楷体_GB2312" w:eastAsia="楷体_GB2312" w:cs="楷体_GB2312"/>
          <w:color w:val="000000" w:themeColor="text1"/>
          <w:sz w:val="20"/>
          <w:szCs w:val="20"/>
          <w:highlight w:val="none"/>
          <w14:textFill>
            <w14:solidFill>
              <w14:schemeClr w14:val="tx1"/>
            </w14:solidFill>
          </w14:textFill>
        </w:rPr>
        <w:t>产品在前一估值日内，产品资产净值</w:t>
      </w:r>
      <w:r>
        <w:rPr>
          <w:rFonts w:ascii="楷体_GB2312" w:eastAsia="楷体_GB2312" w:cs="楷体_GB2312"/>
          <w:color w:val="000000" w:themeColor="text1"/>
          <w:sz w:val="20"/>
          <w:szCs w:val="20"/>
          <w:highlight w:val="none"/>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highlight w:val="none"/>
          <w14:textFill>
            <w14:solidFill>
              <w14:schemeClr w14:val="tx1"/>
            </w14:solidFill>
          </w14:textFill>
        </w:rPr>
        <w:t>；</w:t>
      </w:r>
    </w:p>
    <w:p w14:paraId="4C1B57FB">
      <w:pPr>
        <w:spacing w:line="300" w:lineRule="exact"/>
        <w:ind w:firstLine="400" w:firstLineChars="200"/>
        <w:jc w:val="both"/>
        <w:rPr>
          <w:rFonts w:ascii="楷体_GB2312" w:eastAsia="楷体_GB2312" w:cs="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（5</w:t>
      </w:r>
      <w:r>
        <w:rPr>
          <w:rFonts w:ascii="楷体_GB2312" w:eastAsia="楷体_GB2312" w:cs="楷体_GB2312"/>
          <w:color w:val="000000" w:themeColor="text1"/>
          <w:sz w:val="20"/>
          <w:szCs w:val="20"/>
          <w:highlight w:val="none"/>
          <w14:textFill>
            <w14:solidFill>
              <w14:schemeClr w14:val="tx1"/>
            </w14:solidFill>
          </w14:textFill>
        </w:rPr>
        <w:t>）</w:t>
      </w:r>
      <w:r>
        <w:rPr>
          <w:rFonts w:hint="eastAsia" w:ascii="楷体_GB2312" w:eastAsia="楷体_GB2312" w:cs="楷体_GB2312"/>
          <w:color w:val="000000" w:themeColor="text1"/>
          <w:sz w:val="20"/>
          <w:szCs w:val="20"/>
          <w:highlight w:val="none"/>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highlight w:val="none"/>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highlight w:val="none"/>
          <w14:textFill>
            <w14:solidFill>
              <w14:schemeClr w14:val="tx1"/>
            </w14:solidFill>
          </w14:textFill>
        </w:rPr>
        <w:t>。</w:t>
      </w:r>
    </w:p>
    <w:p w14:paraId="361976D9">
      <w:p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s="楷体_GB2312"/>
          <w:color w:val="000000" w:themeColor="text1"/>
          <w:sz w:val="20"/>
          <w:szCs w:val="20"/>
          <w:highlight w:val="none"/>
          <w14:textFill>
            <w14:solidFill>
              <w14:schemeClr w14:val="tx1"/>
            </w14:solidFill>
          </w14:textFill>
        </w:rPr>
        <w:t>遇</w:t>
      </w:r>
      <w:r>
        <w:rPr>
          <w:rFonts w:ascii="楷体_GB2312" w:eastAsia="楷体_GB2312" w:cs="楷体_GB2312"/>
          <w:color w:val="000000" w:themeColor="text1"/>
          <w:sz w:val="20"/>
          <w:szCs w:val="20"/>
          <w:highlight w:val="none"/>
          <w14:textFill>
            <w14:solidFill>
              <w14:schemeClr w14:val="tx1"/>
            </w14:solidFill>
          </w14:textFill>
        </w:rPr>
        <w:t>以上情形，</w:t>
      </w:r>
      <w:r>
        <w:rPr>
          <w:rFonts w:hint="eastAsia" w:ascii="楷体_GB2312" w:eastAsia="楷体_GB2312" w:cs="楷体_GB2312"/>
          <w:color w:val="000000" w:themeColor="text1"/>
          <w:sz w:val="20"/>
          <w:szCs w:val="20"/>
          <w:highlight w:val="none"/>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val="000000" w:themeColor="text1"/>
          <w:sz w:val="20"/>
          <w:szCs w:val="20"/>
          <w:highlight w:val="none"/>
          <w14:textFill>
            <w14:solidFill>
              <w14:schemeClr w14:val="tx1"/>
            </w14:solidFill>
          </w14:textFill>
        </w:rPr>
      </w:pPr>
    </w:p>
    <w:p w14:paraId="22FDF408">
      <w:pPr>
        <w:spacing w:line="300" w:lineRule="exact"/>
        <w:ind w:left="-2" w:leftChars="-1" w:right="36" w:rightChars="15"/>
        <w:rPr>
          <w:color w:val="000000" w:themeColor="text1"/>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十、产品不成立</w:t>
      </w:r>
    </w:p>
    <w:p w14:paraId="5A45DF60">
      <w:pPr>
        <w:spacing w:line="300" w:lineRule="exact"/>
        <w:ind w:left="-2" w:leftChars="-1" w:right="36" w:rightChars="15" w:firstLine="400" w:firstLineChars="200"/>
        <w:jc w:val="both"/>
        <w:rPr>
          <w:color w:val="000000" w:themeColor="text1"/>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1．</w:t>
      </w:r>
      <w:r>
        <w:rPr>
          <w:rFonts w:hint="eastAsia" w:ascii="楷体_GB2312" w:eastAsia="楷体_GB2312" w:cs="楷体_GB2312"/>
          <w:color w:val="000000" w:themeColor="text1"/>
          <w:sz w:val="20"/>
          <w:szCs w:val="20"/>
          <w:highlight w:val="none"/>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highlight w:val="none"/>
          <w14:textFill>
            <w14:solidFill>
              <w14:schemeClr w14:val="tx1"/>
            </w14:solidFill>
          </w14:textFill>
        </w:rPr>
        <w:t>情况</w:t>
      </w:r>
      <w:r>
        <w:rPr>
          <w:rFonts w:hint="eastAsia" w:ascii="楷体_GB2312" w:eastAsia="楷体_GB2312" w:cs="楷体_GB2312"/>
          <w:color w:val="000000" w:themeColor="text1"/>
          <w:sz w:val="20"/>
          <w:szCs w:val="20"/>
          <w:highlight w:val="none"/>
          <w14:textFill>
            <w14:solidFill>
              <w14:schemeClr w14:val="tx1"/>
            </w14:solidFill>
          </w14:textFill>
        </w:rPr>
        <w:t>出现重大变化，影响到本产品的正常成立时，信银理财有权宣布产品不成立。</w:t>
      </w:r>
    </w:p>
    <w:p w14:paraId="37899C85">
      <w:pPr>
        <w:spacing w:line="300" w:lineRule="exact"/>
        <w:ind w:left="-2" w:leftChars="-1" w:right="36" w:rightChars="15" w:firstLine="400" w:firstLineChars="200"/>
        <w:jc w:val="both"/>
        <w:rPr>
          <w:color w:val="000000" w:themeColor="text1"/>
          <w:highlight w:val="none"/>
          <w14:textFill>
            <w14:solidFill>
              <w14:schemeClr w14:val="tx1"/>
            </w14:solidFill>
          </w14:textFill>
        </w:rPr>
      </w:pPr>
      <w:r>
        <w:rPr>
          <w:rFonts w:ascii="楷体_GB2312" w:eastAsia="楷体_GB2312" w:cs="楷体_GB2312"/>
          <w:color w:val="000000" w:themeColor="text1"/>
          <w:sz w:val="20"/>
          <w:szCs w:val="20"/>
          <w:highlight w:val="none"/>
          <w14:textFill>
            <w14:solidFill>
              <w14:schemeClr w14:val="tx1"/>
            </w14:solidFill>
          </w14:textFill>
        </w:rPr>
        <w:t>2．</w:t>
      </w:r>
      <w:r>
        <w:rPr>
          <w:rFonts w:hint="eastAsia" w:ascii="楷体_GB2312" w:eastAsia="楷体_GB2312" w:cs="楷体_GB2312"/>
          <w:color w:val="000000" w:themeColor="text1"/>
          <w:sz w:val="20"/>
          <w:szCs w:val="20"/>
          <w:highlight w:val="none"/>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highlight w:val="none"/>
          <w14:textFill>
            <w14:solidFill>
              <w14:schemeClr w14:val="tx1"/>
            </w14:solidFill>
          </w14:textFill>
        </w:rPr>
        <w:t>通知投资者</w:t>
      </w:r>
      <w:r>
        <w:rPr>
          <w:rFonts w:hint="eastAsia" w:ascii="楷体_GB2312" w:eastAsia="楷体_GB2312" w:cs="楷体_GB2312"/>
          <w:color w:val="000000" w:themeColor="text1"/>
          <w:sz w:val="20"/>
          <w:szCs w:val="20"/>
          <w:highlight w:val="none"/>
          <w14:textFill>
            <w14:solidFill>
              <w14:schemeClr w14:val="tx1"/>
            </w14:solidFill>
          </w14:textFill>
        </w:rPr>
        <w:t>。如信银理财通知产品不成立，将于通知产品不成立之日起【2】个工作日内返还投资者本金（</w:t>
      </w:r>
      <w:r>
        <w:rPr>
          <w:rFonts w:hint="eastAsia" w:ascii="楷体_GB2312" w:eastAsia="楷体_GB2312" w:cs="楷体_GB2312"/>
          <w:color w:val="000000" w:themeColor="text1"/>
          <w:sz w:val="20"/>
          <w:szCs w:val="20"/>
          <w:highlight w:val="none"/>
          <w:lang w:val="en-US" w:eastAsia="zh-CN"/>
          <w14:textFill>
            <w14:solidFill>
              <w14:schemeClr w14:val="tx1"/>
            </w14:solidFill>
          </w14:textFill>
        </w:rPr>
        <w:t>扣款日至本金返还日期间是否计付利息以及利息计付规则以销售机构为准</w:t>
      </w:r>
      <w:r>
        <w:rPr>
          <w:rFonts w:hint="eastAsia" w:ascii="楷体_GB2312" w:eastAsia="楷体_GB2312" w:cs="楷体_GB2312"/>
          <w:color w:val="000000" w:themeColor="text1"/>
          <w:sz w:val="20"/>
          <w:szCs w:val="20"/>
          <w:highlight w:val="none"/>
          <w14:textFill>
            <w14:solidFill>
              <w14:schemeClr w14:val="tx1"/>
            </w14:solidFill>
          </w14:textFill>
        </w:rPr>
        <w:t>）。投资者</w:t>
      </w:r>
      <w:r>
        <w:rPr>
          <w:rFonts w:ascii="楷体_GB2312" w:eastAsia="楷体_GB2312" w:cs="楷体_GB2312"/>
          <w:color w:val="000000" w:themeColor="text1"/>
          <w:sz w:val="20"/>
          <w:szCs w:val="20"/>
          <w:highlight w:val="none"/>
          <w14:textFill>
            <w14:solidFill>
              <w14:schemeClr w14:val="tx1"/>
            </w14:solidFill>
          </w14:textFill>
        </w:rPr>
        <w:t>通过代销机构渠道购买</w:t>
      </w:r>
      <w:r>
        <w:rPr>
          <w:rFonts w:hint="eastAsia" w:ascii="楷体_GB2312" w:eastAsia="楷体_GB2312" w:cs="楷体_GB2312"/>
          <w:color w:val="000000" w:themeColor="text1"/>
          <w:sz w:val="20"/>
          <w:szCs w:val="20"/>
          <w:highlight w:val="none"/>
          <w14:textFill>
            <w14:solidFill>
              <w14:schemeClr w14:val="tx1"/>
            </w14:solidFill>
          </w14:textFill>
        </w:rPr>
        <w:t>理财</w:t>
      </w:r>
      <w:r>
        <w:rPr>
          <w:rFonts w:ascii="楷体_GB2312" w:eastAsia="楷体_GB2312" w:cs="楷体_GB2312"/>
          <w:color w:val="000000" w:themeColor="text1"/>
          <w:sz w:val="20"/>
          <w:szCs w:val="20"/>
          <w:highlight w:val="none"/>
          <w14:textFill>
            <w14:solidFill>
              <w14:schemeClr w14:val="tx1"/>
            </w14:solidFill>
          </w14:textFill>
        </w:rPr>
        <w:t>产品的，</w:t>
      </w:r>
      <w:r>
        <w:rPr>
          <w:rFonts w:hint="eastAsia" w:ascii="楷体_GB2312" w:eastAsia="楷体_GB2312" w:cs="楷体_GB2312"/>
          <w:color w:val="000000" w:themeColor="text1"/>
          <w:sz w:val="20"/>
          <w:szCs w:val="20"/>
          <w:highlight w:val="none"/>
          <w14:textFill>
            <w14:solidFill>
              <w14:schemeClr w14:val="tx1"/>
            </w14:solidFill>
          </w14:textFill>
        </w:rPr>
        <w:t>投资者</w:t>
      </w:r>
      <w:r>
        <w:rPr>
          <w:rFonts w:ascii="楷体_GB2312" w:eastAsia="楷体_GB2312" w:cs="楷体_GB2312"/>
          <w:color w:val="000000" w:themeColor="text1"/>
          <w:sz w:val="20"/>
          <w:szCs w:val="20"/>
          <w:highlight w:val="none"/>
          <w14:textFill>
            <w14:solidFill>
              <w14:schemeClr w14:val="tx1"/>
            </w14:solidFill>
          </w14:textFill>
        </w:rPr>
        <w:t>本金</w:t>
      </w:r>
      <w:r>
        <w:rPr>
          <w:rFonts w:hint="eastAsia" w:ascii="楷体_GB2312" w:eastAsia="楷体_GB2312" w:cs="楷体_GB2312"/>
          <w:color w:val="000000" w:themeColor="text1"/>
          <w:sz w:val="20"/>
          <w:szCs w:val="20"/>
          <w:highlight w:val="none"/>
          <w14:textFill>
            <w14:solidFill>
              <w14:schemeClr w14:val="tx1"/>
            </w14:solidFill>
          </w14:textFill>
        </w:rPr>
        <w:t>划转至</w:t>
      </w:r>
      <w:r>
        <w:rPr>
          <w:rFonts w:ascii="楷体_GB2312" w:eastAsia="楷体_GB2312" w:cs="楷体_GB2312"/>
          <w:color w:val="000000" w:themeColor="text1"/>
          <w:sz w:val="20"/>
          <w:szCs w:val="20"/>
          <w:highlight w:val="none"/>
          <w14:textFill>
            <w14:solidFill>
              <w14:schemeClr w14:val="tx1"/>
            </w14:solidFill>
          </w14:textFill>
        </w:rPr>
        <w:t>投资者账户的时间以代销机构</w:t>
      </w:r>
      <w:r>
        <w:rPr>
          <w:rFonts w:hint="eastAsia" w:ascii="楷体_GB2312" w:eastAsia="楷体_GB2312" w:cs="楷体_GB2312"/>
          <w:color w:val="000000" w:themeColor="text1"/>
          <w:sz w:val="20"/>
          <w:szCs w:val="20"/>
          <w:highlight w:val="none"/>
          <w:lang w:eastAsia="zh-CN"/>
          <w14:textFill>
            <w14:solidFill>
              <w14:schemeClr w14:val="tx1"/>
            </w14:solidFill>
          </w14:textFill>
        </w:rPr>
        <w:t>的</w:t>
      </w:r>
      <w:r>
        <w:rPr>
          <w:rFonts w:hint="eastAsia" w:ascii="楷体_GB2312" w:eastAsia="楷体_GB2312" w:cs="楷体_GB2312"/>
          <w:color w:val="000000" w:themeColor="text1"/>
          <w:sz w:val="20"/>
          <w:szCs w:val="20"/>
          <w:highlight w:val="none"/>
          <w14:textFill>
            <w14:solidFill>
              <w14:schemeClr w14:val="tx1"/>
            </w14:solidFill>
          </w14:textFill>
        </w:rPr>
        <w:t>清算</w:t>
      </w:r>
      <w:r>
        <w:rPr>
          <w:rFonts w:ascii="楷体_GB2312" w:eastAsia="楷体_GB2312" w:cs="楷体_GB2312"/>
          <w:color w:val="000000" w:themeColor="text1"/>
          <w:sz w:val="20"/>
          <w:szCs w:val="20"/>
          <w:highlight w:val="none"/>
          <w14:textFill>
            <w14:solidFill>
              <w14:schemeClr w14:val="tx1"/>
            </w14:solidFill>
          </w14:textFill>
        </w:rPr>
        <w:t>时间为准。</w:t>
      </w:r>
    </w:p>
    <w:p w14:paraId="24DC171A">
      <w:pPr>
        <w:snapToGrid w:val="0"/>
        <w:ind w:left="-2" w:leftChars="-1" w:right="53" w:rightChars="22"/>
        <w:rPr>
          <w:color w:val="000000" w:themeColor="text1"/>
          <w:highlight w:val="none"/>
          <w14:textFill>
            <w14:solidFill>
              <w14:schemeClr w14:val="tx1"/>
            </w14:solidFill>
          </w14:textFill>
        </w:rPr>
      </w:pPr>
      <w:r>
        <w:rPr>
          <w:rFonts w:ascii="Times New Roman" w:hAnsi="Times New Roman"/>
          <w:b/>
          <w:bCs/>
          <w:color w:val="000000" w:themeColor="text1"/>
          <w:sz w:val="20"/>
          <w:szCs w:val="20"/>
          <w:highlight w:val="none"/>
          <w14:textFill>
            <w14:solidFill>
              <w14:schemeClr w14:val="tx1"/>
            </w14:solidFill>
          </w14:textFill>
        </w:rPr>
        <w:t> </w:t>
      </w:r>
    </w:p>
    <w:p w14:paraId="7582A71E">
      <w:pPr>
        <w:snapToGrid w:val="0"/>
        <w:ind w:left="-2" w:leftChars="-1" w:right="53" w:rightChars="22"/>
        <w:outlineLvl w:val="0"/>
        <w:rPr>
          <w:color w:val="000000" w:themeColor="text1"/>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十一、产品的提前终止</w:t>
      </w:r>
    </w:p>
    <w:p w14:paraId="40D67254">
      <w:pPr>
        <w:spacing w:line="300" w:lineRule="exact"/>
        <w:ind w:firstLine="400" w:firstLineChars="200"/>
        <w:jc w:val="both"/>
        <w:rPr>
          <w:rFonts w:ascii="楷体_GB2312" w:eastAsia="楷体_GB2312" w:cs="楷体_GB2312"/>
          <w:color w:val="000000"/>
          <w:sz w:val="20"/>
          <w:szCs w:val="20"/>
          <w:highlight w:val="none"/>
        </w:rPr>
      </w:pPr>
      <w:r>
        <w:rPr>
          <w:rFonts w:ascii="楷体_GB2312" w:eastAsia="楷体_GB2312" w:cs="楷体_GB2312"/>
          <w:color w:val="000000"/>
          <w:sz w:val="20"/>
          <w:szCs w:val="20"/>
          <w:highlight w:val="none"/>
        </w:rPr>
        <w:t>1．</w:t>
      </w:r>
      <w:r>
        <w:rPr>
          <w:rFonts w:hint="eastAsia" w:ascii="楷体_GB2312" w:eastAsia="楷体_GB2312" w:cs="楷体_GB2312"/>
          <w:color w:val="000000"/>
          <w:sz w:val="20"/>
          <w:szCs w:val="20"/>
          <w:highlight w:val="none"/>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（1）遇不可</w:t>
      </w:r>
      <w:r>
        <w:rPr>
          <w:rFonts w:ascii="楷体_GB2312" w:eastAsia="楷体_GB2312" w:cs="楷体_GB2312"/>
          <w:color w:val="000000"/>
          <w:sz w:val="20"/>
          <w:szCs w:val="20"/>
          <w:highlight w:val="none"/>
        </w:rPr>
        <w:t>抗力事件</w:t>
      </w:r>
      <w:r>
        <w:rPr>
          <w:rFonts w:hint="eastAsia" w:ascii="楷体_GB2312" w:eastAsia="楷体_GB2312" w:cs="楷体_GB2312"/>
          <w:color w:val="000000"/>
          <w:sz w:val="20"/>
          <w:szCs w:val="20"/>
          <w:highlight w:val="none"/>
        </w:rPr>
        <w:t>、</w:t>
      </w:r>
      <w:r>
        <w:rPr>
          <w:rFonts w:ascii="楷体_GB2312" w:eastAsia="楷体_GB2312" w:cs="楷体_GB2312"/>
          <w:color w:val="000000"/>
          <w:sz w:val="20"/>
          <w:szCs w:val="20"/>
          <w:highlight w:val="none"/>
        </w:rPr>
        <w:t>法律法规</w:t>
      </w:r>
      <w:r>
        <w:rPr>
          <w:rFonts w:hint="eastAsia" w:ascii="楷体_GB2312" w:eastAsia="楷体_GB2312" w:cs="楷体_GB2312"/>
          <w:color w:val="000000"/>
          <w:sz w:val="20"/>
          <w:szCs w:val="20"/>
          <w:highlight w:val="none"/>
        </w:rPr>
        <w:t>规定、</w:t>
      </w:r>
      <w:r>
        <w:rPr>
          <w:rFonts w:ascii="楷体_GB2312" w:eastAsia="楷体_GB2312" w:cs="楷体_GB2312"/>
          <w:color w:val="000000"/>
          <w:sz w:val="20"/>
          <w:szCs w:val="20"/>
          <w:highlight w:val="none"/>
        </w:rPr>
        <w:t>国家有权机关强制要求等原因导致理财产品无法继续存续</w:t>
      </w:r>
      <w:r>
        <w:rPr>
          <w:rFonts w:hint="eastAsia" w:ascii="楷体_GB2312" w:eastAsia="楷体_GB2312" w:cs="楷体_GB2312"/>
          <w:color w:val="000000"/>
          <w:sz w:val="20"/>
          <w:szCs w:val="20"/>
          <w:highlight w:val="none"/>
        </w:rPr>
        <w:t>的；</w:t>
      </w:r>
    </w:p>
    <w:p w14:paraId="7011ECBB">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（2）遇国家金融政策出现重大调整，或本产品所投资资产市场价格大幅下滑，或信银理财认为将</w:t>
      </w:r>
      <w:r>
        <w:rPr>
          <w:rFonts w:ascii="楷体_GB2312" w:eastAsia="楷体_GB2312" w:cs="楷体_GB2312"/>
          <w:color w:val="000000"/>
          <w:sz w:val="20"/>
          <w:szCs w:val="20"/>
          <w:highlight w:val="none"/>
        </w:rPr>
        <w:t>影响理财产品正常运作</w:t>
      </w:r>
      <w:r>
        <w:rPr>
          <w:rFonts w:hint="eastAsia" w:ascii="楷体_GB2312" w:eastAsia="楷体_GB2312" w:cs="楷体_GB2312"/>
          <w:color w:val="000000"/>
          <w:sz w:val="20"/>
          <w:szCs w:val="20"/>
          <w:highlight w:val="none"/>
        </w:rPr>
        <w:t>、需要提前终止本产品的其他情形的；</w:t>
      </w:r>
    </w:p>
    <w:p w14:paraId="325B0620">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（3）本产品所投资资产的信用状况发生恶化，信银理财合理判断可能影响到期正常兑付时；</w:t>
      </w:r>
    </w:p>
    <w:p w14:paraId="2517BBDA">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（7）提前终止产品比维持产品运作更有利于保护产品持有人的权益；</w:t>
      </w:r>
    </w:p>
    <w:p w14:paraId="5FD66643">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（8）法律法规规定或监管部门认定的其他情形。</w:t>
      </w:r>
    </w:p>
    <w:p w14:paraId="23DB911A">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2</w:t>
      </w:r>
      <w:r>
        <w:rPr>
          <w:rFonts w:ascii="楷体_GB2312" w:eastAsia="楷体_GB2312" w:cs="楷体_GB2312"/>
          <w:color w:val="000000"/>
          <w:sz w:val="20"/>
          <w:szCs w:val="20"/>
          <w:highlight w:val="none"/>
        </w:rPr>
        <w:t>．</w:t>
      </w:r>
      <w:r>
        <w:rPr>
          <w:rFonts w:hint="eastAsia" w:ascii="楷体_GB2312" w:eastAsia="楷体_GB2312" w:cs="楷体_GB2312"/>
          <w:color w:val="000000"/>
          <w:sz w:val="20"/>
          <w:szCs w:val="20"/>
          <w:highlight w:val="none"/>
        </w:rPr>
        <w:t>如果信银理财提前终止本理财产品，信银理财将于提前终止日前【2】个工作日通知投资者，并在提前终止日后【5】个工作日内支付投资者应得</w:t>
      </w:r>
      <w:r>
        <w:rPr>
          <w:rFonts w:ascii="楷体_GB2312" w:eastAsia="楷体_GB2312" w:cs="楷体_GB2312"/>
          <w:color w:val="000000"/>
          <w:sz w:val="20"/>
          <w:szCs w:val="20"/>
          <w:highlight w:val="none"/>
        </w:rPr>
        <w:t>资金</w:t>
      </w:r>
      <w:r>
        <w:rPr>
          <w:rFonts w:hint="eastAsia" w:ascii="楷体_GB2312" w:eastAsia="楷体_GB2312" w:cs="楷体_GB2312"/>
          <w:color w:val="000000"/>
          <w:sz w:val="20"/>
          <w:szCs w:val="20"/>
          <w:highlight w:val="none"/>
        </w:rPr>
        <w:t>。投资者通过</w:t>
      </w:r>
      <w:r>
        <w:rPr>
          <w:rFonts w:ascii="楷体_GB2312" w:eastAsia="楷体_GB2312" w:cs="楷体_GB2312"/>
          <w:color w:val="000000"/>
          <w:sz w:val="20"/>
          <w:szCs w:val="20"/>
          <w:highlight w:val="none"/>
        </w:rPr>
        <w:t>代销机构购买本理财产品的</w:t>
      </w:r>
      <w:r>
        <w:rPr>
          <w:rFonts w:hint="eastAsia" w:ascii="楷体_GB2312" w:eastAsia="楷体_GB2312" w:cs="楷体_GB2312"/>
          <w:color w:val="000000"/>
          <w:sz w:val="20"/>
          <w:szCs w:val="20"/>
          <w:highlight w:val="none"/>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3</w:t>
      </w:r>
      <w:r>
        <w:rPr>
          <w:rFonts w:ascii="楷体_GB2312" w:eastAsia="楷体_GB2312" w:cs="楷体_GB2312"/>
          <w:color w:val="000000"/>
          <w:sz w:val="20"/>
          <w:szCs w:val="20"/>
          <w:highlight w:val="none"/>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eastAsia="楷体_GB2312" w:cs="楷体_GB2312"/>
          <w:color w:val="000000"/>
          <w:sz w:val="20"/>
          <w:szCs w:val="20"/>
          <w:highlight w:val="none"/>
        </w:rPr>
      </w:pPr>
    </w:p>
    <w:p w14:paraId="001E63B7">
      <w:pPr>
        <w:snapToGrid w:val="0"/>
        <w:ind w:left="-2" w:leftChars="-1" w:right="53" w:rightChars="22"/>
        <w:outlineLvl w:val="0"/>
        <w:rPr>
          <w:color w:val="000000" w:themeColor="text1"/>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十二、产品的延期清算</w:t>
      </w:r>
    </w:p>
    <w:p w14:paraId="6D0591B2">
      <w:pPr>
        <w:spacing w:line="300" w:lineRule="exact"/>
        <w:ind w:firstLine="400" w:firstLineChars="200"/>
        <w:jc w:val="both"/>
        <w:rPr>
          <w:rFonts w:ascii="楷体_GB2312" w:eastAsia="楷体_GB2312" w:cs="楷体_GB2312"/>
          <w:color w:val="000000"/>
          <w:sz w:val="20"/>
          <w:szCs w:val="20"/>
          <w:highlight w:val="none"/>
        </w:rPr>
      </w:pPr>
      <w:r>
        <w:rPr>
          <w:rFonts w:hint="eastAsia" w:ascii="楷体_GB2312" w:eastAsia="楷体_GB2312" w:cs="楷体_GB2312"/>
          <w:color w:val="000000"/>
          <w:sz w:val="20"/>
          <w:szCs w:val="20"/>
          <w:highlight w:val="none"/>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hAnsi="Times New Roman" w:eastAsia="楷体_GB2312" w:cs="楷体_GB2312"/>
          <w:color w:val="000000" w:themeColor="text1"/>
          <w:sz w:val="20"/>
          <w:szCs w:val="20"/>
          <w:highlight w:val="none"/>
          <w14:textFill>
            <w14:solidFill>
              <w14:schemeClr w14:val="tx1"/>
            </w14:solidFill>
          </w14:textFill>
        </w:rPr>
      </w:pPr>
    </w:p>
    <w:p w14:paraId="0782545B">
      <w:pPr>
        <w:snapToGrid w:val="0"/>
        <w:ind w:left="-2" w:leftChars="-1" w:right="53" w:rightChars="22"/>
        <w:outlineLvl w:val="0"/>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十三、产品管理人与投资者权利义务</w:t>
      </w:r>
    </w:p>
    <w:p w14:paraId="45CF0B5E">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1．</w:t>
      </w:r>
      <w:r>
        <w:rPr>
          <w:rFonts w:ascii="Times New Roman" w:hAnsi="Times New Roman" w:eastAsia="楷体_GB2312" w:cs="楷体_GB2312"/>
          <w:b/>
          <w:color w:val="000000" w:themeColor="text1"/>
          <w:sz w:val="20"/>
          <w:szCs w:val="20"/>
          <w:highlight w:val="none"/>
          <w14:textFill>
            <w14:solidFill>
              <w14:schemeClr w14:val="tx1"/>
            </w14:solidFill>
          </w14:textFill>
        </w:rPr>
        <w:t>产品管理人声明与保证</w:t>
      </w:r>
    </w:p>
    <w:p w14:paraId="3351CF72">
      <w:pPr>
        <w:snapToGrid w:val="0"/>
        <w:ind w:right="53" w:rightChars="22" w:firstLine="428" w:firstLineChars="213"/>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（1）</w:t>
      </w:r>
      <w:r>
        <w:rPr>
          <w:rFonts w:ascii="Times New Roman" w:hAnsi="Times New Roman" w:eastAsia="楷体_GB2312" w:cs="楷体_GB2312"/>
          <w:b/>
          <w:color w:val="000000" w:themeColor="text1"/>
          <w:sz w:val="20"/>
          <w:szCs w:val="20"/>
          <w:highlight w:val="none"/>
          <w14:textFill>
            <w14:solidFill>
              <w14:schemeClr w14:val="tx1"/>
            </w14:solidFill>
          </w14:textFill>
        </w:rPr>
        <w:t>产品管理人具有开办理财业务的经营资质，保证以诚实守信、勤勉尽职的原则管理和运用理财资金；</w:t>
      </w:r>
    </w:p>
    <w:p w14:paraId="19A18BD7">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（2）</w:t>
      </w:r>
      <w:r>
        <w:rPr>
          <w:rFonts w:ascii="Times New Roman" w:hAnsi="Times New Roman" w:eastAsia="楷体_GB2312" w:cs="楷体_GB2312"/>
          <w:b/>
          <w:color w:val="000000" w:themeColor="text1"/>
          <w:sz w:val="20"/>
          <w:szCs w:val="20"/>
          <w:highlight w:val="none"/>
          <w14:textFill>
            <w14:solidFill>
              <w14:schemeClr w14:val="tx1"/>
            </w14:solidFill>
          </w14:textFill>
        </w:rPr>
        <w:t>产品管理人具有完全适当的资格和能力订立与履行本理财产品合同。</w:t>
      </w:r>
    </w:p>
    <w:p w14:paraId="7085C45B">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2．</w:t>
      </w:r>
      <w:r>
        <w:rPr>
          <w:rFonts w:ascii="Times New Roman" w:hAnsi="Times New Roman" w:eastAsia="楷体_GB2312" w:cs="楷体_GB2312"/>
          <w:b/>
          <w:color w:val="000000" w:themeColor="text1"/>
          <w:sz w:val="20"/>
          <w:szCs w:val="20"/>
          <w:highlight w:val="none"/>
          <w14:textFill>
            <w14:solidFill>
              <w14:schemeClr w14:val="tx1"/>
            </w14:solidFill>
          </w14:textFill>
        </w:rPr>
        <w:t>投资者声明与保证</w:t>
      </w:r>
    </w:p>
    <w:p w14:paraId="7A2827AE">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（1）</w:t>
      </w:r>
      <w:r>
        <w:rPr>
          <w:rFonts w:ascii="Times New Roman" w:hAnsi="Times New Roman" w:eastAsia="楷体_GB2312" w:cs="楷体_GB2312"/>
          <w:b/>
          <w:color w:val="000000" w:themeColor="text1"/>
          <w:sz w:val="20"/>
          <w:szCs w:val="20"/>
          <w:highlight w:val="none"/>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销售文件</w:t>
      </w:r>
      <w:r>
        <w:rPr>
          <w:rFonts w:ascii="Times New Roman" w:hAnsi="Times New Roman" w:eastAsia="楷体_GB2312" w:cs="楷体_GB2312"/>
          <w:b/>
          <w:color w:val="000000" w:themeColor="text1"/>
          <w:sz w:val="20"/>
          <w:szCs w:val="20"/>
          <w:highlight w:val="none"/>
          <w14:textFill>
            <w14:solidFill>
              <w14:schemeClr w14:val="tx1"/>
            </w14:solidFill>
          </w14:textFill>
        </w:rPr>
        <w:t>，不存在法律、行政法规有关规定禁止或限制投资理财产品的情形（适用于个人投资者）。</w:t>
      </w:r>
    </w:p>
    <w:p w14:paraId="777AF035">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color w:val="000000" w:themeColor="text1"/>
          <w:sz w:val="20"/>
          <w:szCs w:val="20"/>
          <w:highlight w:val="none"/>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销售文件</w:t>
      </w:r>
      <w:r>
        <w:rPr>
          <w:rFonts w:ascii="Times New Roman" w:hAnsi="Times New Roman" w:eastAsia="楷体_GB2312" w:cs="楷体_GB2312"/>
          <w:b/>
          <w:color w:val="000000" w:themeColor="text1"/>
          <w:sz w:val="20"/>
          <w:szCs w:val="20"/>
          <w:highlight w:val="none"/>
          <w14:textFill>
            <w14:solidFill>
              <w14:schemeClr w14:val="tx1"/>
            </w14:solidFill>
          </w14:textFill>
        </w:rPr>
        <w:t>所需的一切有关批准、许可、备案或者登记。（适用于机构投资者）；</w:t>
      </w:r>
    </w:p>
    <w:p w14:paraId="1A9A2C09">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（2）</w:t>
      </w:r>
      <w:r>
        <w:rPr>
          <w:rFonts w:ascii="Times New Roman" w:hAnsi="Times New Roman" w:eastAsia="楷体_GB2312" w:cs="楷体_GB2312"/>
          <w:b/>
          <w:color w:val="000000" w:themeColor="text1"/>
          <w:sz w:val="20"/>
          <w:szCs w:val="20"/>
          <w:highlight w:val="none"/>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（3）</w:t>
      </w:r>
      <w:r>
        <w:rPr>
          <w:rFonts w:ascii="Times New Roman" w:hAnsi="Times New Roman" w:eastAsia="楷体_GB2312" w:cs="楷体_GB2312"/>
          <w:b/>
          <w:color w:val="000000" w:themeColor="text1"/>
          <w:sz w:val="20"/>
          <w:szCs w:val="20"/>
          <w:highlight w:val="none"/>
          <w14:textFill>
            <w14:solidFill>
              <w14:schemeClr w14:val="tx1"/>
            </w14:solidFill>
          </w14:textFill>
        </w:rPr>
        <w:t>投资者声明熟悉理财产品类型特征及不同销售渠道的法律法规规定；</w:t>
      </w:r>
    </w:p>
    <w:p w14:paraId="2793902D">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（4）</w:t>
      </w:r>
      <w:r>
        <w:rPr>
          <w:rFonts w:ascii="Times New Roman" w:hAnsi="Times New Roman" w:eastAsia="楷体_GB2312" w:cs="楷体_GB2312"/>
          <w:b/>
          <w:color w:val="000000" w:themeColor="text1"/>
          <w:sz w:val="20"/>
          <w:szCs w:val="20"/>
          <w:highlight w:val="none"/>
          <w14:textFill>
            <w14:solidFill>
              <w14:schemeClr w14:val="tx1"/>
            </w14:solidFill>
          </w14:textFill>
        </w:rPr>
        <w:t>投资者承诺：如委托他人购买本产品，代理人须出具具有法律效力的授权委托书；</w:t>
      </w:r>
    </w:p>
    <w:p w14:paraId="675D344A">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（5）</w:t>
      </w:r>
      <w:r>
        <w:rPr>
          <w:rFonts w:ascii="Times New Roman" w:hAnsi="Times New Roman" w:eastAsia="楷体_GB2312" w:cs="楷体_GB2312"/>
          <w:b/>
          <w:color w:val="000000" w:themeColor="text1"/>
          <w:sz w:val="20"/>
          <w:szCs w:val="20"/>
          <w:highlight w:val="none"/>
          <w14:textFill>
            <w14:solidFill>
              <w14:schemeClr w14:val="tx1"/>
            </w14:solidFill>
          </w14:textFill>
        </w:rPr>
        <w:t>投资者保证理财投资资金来源和用途合法，保证可向产品管理人和代销机构提供合法筹集的证明文件；</w:t>
      </w:r>
    </w:p>
    <w:p w14:paraId="21D1EF66">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（6）</w:t>
      </w:r>
      <w:r>
        <w:rPr>
          <w:rFonts w:ascii="Times New Roman" w:hAnsi="Times New Roman" w:eastAsia="楷体_GB2312" w:cs="楷体_GB2312"/>
          <w:b/>
          <w:color w:val="000000" w:themeColor="text1"/>
          <w:sz w:val="20"/>
          <w:szCs w:val="20"/>
          <w:highlight w:val="none"/>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销售文件</w:t>
      </w:r>
      <w:r>
        <w:rPr>
          <w:rFonts w:ascii="Times New Roman" w:hAnsi="Times New Roman" w:eastAsia="楷体_GB2312" w:cs="楷体_GB2312"/>
          <w:b/>
          <w:color w:val="000000" w:themeColor="text1"/>
          <w:sz w:val="20"/>
          <w:szCs w:val="20"/>
          <w:highlight w:val="none"/>
          <w14:textFill>
            <w14:solidFill>
              <w14:schemeClr w14:val="tx1"/>
            </w14:solidFill>
          </w14:textFill>
        </w:rPr>
        <w:t>项下理财产品从事违法活动；</w:t>
      </w:r>
    </w:p>
    <w:p w14:paraId="42C0B570">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（7）</w:t>
      </w:r>
      <w:r>
        <w:rPr>
          <w:rFonts w:ascii="Times New Roman" w:hAnsi="Times New Roman" w:eastAsia="楷体_GB2312" w:cs="楷体_GB2312"/>
          <w:b/>
          <w:color w:val="000000" w:themeColor="text1"/>
          <w:sz w:val="20"/>
          <w:szCs w:val="20"/>
          <w:highlight w:val="none"/>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4D01FFBA">
      <w:pPr>
        <w:snapToGrid w:val="0"/>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（8）</w:t>
      </w:r>
      <w:r>
        <w:rPr>
          <w:rFonts w:ascii="Times New Roman" w:hAnsi="Times New Roman" w:eastAsia="楷体_GB2312" w:cs="楷体_GB2312"/>
          <w:b/>
          <w:color w:val="000000" w:themeColor="text1"/>
          <w:sz w:val="20"/>
          <w:szCs w:val="20"/>
          <w:highlight w:val="none"/>
          <w14:textFill>
            <w14:solidFill>
              <w14:schemeClr w14:val="tx1"/>
            </w14:solidFill>
          </w14:textFill>
        </w:rPr>
        <w:t>投资者不属于联合国制裁名单，及中国政府部门或有权机关发布的涉恐及反洗钱相关风险名单内的企业或个人；不位于被联合</w:t>
      </w:r>
      <w:r>
        <w:rPr>
          <w:rFonts w:hint="eastAsia" w:ascii="Times New Roman" w:hAnsi="Times New Roman" w:eastAsia="楷体_GB2312" w:cs="楷体_GB2312"/>
          <w:b/>
          <w:color w:val="000000" w:themeColor="text1"/>
          <w:sz w:val="20"/>
          <w:szCs w:val="20"/>
          <w:highlight w:val="none"/>
          <w:lang w:val="en-US" w:eastAsia="zh-CN"/>
          <w14:textFill>
            <w14:solidFill>
              <w14:schemeClr w14:val="tx1"/>
            </w14:solidFill>
          </w14:textFill>
        </w:rPr>
        <w:t>国</w:t>
      </w:r>
      <w:r>
        <w:rPr>
          <w:rFonts w:ascii="Times New Roman" w:hAnsi="Times New Roman" w:eastAsia="楷体_GB2312" w:cs="楷体_GB2312"/>
          <w:b/>
          <w:color w:val="000000" w:themeColor="text1"/>
          <w:sz w:val="20"/>
          <w:szCs w:val="20"/>
          <w:highlight w:val="none"/>
          <w14:textFill>
            <w14:solidFill>
              <w14:schemeClr w14:val="tx1"/>
            </w14:solidFill>
          </w14:textFill>
        </w:rPr>
        <w:t>或</w:t>
      </w:r>
      <w:r>
        <w:rPr>
          <w:rFonts w:hint="eastAsia" w:ascii="Times New Roman" w:hAnsi="Times New Roman" w:eastAsia="楷体_GB2312" w:cs="楷体_GB2312"/>
          <w:b/>
          <w:color w:val="000000" w:themeColor="text1"/>
          <w:sz w:val="20"/>
          <w:szCs w:val="20"/>
          <w:highlight w:val="none"/>
          <w:lang w:val="en-US" w:eastAsia="zh-CN"/>
          <w14:textFill>
            <w14:solidFill>
              <w14:schemeClr w14:val="tx1"/>
            </w14:solidFill>
          </w14:textFill>
        </w:rPr>
        <w:t>中</w:t>
      </w:r>
      <w:r>
        <w:rPr>
          <w:rFonts w:ascii="Times New Roman" w:hAnsi="Times New Roman" w:eastAsia="楷体_GB2312" w:cs="楷体_GB2312"/>
          <w:b/>
          <w:color w:val="000000" w:themeColor="text1"/>
          <w:sz w:val="20"/>
          <w:szCs w:val="20"/>
          <w:highlight w:val="none"/>
          <w14:textFill>
            <w14:solidFill>
              <w14:schemeClr w14:val="tx1"/>
            </w14:solidFill>
          </w14:textFill>
        </w:rPr>
        <w:t>国制裁的国家和地区；</w:t>
      </w:r>
    </w:p>
    <w:p w14:paraId="7F6A09A5">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（9）</w:t>
      </w:r>
      <w:r>
        <w:rPr>
          <w:rFonts w:ascii="Times New Roman" w:hAnsi="Times New Roman" w:eastAsia="楷体_GB2312" w:cs="楷体_GB2312"/>
          <w:b/>
          <w:color w:val="000000" w:themeColor="text1"/>
          <w:sz w:val="20"/>
          <w:szCs w:val="20"/>
          <w:highlight w:val="none"/>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3．</w:t>
      </w:r>
      <w:r>
        <w:rPr>
          <w:rFonts w:ascii="Times New Roman" w:hAnsi="Times New Roman" w:eastAsia="楷体_GB2312" w:cs="楷体_GB2312"/>
          <w:b/>
          <w:color w:val="000000" w:themeColor="text1"/>
          <w:sz w:val="20"/>
          <w:szCs w:val="20"/>
          <w:highlight w:val="none"/>
          <w14:textFill>
            <w14:solidFill>
              <w14:schemeClr w14:val="tx1"/>
            </w14:solidFill>
          </w14:textFill>
        </w:rPr>
        <w:t>双方同意</w:t>
      </w:r>
    </w:p>
    <w:p w14:paraId="1CFE977B">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（1）</w:t>
      </w:r>
      <w:r>
        <w:rPr>
          <w:rFonts w:ascii="Times New Roman" w:hAnsi="Times New Roman" w:eastAsia="楷体_GB2312" w:cs="楷体_GB2312"/>
          <w:b/>
          <w:color w:val="000000" w:themeColor="text1"/>
          <w:sz w:val="20"/>
          <w:szCs w:val="20"/>
          <w:highlight w:val="none"/>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（2）</w:t>
      </w:r>
      <w:r>
        <w:rPr>
          <w:rFonts w:ascii="Times New Roman" w:hAnsi="Times New Roman" w:eastAsia="楷体_GB2312" w:cs="楷体_GB2312"/>
          <w:b/>
          <w:color w:val="000000" w:themeColor="text1"/>
          <w:sz w:val="20"/>
          <w:szCs w:val="20"/>
          <w:highlight w:val="none"/>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销售文件</w:t>
      </w:r>
      <w:r>
        <w:rPr>
          <w:rFonts w:ascii="Times New Roman" w:hAnsi="Times New Roman" w:eastAsia="楷体_GB2312" w:cs="楷体_GB2312"/>
          <w:b/>
          <w:color w:val="000000" w:themeColor="text1"/>
          <w:sz w:val="20"/>
          <w:szCs w:val="20"/>
          <w:highlight w:val="none"/>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销售文件</w:t>
      </w:r>
      <w:r>
        <w:rPr>
          <w:rFonts w:ascii="Times New Roman" w:hAnsi="Times New Roman" w:eastAsia="楷体_GB2312" w:cs="楷体_GB2312"/>
          <w:b/>
          <w:color w:val="000000" w:themeColor="text1"/>
          <w:sz w:val="20"/>
          <w:szCs w:val="20"/>
          <w:highlight w:val="none"/>
          <w14:textFill>
            <w14:solidFill>
              <w14:schemeClr w14:val="tx1"/>
            </w14:solidFill>
          </w14:textFill>
        </w:rPr>
        <w:t>项下的任何权利、利益、权益（包括单独和整体）；</w:t>
      </w:r>
    </w:p>
    <w:p w14:paraId="1D3314DF">
      <w:pPr>
        <w:snapToGrid w:val="0"/>
        <w:ind w:right="53" w:rightChars="22" w:firstLine="428" w:firstLineChars="213"/>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（3）</w:t>
      </w:r>
      <w:r>
        <w:rPr>
          <w:rFonts w:ascii="Times New Roman" w:hAnsi="Times New Roman" w:eastAsia="楷体_GB2312" w:cs="楷体_GB2312"/>
          <w:b/>
          <w:color w:val="000000" w:themeColor="text1"/>
          <w:sz w:val="20"/>
          <w:szCs w:val="20"/>
          <w:highlight w:val="none"/>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left="402" w:right="29" w:rightChars="12" w:hanging="402" w:hangingChars="200"/>
        <w:rPr>
          <w:rFonts w:ascii="Times New Roman" w:hAnsi="Times New Roman"/>
          <w:b/>
          <w:bCs/>
          <w:color w:val="000000" w:themeColor="text1"/>
          <w:sz w:val="20"/>
          <w:szCs w:val="20"/>
          <w:highlight w:val="none"/>
          <w14:textFill>
            <w14:solidFill>
              <w14:schemeClr w14:val="tx1"/>
            </w14:solidFill>
          </w14:textFill>
        </w:rPr>
      </w:pPr>
      <w:r>
        <w:rPr>
          <w:rFonts w:ascii="Times New Roman" w:hAnsi="Times New Roman"/>
          <w:b/>
          <w:bCs/>
          <w:color w:val="000000" w:themeColor="text1"/>
          <w:sz w:val="20"/>
          <w:szCs w:val="20"/>
          <w:highlight w:val="none"/>
          <w14:textFill>
            <w14:solidFill>
              <w14:schemeClr w14:val="tx1"/>
            </w14:solidFill>
          </w14:textFill>
        </w:rPr>
        <w:t> </w:t>
      </w:r>
    </w:p>
    <w:p w14:paraId="2ACD857F">
      <w:pPr>
        <w:spacing w:line="300" w:lineRule="exact"/>
        <w:ind w:left="402" w:right="29" w:rightChars="12" w:hanging="402" w:hangingChars="200"/>
        <w:rPr>
          <w:rFonts w:ascii="黑体" w:eastAsia="黑体" w:cs="黑体"/>
          <w:b/>
          <w:color w:val="000000" w:themeColor="text1"/>
          <w:sz w:val="20"/>
          <w:szCs w:val="20"/>
          <w:highlight w:val="none"/>
          <w14:textFill>
            <w14:solidFill>
              <w14:schemeClr w14:val="tx1"/>
            </w14:solidFill>
          </w14:textFill>
        </w:rPr>
      </w:pPr>
      <w:r>
        <w:rPr>
          <w:rFonts w:hint="eastAsia" w:ascii="黑体" w:eastAsia="黑体" w:cs="黑体"/>
          <w:b/>
          <w:color w:val="000000" w:themeColor="text1"/>
          <w:sz w:val="20"/>
          <w:szCs w:val="20"/>
          <w:highlight w:val="none"/>
          <w14:textFill>
            <w14:solidFill>
              <w14:schemeClr w14:val="tx1"/>
            </w14:solidFill>
          </w14:textFill>
        </w:rPr>
        <w:t>十四、保密</w:t>
      </w:r>
      <w:r>
        <w:rPr>
          <w:rFonts w:ascii="黑体" w:eastAsia="黑体" w:cs="黑体"/>
          <w:b/>
          <w:color w:val="000000" w:themeColor="text1"/>
          <w:sz w:val="20"/>
          <w:szCs w:val="20"/>
          <w:highlight w:val="none"/>
          <w14:textFill>
            <w14:solidFill>
              <w14:schemeClr w14:val="tx1"/>
            </w14:solidFill>
          </w14:textFill>
        </w:rPr>
        <w:t>条款</w:t>
      </w:r>
    </w:p>
    <w:p w14:paraId="0263DDBD">
      <w:pPr>
        <w:spacing w:line="300" w:lineRule="exact"/>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color w:val="000000" w:themeColor="text1"/>
          <w:sz w:val="20"/>
          <w:szCs w:val="20"/>
          <w:highlight w:val="none"/>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color w:val="000000" w:themeColor="text1"/>
          <w:sz w:val="20"/>
          <w:szCs w:val="20"/>
          <w:highlight w:val="none"/>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color w:val="000000" w:themeColor="text1"/>
          <w:sz w:val="20"/>
          <w:szCs w:val="20"/>
          <w:highlight w:val="none"/>
          <w14:textFill>
            <w14:solidFill>
              <w14:schemeClr w14:val="tx1"/>
            </w14:solidFill>
          </w14:textFill>
        </w:rPr>
        <w:t>3．根据监管机构要求，管理人（特指除本理财</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产品</w:t>
      </w:r>
      <w:r>
        <w:rPr>
          <w:rFonts w:ascii="Times New Roman" w:hAnsi="Times New Roman" w:eastAsia="楷体_GB2312" w:cs="楷体_GB2312"/>
          <w:b/>
          <w:color w:val="000000" w:themeColor="text1"/>
          <w:sz w:val="20"/>
          <w:szCs w:val="20"/>
          <w:highlight w:val="none"/>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highlight w:val="none"/>
          <w14:textFill>
            <w14:solidFill>
              <w14:schemeClr w14:val="tx1"/>
            </w14:solidFill>
          </w14:textFill>
        </w:rPr>
        <w:t>产品</w:t>
      </w:r>
      <w:r>
        <w:rPr>
          <w:rFonts w:ascii="Times New Roman" w:hAnsi="Times New Roman" w:eastAsia="楷体_GB2312" w:cs="楷体_GB2312"/>
          <w:b/>
          <w:color w:val="000000" w:themeColor="text1"/>
          <w:sz w:val="20"/>
          <w:szCs w:val="20"/>
          <w:highlight w:val="none"/>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left="2" w:right="29" w:rightChars="12" w:firstLine="282" w:firstLineChars="141"/>
        <w:rPr>
          <w:rFonts w:ascii="Times New Roman" w:hAnsi="Times New Roman" w:eastAsia="楷体_GB2312" w:cs="楷体_GB2312"/>
          <w:color w:val="000000" w:themeColor="text1"/>
          <w:sz w:val="20"/>
          <w:szCs w:val="20"/>
          <w:highlight w:val="none"/>
          <w14:textFill>
            <w14:solidFill>
              <w14:schemeClr w14:val="tx1"/>
            </w14:solidFill>
          </w14:textFill>
        </w:rPr>
      </w:pPr>
    </w:p>
    <w:p w14:paraId="1F461DD7">
      <w:pPr>
        <w:spacing w:line="300" w:lineRule="exact"/>
        <w:ind w:left="402" w:right="29" w:rightChars="12" w:hanging="402" w:hangingChars="200"/>
        <w:rPr>
          <w:rFonts w:ascii="楷体_GB2312" w:eastAsia="楷体_GB2312"/>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十五、特别提示</w:t>
      </w:r>
    </w:p>
    <w:p w14:paraId="0293E191">
      <w:pPr>
        <w:spacing w:line="300" w:lineRule="exact"/>
        <w:ind w:firstLine="402" w:firstLineChars="200"/>
        <w:jc w:val="both"/>
        <w:rPr>
          <w:b/>
          <w:color w:val="000000" w:themeColor="text1"/>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highlight w:val="none"/>
          <w14:textFill>
            <w14:solidFill>
              <w14:schemeClr w14:val="tx1"/>
            </w14:solidFill>
          </w14:textFill>
        </w:rPr>
        <w:t>理财</w:t>
      </w:r>
      <w:r>
        <w:rPr>
          <w:rFonts w:ascii="楷体_GB2312" w:eastAsia="楷体_GB2312" w:cs="楷体_GB2312"/>
          <w:b/>
          <w:color w:val="000000" w:themeColor="text1"/>
          <w:sz w:val="20"/>
          <w:szCs w:val="20"/>
          <w:highlight w:val="none"/>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highlight w:val="none"/>
          <w14:textFill>
            <w14:solidFill>
              <w14:schemeClr w14:val="tx1"/>
            </w14:solidFill>
          </w14:textFill>
        </w:rPr>
        <w:t>理财本金全部损失风险</w:t>
      </w:r>
      <w:r>
        <w:rPr>
          <w:rFonts w:ascii="楷体_GB2312" w:eastAsia="楷体_GB2312" w:cs="楷体_GB2312"/>
          <w:b/>
          <w:color w:val="000000" w:themeColor="text1"/>
          <w:sz w:val="20"/>
          <w:szCs w:val="20"/>
          <w:highlight w:val="none"/>
          <w14:textFill>
            <w14:solidFill>
              <w14:schemeClr w14:val="tx1"/>
            </w14:solidFill>
          </w14:textFill>
        </w:rPr>
        <w:t>、合作销售机构</w:t>
      </w:r>
      <w:r>
        <w:rPr>
          <w:rFonts w:hint="eastAsia" w:ascii="楷体_GB2312" w:eastAsia="楷体_GB2312" w:cs="楷体_GB2312"/>
          <w:b/>
          <w:color w:val="000000" w:themeColor="text1"/>
          <w:sz w:val="20"/>
          <w:szCs w:val="20"/>
          <w:highlight w:val="none"/>
          <w14:textFill>
            <w14:solidFill>
              <w14:schemeClr w14:val="tx1"/>
            </w14:solidFill>
          </w14:textFill>
        </w:rPr>
        <w:t>（代销机构）</w:t>
      </w:r>
      <w:r>
        <w:rPr>
          <w:rFonts w:ascii="楷体_GB2312" w:eastAsia="楷体_GB2312" w:cs="楷体_GB2312"/>
          <w:b/>
          <w:color w:val="000000" w:themeColor="text1"/>
          <w:sz w:val="20"/>
          <w:szCs w:val="20"/>
          <w:highlight w:val="none"/>
          <w14:textFill>
            <w14:solidFill>
              <w14:schemeClr w14:val="tx1"/>
            </w14:solidFill>
          </w14:textFill>
        </w:rPr>
        <w:t>风险、操作风险</w:t>
      </w:r>
      <w:r>
        <w:rPr>
          <w:rFonts w:hint="eastAsia" w:ascii="楷体_GB2312" w:eastAsia="楷体_GB2312" w:cs="楷体_GB2312"/>
          <w:b/>
          <w:color w:val="000000" w:themeColor="text1"/>
          <w:sz w:val="20"/>
          <w:szCs w:val="20"/>
          <w:highlight w:val="none"/>
          <w14:textFill>
            <w14:solidFill>
              <w14:schemeClr w14:val="tx1"/>
            </w14:solidFill>
          </w14:textFill>
        </w:rPr>
        <w:t>、关联交易风险</w:t>
      </w:r>
      <w:r>
        <w:rPr>
          <w:rFonts w:ascii="楷体_GB2312" w:eastAsia="楷体_GB2312" w:cs="楷体_GB2312"/>
          <w:b/>
          <w:color w:val="000000" w:themeColor="text1"/>
          <w:sz w:val="20"/>
          <w:szCs w:val="20"/>
          <w:highlight w:val="none"/>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eastAsia="楷体_GB2312" w:cs="楷体_GB2312"/>
          <w:b/>
          <w:color w:val="000000" w:themeColor="text1"/>
          <w:sz w:val="20"/>
          <w:szCs w:val="20"/>
          <w:highlight w:val="none"/>
          <w14:textFill>
            <w14:solidFill>
              <w14:schemeClr w14:val="tx1"/>
            </w14:solidFill>
          </w14:textFill>
        </w:rPr>
      </w:pPr>
      <w:r>
        <w:rPr>
          <w:rFonts w:ascii="楷体_GB2312" w:eastAsia="楷体_GB2312" w:cs="楷体_GB2312"/>
          <w:b/>
          <w:color w:val="000000" w:themeColor="text1"/>
          <w:sz w:val="20"/>
          <w:szCs w:val="20"/>
          <w:highlight w:val="none"/>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2BC355BF">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hint="eastAsia" w:ascii="楷体_GB2312" w:eastAsia="楷体_GB2312"/>
          <w:b/>
          <w:color w:val="000000" w:themeColor="text1"/>
          <w:sz w:val="20"/>
          <w:szCs w:val="20"/>
          <w:highlight w:val="none"/>
          <w14:textFill>
            <w14:solidFill>
              <w14:schemeClr w14:val="tx1"/>
            </w14:solidFill>
          </w14:textFill>
        </w:rPr>
        <w:t>或</w:t>
      </w:r>
      <w:r>
        <w:rPr>
          <w:rFonts w:ascii="楷体_GB2312" w:eastAsia="楷体_GB2312"/>
          <w:b/>
          <w:color w:val="000000" w:themeColor="text1"/>
          <w:sz w:val="20"/>
          <w:szCs w:val="20"/>
          <w:highlight w:val="none"/>
          <w14:textFill>
            <w14:solidFill>
              <w14:schemeClr w14:val="tx1"/>
            </w14:solidFill>
          </w14:textFill>
        </w:rPr>
        <w:t>登录信银理财网站【http://www.citic-wealth.com/】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9675254">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hint="eastAsia" w:ascii="楷体_GB2312" w:eastAsia="楷体_GB2312"/>
          <w:b/>
          <w:color w:val="000000" w:themeColor="text1"/>
          <w:sz w:val="20"/>
          <w:szCs w:val="20"/>
          <w:highlight w:val="none"/>
          <w:lang w:val="en-US" w:eastAsia="zh-CN"/>
          <w14:textFill>
            <w14:solidFill>
              <w14:schemeClr w14:val="tx1"/>
            </w14:solidFill>
          </w14:textFill>
        </w:rPr>
        <w:t>我司投诉处理机构或部门调查核实投诉事项，在收到投诉之日起15日内作出处理决定并告知投诉人，情况复杂的可延长至30日，最长处理期限不超过60日。我司投诉处理机构或部门告知投诉人处理决定的同时，会说明对消费投诉内容的核实情况、作出决定的有关依据和理由，以及投诉人可以采取的申请核查、调解、仲裁、诉讼等纠纷解决途径。</w:t>
      </w:r>
    </w:p>
    <w:p w14:paraId="450D0CF7">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6．信银理财有权依法对本产品说明书进行解释。</w:t>
      </w:r>
    </w:p>
    <w:p w14:paraId="7CD903EC">
      <w:pPr>
        <w:spacing w:line="300" w:lineRule="exact"/>
        <w:ind w:left="-2" w:right="36" w:rightChars="15" w:firstLine="428" w:firstLineChars="214"/>
        <w:rPr>
          <w:rFonts w:ascii="楷体_GB2312" w:eastAsia="楷体_GB2312"/>
          <w:color w:val="000000" w:themeColor="text1"/>
          <w:sz w:val="20"/>
          <w:szCs w:val="20"/>
          <w:highlight w:val="none"/>
          <w14:textFill>
            <w14:solidFill>
              <w14:schemeClr w14:val="tx1"/>
            </w14:solidFill>
          </w14:textFill>
        </w:rPr>
      </w:pPr>
    </w:p>
    <w:p w14:paraId="2F9F4230">
      <w:pPr>
        <w:spacing w:line="300" w:lineRule="exact"/>
        <w:ind w:left="400" w:right="29" w:rightChars="12" w:hanging="400" w:hangingChars="200"/>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十六、违约责任</w:t>
      </w:r>
    </w:p>
    <w:p w14:paraId="0FE10543">
      <w:pPr>
        <w:spacing w:line="300" w:lineRule="exact"/>
        <w:ind w:left="-2" w:right="36" w:rightChars="15" w:firstLine="428" w:firstLineChars="214"/>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双方因违反本产品说明书约定而给对方造成损失的，违约方应赔偿因此给对方造成的直接损失。</w:t>
      </w:r>
    </w:p>
    <w:p w14:paraId="515352ED">
      <w:pPr>
        <w:spacing w:line="300" w:lineRule="exact"/>
        <w:ind w:left="-2" w:right="36" w:rightChars="15" w:firstLine="428" w:firstLineChars="214"/>
        <w:rPr>
          <w:rFonts w:ascii="楷体_GB2312" w:eastAsia="楷体_GB2312"/>
          <w:color w:val="000000" w:themeColor="text1"/>
          <w:sz w:val="20"/>
          <w:szCs w:val="20"/>
          <w:highlight w:val="none"/>
          <w14:textFill>
            <w14:solidFill>
              <w14:schemeClr w14:val="tx1"/>
            </w14:solidFill>
          </w14:textFill>
        </w:rPr>
      </w:pPr>
    </w:p>
    <w:p w14:paraId="27319308">
      <w:pPr>
        <w:spacing w:line="300" w:lineRule="exact"/>
        <w:ind w:left="402" w:right="29" w:rightChars="12" w:hanging="402" w:hangingChars="200"/>
        <w:rPr>
          <w:rFonts w:ascii="黑体" w:hAnsi="Times New Roman" w:eastAsia="黑体" w:cs="黑体"/>
          <w:b/>
          <w:color w:val="000000" w:themeColor="text1"/>
          <w:sz w:val="20"/>
          <w:szCs w:val="20"/>
          <w:highlight w:val="none"/>
          <w14:textFill>
            <w14:solidFill>
              <w14:schemeClr w14:val="tx1"/>
            </w14:solidFill>
          </w14:textFill>
        </w:rPr>
      </w:pPr>
      <w:r>
        <w:rPr>
          <w:rFonts w:hint="eastAsia" w:ascii="黑体" w:hAnsi="Times New Roman" w:eastAsia="黑体" w:cs="黑体"/>
          <w:b/>
          <w:color w:val="000000" w:themeColor="text1"/>
          <w:sz w:val="20"/>
          <w:szCs w:val="20"/>
          <w:highlight w:val="none"/>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val="000000" w:themeColor="text1"/>
          <w:sz w:val="20"/>
          <w:szCs w:val="20"/>
          <w:highlight w:val="none"/>
          <w14:textFill>
            <w14:solidFill>
              <w14:schemeClr w14:val="tx1"/>
            </w14:solidFill>
          </w14:textFill>
        </w:rPr>
      </w:pPr>
      <w:r>
        <w:rPr>
          <w:rFonts w:ascii="楷体_GB2312" w:eastAsia="楷体_GB2312"/>
          <w:b/>
          <w:color w:val="000000" w:themeColor="text1"/>
          <w:sz w:val="20"/>
          <w:szCs w:val="20"/>
          <w:highlight w:val="none"/>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left="-2" w:right="36" w:rightChars="15" w:firstLine="428" w:firstLineChars="214"/>
        <w:rPr>
          <w:rFonts w:ascii="楷体_GB2312" w:eastAsia="楷体_GB2312"/>
          <w:color w:val="000000" w:themeColor="text1"/>
          <w:sz w:val="20"/>
          <w:szCs w:val="20"/>
          <w:highlight w:val="none"/>
          <w14:textFill>
            <w14:solidFill>
              <w14:schemeClr w14:val="tx1"/>
            </w14:solidFill>
          </w14:textFill>
        </w:rPr>
      </w:pPr>
    </w:p>
    <w:p w14:paraId="5E4B27E8">
      <w:pPr>
        <w:spacing w:line="300" w:lineRule="exact"/>
        <w:ind w:left="400" w:right="29" w:rightChars="12" w:hanging="400" w:hangingChars="200"/>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十八、本说明书的生效与终止</w:t>
      </w:r>
    </w:p>
    <w:p w14:paraId="5F5DFE30">
      <w:pPr>
        <w:pStyle w:val="20"/>
        <w:numPr>
          <w:ilvl w:val="255"/>
          <w:numId w:val="0"/>
        </w:num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1</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投资者在信银</w:t>
      </w:r>
      <w:r>
        <w:rPr>
          <w:rFonts w:ascii="楷体_GB2312" w:eastAsia="楷体_GB2312"/>
          <w:color w:val="000000" w:themeColor="text1"/>
          <w:sz w:val="20"/>
          <w:szCs w:val="20"/>
          <w:highlight w:val="none"/>
          <w14:textFill>
            <w14:solidFill>
              <w14:schemeClr w14:val="tx1"/>
            </w14:solidFill>
          </w14:textFill>
        </w:rPr>
        <w:t>理财</w:t>
      </w:r>
      <w:r>
        <w:rPr>
          <w:rFonts w:hint="eastAsia" w:ascii="楷体_GB2312" w:eastAsia="楷体_GB2312"/>
          <w:color w:val="000000" w:themeColor="text1"/>
          <w:sz w:val="20"/>
          <w:szCs w:val="20"/>
          <w:highlight w:val="none"/>
          <w14:textFill>
            <w14:solidFill>
              <w14:schemeClr w14:val="tx1"/>
            </w14:solidFill>
          </w14:textFill>
        </w:rPr>
        <w:t>营业</w:t>
      </w:r>
      <w:r>
        <w:rPr>
          <w:rFonts w:ascii="楷体_GB2312" w:eastAsia="楷体_GB2312"/>
          <w:color w:val="000000" w:themeColor="text1"/>
          <w:sz w:val="20"/>
          <w:szCs w:val="20"/>
          <w:highlight w:val="none"/>
          <w14:textFill>
            <w14:solidFill>
              <w14:schemeClr w14:val="tx1"/>
            </w14:solidFill>
          </w14:textFill>
        </w:rPr>
        <w:t>场所购买理财产品的，</w:t>
      </w:r>
      <w:r>
        <w:rPr>
          <w:rFonts w:hint="eastAsia" w:ascii="楷体_GB2312" w:eastAsia="楷体_GB2312"/>
          <w:color w:val="000000" w:themeColor="text1"/>
          <w:sz w:val="20"/>
          <w:szCs w:val="20"/>
          <w:highlight w:val="none"/>
          <w14:textFill>
            <w14:solidFill>
              <w14:schemeClr w14:val="tx1"/>
            </w14:solidFill>
          </w14:textFill>
        </w:rPr>
        <w:t>本产品说明书</w:t>
      </w:r>
      <w:r>
        <w:rPr>
          <w:rFonts w:ascii="楷体_GB2312" w:eastAsia="楷体_GB2312"/>
          <w:color w:val="000000" w:themeColor="text1"/>
          <w:sz w:val="20"/>
          <w:szCs w:val="20"/>
          <w:highlight w:val="none"/>
          <w14:textFill>
            <w14:solidFill>
              <w14:schemeClr w14:val="tx1"/>
            </w14:solidFill>
          </w14:textFill>
        </w:rPr>
        <w:t>自</w:t>
      </w:r>
      <w:r>
        <w:rPr>
          <w:rFonts w:hint="eastAsia" w:ascii="楷体_GB2312" w:eastAsia="楷体_GB2312"/>
          <w:color w:val="000000" w:themeColor="text1"/>
          <w:sz w:val="20"/>
          <w:szCs w:val="20"/>
          <w:highlight w:val="none"/>
          <w14:textFill>
            <w14:solidFill>
              <w14:schemeClr w14:val="tx1"/>
            </w14:solidFill>
          </w14:textFill>
        </w:rPr>
        <w:t>投资者</w:t>
      </w:r>
      <w:r>
        <w:rPr>
          <w:rFonts w:ascii="楷体_GB2312" w:eastAsia="楷体_GB2312"/>
          <w:color w:val="000000" w:themeColor="text1"/>
          <w:sz w:val="20"/>
          <w:szCs w:val="20"/>
          <w:highlight w:val="none"/>
          <w14:textFill>
            <w14:solidFill>
              <w14:schemeClr w14:val="tx1"/>
            </w14:solidFill>
          </w14:textFill>
        </w:rPr>
        <w:t>签字/盖章后生效。</w:t>
      </w:r>
      <w:r>
        <w:rPr>
          <w:rFonts w:hint="eastAsia" w:ascii="楷体_GB2312" w:eastAsia="楷体_GB2312"/>
          <w:color w:val="000000" w:themeColor="text1"/>
          <w:sz w:val="20"/>
          <w:szCs w:val="20"/>
          <w:highlight w:val="none"/>
          <w14:textFill>
            <w14:solidFill>
              <w14:schemeClr w14:val="tx1"/>
            </w14:solidFill>
          </w14:textFill>
        </w:rPr>
        <w:t>投资者</w:t>
      </w:r>
      <w:r>
        <w:rPr>
          <w:rFonts w:ascii="楷体_GB2312" w:eastAsia="楷体_GB2312"/>
          <w:color w:val="000000" w:themeColor="text1"/>
          <w:sz w:val="20"/>
          <w:szCs w:val="20"/>
          <w:highlight w:val="none"/>
          <w14:textFill>
            <w14:solidFill>
              <w14:schemeClr w14:val="tx1"/>
            </w14:solidFill>
          </w14:textFill>
        </w:rPr>
        <w:t>通过</w:t>
      </w:r>
      <w:r>
        <w:rPr>
          <w:rFonts w:hint="eastAsia" w:ascii="楷体_GB2312" w:eastAsia="楷体_GB2312"/>
          <w:color w:val="000000" w:themeColor="text1"/>
          <w:sz w:val="20"/>
          <w:szCs w:val="20"/>
          <w:highlight w:val="none"/>
          <w14:textFill>
            <w14:solidFill>
              <w14:schemeClr w14:val="tx1"/>
            </w14:solidFill>
          </w14:textFill>
        </w:rPr>
        <w:t>信银理财</w:t>
      </w:r>
      <w:r>
        <w:rPr>
          <w:rFonts w:ascii="楷体_GB2312" w:eastAsia="楷体_GB2312"/>
          <w:color w:val="000000" w:themeColor="text1"/>
          <w:sz w:val="20"/>
          <w:szCs w:val="20"/>
          <w:highlight w:val="none"/>
          <w14:textFill>
            <w14:solidFill>
              <w14:schemeClr w14:val="tx1"/>
            </w14:solidFill>
          </w14:textFill>
        </w:rPr>
        <w:t>电子渠道购买理财产品的，</w:t>
      </w:r>
      <w:r>
        <w:rPr>
          <w:rFonts w:hint="eastAsia" w:ascii="楷体_GB2312" w:eastAsia="楷体_GB2312"/>
          <w:color w:val="000000" w:themeColor="text1"/>
          <w:sz w:val="20"/>
          <w:szCs w:val="20"/>
          <w:highlight w:val="none"/>
          <w14:textFill>
            <w14:solidFill>
              <w14:schemeClr w14:val="tx1"/>
            </w14:solidFill>
          </w14:textFill>
        </w:rPr>
        <w:t>本产品说明书</w:t>
      </w:r>
      <w:r>
        <w:rPr>
          <w:rFonts w:ascii="楷体_GB2312" w:eastAsia="楷体_GB2312"/>
          <w:color w:val="000000" w:themeColor="text1"/>
          <w:sz w:val="20"/>
          <w:szCs w:val="20"/>
          <w:highlight w:val="none"/>
          <w14:textFill>
            <w14:solidFill>
              <w14:schemeClr w14:val="tx1"/>
            </w14:solidFill>
          </w14:textFill>
        </w:rPr>
        <w:t>自</w:t>
      </w:r>
      <w:r>
        <w:rPr>
          <w:rFonts w:hint="eastAsia" w:ascii="楷体_GB2312" w:eastAsia="楷体_GB2312"/>
          <w:color w:val="000000" w:themeColor="text1"/>
          <w:sz w:val="20"/>
          <w:szCs w:val="20"/>
          <w:highlight w:val="none"/>
          <w14:textFill>
            <w14:solidFill>
              <w14:schemeClr w14:val="tx1"/>
            </w14:solidFill>
          </w14:textFill>
        </w:rPr>
        <w:t>其</w:t>
      </w:r>
      <w:r>
        <w:rPr>
          <w:rFonts w:ascii="楷体_GB2312" w:eastAsia="楷体_GB2312"/>
          <w:color w:val="000000" w:themeColor="text1"/>
          <w:sz w:val="20"/>
          <w:szCs w:val="20"/>
          <w:highlight w:val="none"/>
          <w14:textFill>
            <w14:solidFill>
              <w14:schemeClr w14:val="tx1"/>
            </w14:solidFill>
          </w14:textFill>
        </w:rPr>
        <w:t>在线</w:t>
      </w:r>
      <w:r>
        <w:rPr>
          <w:rFonts w:hint="eastAsia" w:ascii="楷体_GB2312" w:eastAsia="楷体_GB2312"/>
          <w:color w:val="000000" w:themeColor="text1"/>
          <w:sz w:val="20"/>
          <w:szCs w:val="20"/>
          <w:highlight w:val="none"/>
          <w14:textFill>
            <w14:solidFill>
              <w14:schemeClr w14:val="tx1"/>
            </w14:solidFill>
          </w14:textFill>
        </w:rPr>
        <w:t>勾选</w:t>
      </w:r>
      <w:r>
        <w:rPr>
          <w:rFonts w:ascii="楷体_GB2312" w:eastAsia="楷体_GB2312"/>
          <w:color w:val="000000" w:themeColor="text1"/>
          <w:sz w:val="20"/>
          <w:szCs w:val="20"/>
          <w:highlight w:val="none"/>
          <w14:textFill>
            <w14:solidFill>
              <w14:schemeClr w14:val="tx1"/>
            </w14:solidFill>
          </w14:textFill>
        </w:rPr>
        <w:t>确认后生效。</w:t>
      </w:r>
    </w:p>
    <w:p w14:paraId="5377648D">
      <w:pPr>
        <w:pStyle w:val="20"/>
        <w:numPr>
          <w:ilvl w:val="255"/>
          <w:numId w:val="0"/>
        </w:numPr>
        <w:spacing w:line="300" w:lineRule="exact"/>
        <w:ind w:firstLine="400"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color w:val="000000" w:themeColor="text1"/>
          <w:sz w:val="20"/>
          <w:szCs w:val="20"/>
          <w:highlight w:val="none"/>
          <w14:textFill>
            <w14:solidFill>
              <w14:schemeClr w14:val="tx1"/>
            </w14:solidFill>
          </w14:textFill>
        </w:rPr>
        <w:t>2</w:t>
      </w:r>
      <w:r>
        <w:rPr>
          <w:rFonts w:ascii="楷体_GB2312" w:eastAsia="楷体_GB2312"/>
          <w:color w:val="000000" w:themeColor="text1"/>
          <w:sz w:val="20"/>
          <w:szCs w:val="20"/>
          <w:highlight w:val="none"/>
          <w14:textFill>
            <w14:solidFill>
              <w14:schemeClr w14:val="tx1"/>
            </w14:solidFill>
          </w14:textFill>
        </w:rPr>
        <w:t>．</w:t>
      </w:r>
      <w:r>
        <w:rPr>
          <w:rFonts w:hint="eastAsia" w:ascii="楷体_GB2312" w:eastAsia="楷体_GB2312"/>
          <w:color w:val="000000" w:themeColor="text1"/>
          <w:sz w:val="20"/>
          <w:szCs w:val="20"/>
          <w:highlight w:val="none"/>
          <w14:textFill>
            <w14:solidFill>
              <w14:schemeClr w14:val="tx1"/>
            </w14:solidFill>
          </w14:textFill>
        </w:rPr>
        <w:t>如</w:t>
      </w:r>
      <w:r>
        <w:rPr>
          <w:rFonts w:ascii="楷体_GB2312" w:eastAsia="楷体_GB2312"/>
          <w:color w:val="000000" w:themeColor="text1"/>
          <w:sz w:val="20"/>
          <w:szCs w:val="20"/>
          <w:highlight w:val="none"/>
          <w14:textFill>
            <w14:solidFill>
              <w14:schemeClr w14:val="tx1"/>
            </w14:solidFill>
          </w14:textFill>
        </w:rPr>
        <w:t>投资者通过</w:t>
      </w:r>
      <w:r>
        <w:rPr>
          <w:rFonts w:hint="eastAsia" w:ascii="楷体_GB2312" w:eastAsia="楷体_GB2312"/>
          <w:color w:val="000000" w:themeColor="text1"/>
          <w:sz w:val="20"/>
          <w:szCs w:val="20"/>
          <w:highlight w:val="none"/>
          <w14:textFill>
            <w14:solidFill>
              <w14:schemeClr w14:val="tx1"/>
            </w14:solidFill>
          </w14:textFill>
        </w:rPr>
        <w:t>信银</w:t>
      </w:r>
      <w:r>
        <w:rPr>
          <w:rFonts w:ascii="楷体_GB2312" w:eastAsia="楷体_GB2312"/>
          <w:color w:val="000000" w:themeColor="text1"/>
          <w:sz w:val="20"/>
          <w:szCs w:val="20"/>
          <w:highlight w:val="none"/>
          <w14:textFill>
            <w14:solidFill>
              <w14:schemeClr w14:val="tx1"/>
            </w14:solidFill>
          </w14:textFill>
        </w:rPr>
        <w:t>理财合作销售机构</w:t>
      </w:r>
      <w:r>
        <w:rPr>
          <w:rFonts w:hint="eastAsia" w:ascii="楷体_GB2312" w:eastAsia="楷体_GB2312"/>
          <w:color w:val="000000" w:themeColor="text1"/>
          <w:sz w:val="20"/>
          <w:szCs w:val="20"/>
          <w:highlight w:val="none"/>
          <w14:textFill>
            <w14:solidFill>
              <w14:schemeClr w14:val="tx1"/>
            </w14:solidFill>
          </w14:textFill>
        </w:rPr>
        <w:t>（代销机构）</w:t>
      </w:r>
      <w:r>
        <w:rPr>
          <w:rFonts w:ascii="楷体_GB2312" w:eastAsia="楷体_GB2312"/>
          <w:color w:val="000000" w:themeColor="text1"/>
          <w:sz w:val="20"/>
          <w:szCs w:val="20"/>
          <w:highlight w:val="none"/>
          <w14:textFill>
            <w14:solidFill>
              <w14:schemeClr w14:val="tx1"/>
            </w14:solidFill>
          </w14:textFill>
        </w:rPr>
        <w:t>购买理财产品的，</w:t>
      </w:r>
      <w:r>
        <w:rPr>
          <w:rFonts w:hint="eastAsia" w:ascii="楷体_GB2312" w:eastAsia="楷体_GB2312"/>
          <w:color w:val="000000" w:themeColor="text1"/>
          <w:sz w:val="20"/>
          <w:szCs w:val="20"/>
          <w:highlight w:val="none"/>
          <w14:textFill>
            <w14:solidFill>
              <w14:schemeClr w14:val="tx1"/>
            </w14:solidFill>
          </w14:textFill>
        </w:rPr>
        <w:t>说明书</w:t>
      </w:r>
      <w:r>
        <w:rPr>
          <w:rFonts w:ascii="楷体_GB2312" w:eastAsia="楷体_GB2312"/>
          <w:color w:val="000000" w:themeColor="text1"/>
          <w:sz w:val="20"/>
          <w:szCs w:val="20"/>
          <w:highlight w:val="none"/>
          <w14:textFill>
            <w14:solidFill>
              <w14:schemeClr w14:val="tx1"/>
            </w14:solidFill>
          </w14:textFill>
        </w:rPr>
        <w:t>签署及生效方式以</w:t>
      </w:r>
      <w:r>
        <w:rPr>
          <w:rFonts w:hint="eastAsia" w:ascii="楷体_GB2312" w:eastAsia="楷体_GB2312"/>
          <w:color w:val="000000" w:themeColor="text1"/>
          <w:sz w:val="20"/>
          <w:szCs w:val="20"/>
          <w:highlight w:val="none"/>
          <w14:textFill>
            <w14:solidFill>
              <w14:schemeClr w14:val="tx1"/>
            </w14:solidFill>
          </w14:textFill>
        </w:rPr>
        <w:t>投资者</w:t>
      </w:r>
      <w:r>
        <w:rPr>
          <w:rFonts w:ascii="楷体_GB2312" w:eastAsia="楷体_GB2312"/>
          <w:color w:val="000000" w:themeColor="text1"/>
          <w:sz w:val="20"/>
          <w:szCs w:val="20"/>
          <w:highlight w:val="none"/>
          <w14:textFill>
            <w14:solidFill>
              <w14:schemeClr w14:val="tx1"/>
            </w14:solidFill>
          </w14:textFill>
        </w:rPr>
        <w:t>与</w:t>
      </w:r>
      <w:r>
        <w:rPr>
          <w:rFonts w:hint="eastAsia" w:ascii="楷体_GB2312" w:eastAsia="楷体_GB2312"/>
          <w:color w:val="000000" w:themeColor="text1"/>
          <w:sz w:val="20"/>
          <w:szCs w:val="20"/>
          <w:highlight w:val="none"/>
          <w14:textFill>
            <w14:solidFill>
              <w14:schemeClr w14:val="tx1"/>
            </w14:solidFill>
          </w14:textFill>
        </w:rPr>
        <w:t>代销机构约定</w:t>
      </w:r>
      <w:r>
        <w:rPr>
          <w:rFonts w:ascii="楷体_GB2312" w:eastAsia="楷体_GB2312"/>
          <w:color w:val="000000" w:themeColor="text1"/>
          <w:sz w:val="20"/>
          <w:szCs w:val="20"/>
          <w:highlight w:val="none"/>
          <w14:textFill>
            <w14:solidFill>
              <w14:schemeClr w14:val="tx1"/>
            </w14:solidFill>
          </w14:textFill>
        </w:rPr>
        <w:t>为准。</w:t>
      </w:r>
    </w:p>
    <w:p w14:paraId="67BD9647">
      <w:pPr>
        <w:pStyle w:val="20"/>
        <w:spacing w:line="300" w:lineRule="exact"/>
        <w:ind w:left="786" w:right="36" w:rightChars="15" w:firstLine="0" w:firstLineChars="0"/>
        <w:rPr>
          <w:rFonts w:ascii="楷体_GB2312" w:eastAsia="楷体_GB2312"/>
          <w:color w:val="000000" w:themeColor="text1"/>
          <w:sz w:val="20"/>
          <w:szCs w:val="20"/>
          <w:highlight w:val="none"/>
          <w14:textFill>
            <w14:solidFill>
              <w14:schemeClr w14:val="tx1"/>
            </w14:solidFill>
          </w14:textFill>
        </w:rPr>
      </w:pPr>
    </w:p>
    <w:p w14:paraId="0C94B904">
      <w:pPr>
        <w:spacing w:line="300" w:lineRule="exact"/>
        <w:ind w:left="400" w:right="29" w:rightChars="12" w:hanging="400" w:hangingChars="200"/>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十九、争议解决</w:t>
      </w:r>
    </w:p>
    <w:p w14:paraId="53FC01F4">
      <w:pPr>
        <w:spacing w:line="300" w:lineRule="exact"/>
        <w:ind w:firstLine="402" w:firstLineChars="200"/>
        <w:jc w:val="both"/>
        <w:rPr>
          <w:rFonts w:ascii="Times New Roman" w:hAnsi="Times New Roman" w:eastAsia="楷体_GB2312" w:cs="Times New Roman"/>
          <w:b/>
          <w:bCs/>
          <w:sz w:val="20"/>
          <w:szCs w:val="20"/>
          <w:highlight w:val="none"/>
        </w:rPr>
      </w:pPr>
      <w:r>
        <w:rPr>
          <w:rFonts w:ascii="楷体_GB2312" w:eastAsia="楷体_GB2312" w:cs="楷体_GB2312"/>
          <w:b/>
          <w:color w:val="000000" w:themeColor="text1"/>
          <w:sz w:val="20"/>
          <w:szCs w:val="20"/>
          <w:highlight w:val="none"/>
          <w14:textFill>
            <w14:solidFill>
              <w14:schemeClr w14:val="tx1"/>
            </w14:solidFill>
          </w14:textFill>
        </w:rPr>
        <w:t>1．</w:t>
      </w:r>
      <w:r>
        <w:rPr>
          <w:rFonts w:hint="eastAsia" w:ascii="Times New Roman" w:hAnsi="Times New Roman" w:eastAsia="楷体_GB2312" w:cs="Times New Roman"/>
          <w:b/>
          <w:sz w:val="20"/>
          <w:szCs w:val="20"/>
          <w:highlight w:val="none"/>
        </w:rPr>
        <w:t>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hAnsi="Times New Roman" w:eastAsia="楷体_GB2312" w:cs="Times New Roman"/>
          <w:b/>
          <w:bCs/>
          <w:sz w:val="20"/>
          <w:szCs w:val="20"/>
          <w:highlight w:val="none"/>
        </w:rPr>
      </w:pPr>
      <w:r>
        <w:rPr>
          <w:rFonts w:hint="eastAsia" w:ascii="楷体_GB2312" w:eastAsia="楷体_GB2312"/>
          <w:b/>
          <w:color w:val="000000" w:themeColor="text1"/>
          <w:sz w:val="20"/>
          <w:szCs w:val="20"/>
          <w:highlight w:val="none"/>
          <w:lang w:val="en-US" w:eastAsia="zh-CN"/>
          <w14:textFill>
            <w14:solidFill>
              <w14:schemeClr w14:val="tx1"/>
            </w14:solidFill>
          </w14:textFill>
        </w:rPr>
        <w:t>2</w:t>
      </w:r>
      <w:r>
        <w:rPr>
          <w:rFonts w:ascii="楷体_GB2312" w:eastAsia="楷体_GB2312"/>
          <w:b/>
          <w:color w:val="000000" w:themeColor="text1"/>
          <w:sz w:val="20"/>
          <w:szCs w:val="20"/>
          <w:highlight w:val="none"/>
          <w14:textFill>
            <w14:solidFill>
              <w14:schemeClr w14:val="tx1"/>
            </w14:solidFill>
          </w14:textFill>
        </w:rPr>
        <w:t>．</w:t>
      </w:r>
      <w:r>
        <w:rPr>
          <w:rFonts w:hint="eastAsia" w:ascii="Times New Roman" w:hAnsi="Times New Roman" w:eastAsia="楷体_GB2312" w:cs="Times New Roman"/>
          <w:b/>
          <w:bCs/>
          <w:sz w:val="20"/>
          <w:szCs w:val="20"/>
          <w:highlight w:val="none"/>
        </w:rPr>
        <w:t>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hint="eastAsia" w:ascii="Times New Roman" w:hAnsi="Times New Roman" w:eastAsia="楷体_GB2312" w:cs="Times New Roman"/>
          <w:b/>
          <w:bCs/>
          <w:sz w:val="20"/>
          <w:szCs w:val="20"/>
          <w:highlight w:val="none"/>
          <w:lang w:eastAsia="zh-CN"/>
        </w:rPr>
        <w:t>、</w:t>
      </w:r>
      <w:r>
        <w:rPr>
          <w:rFonts w:hint="eastAsia" w:ascii="Times New Roman" w:hAnsi="Times New Roman" w:eastAsia="楷体_GB2312" w:cs="Times New Roman"/>
          <w:b/>
          <w:bCs/>
          <w:sz w:val="20"/>
          <w:szCs w:val="20"/>
          <w:highlight w:val="none"/>
        </w:rPr>
        <w:t>律师费</w:t>
      </w:r>
      <w:r>
        <w:rPr>
          <w:rFonts w:hint="eastAsia" w:ascii="Times New Roman" w:hAnsi="Times New Roman" w:eastAsia="楷体_GB2312" w:cs="Times New Roman"/>
          <w:b/>
          <w:bCs/>
          <w:sz w:val="20"/>
          <w:szCs w:val="20"/>
          <w:highlight w:val="none"/>
          <w:lang w:eastAsia="zh-CN"/>
        </w:rPr>
        <w:t>、</w:t>
      </w:r>
      <w:r>
        <w:rPr>
          <w:rFonts w:hint="eastAsia" w:ascii="Times New Roman" w:hAnsi="Times New Roman" w:eastAsia="楷体_GB2312" w:cs="Times New Roman"/>
          <w:b/>
          <w:bCs/>
          <w:sz w:val="20"/>
          <w:szCs w:val="20"/>
          <w:highlight w:val="none"/>
          <w:lang w:val="en-US" w:eastAsia="zh-CN"/>
        </w:rPr>
        <w:t>保全担保费等</w:t>
      </w:r>
      <w:r>
        <w:rPr>
          <w:rFonts w:hint="eastAsia" w:ascii="Times New Roman" w:hAnsi="Times New Roman" w:eastAsia="楷体_GB2312" w:cs="Times New Roman"/>
          <w:b/>
          <w:bCs/>
          <w:sz w:val="20"/>
          <w:szCs w:val="20"/>
          <w:highlight w:val="none"/>
        </w:rPr>
        <w:t>）由败诉方承担。</w:t>
      </w:r>
    </w:p>
    <w:p w14:paraId="7FFDA4E7">
      <w:pPr>
        <w:spacing w:line="300" w:lineRule="exact"/>
        <w:ind w:firstLine="402" w:firstLineChars="200"/>
        <w:jc w:val="both"/>
        <w:rPr>
          <w:rFonts w:ascii="楷体_GB2312" w:eastAsia="楷体_GB2312"/>
          <w:color w:val="000000" w:themeColor="text1"/>
          <w:sz w:val="20"/>
          <w:szCs w:val="20"/>
          <w:highlight w:val="none"/>
          <w14:textFill>
            <w14:solidFill>
              <w14:schemeClr w14:val="tx1"/>
            </w14:solidFill>
          </w14:textFill>
        </w:rPr>
      </w:pPr>
      <w:r>
        <w:rPr>
          <w:rFonts w:hint="eastAsia" w:ascii="楷体_GB2312" w:eastAsia="楷体_GB2312"/>
          <w:b/>
          <w:color w:val="000000" w:themeColor="text1"/>
          <w:sz w:val="20"/>
          <w:szCs w:val="20"/>
          <w:highlight w:val="none"/>
          <w:lang w:val="en-US" w:eastAsia="zh-CN"/>
          <w14:textFill>
            <w14:solidFill>
              <w14:schemeClr w14:val="tx1"/>
            </w14:solidFill>
          </w14:textFill>
        </w:rPr>
        <w:t>3</w:t>
      </w:r>
      <w:r>
        <w:rPr>
          <w:rFonts w:ascii="楷体_GB2312" w:eastAsia="楷体_GB2312"/>
          <w:b/>
          <w:color w:val="000000" w:themeColor="text1"/>
          <w:sz w:val="20"/>
          <w:szCs w:val="20"/>
          <w:highlight w:val="none"/>
          <w14:textFill>
            <w14:solidFill>
              <w14:schemeClr w14:val="tx1"/>
            </w14:solidFill>
          </w14:textFill>
        </w:rPr>
        <w:t>．</w:t>
      </w:r>
      <w:r>
        <w:rPr>
          <w:rFonts w:hint="eastAsia" w:ascii="Times New Roman" w:hAnsi="Times New Roman" w:eastAsia="楷体_GB2312" w:cs="Times New Roman"/>
          <w:b/>
          <w:bCs/>
          <w:sz w:val="20"/>
          <w:szCs w:val="20"/>
          <w:highlight w:val="none"/>
        </w:rPr>
        <w:t>在协商或仲裁期间，对于理财产品合同不涉及争议部分的条款，双方仍须履行。</w:t>
      </w:r>
    </w:p>
    <w:p w14:paraId="7F9BE105">
      <w:pPr>
        <w:spacing w:line="300" w:lineRule="exact"/>
        <w:ind w:left="-2" w:right="36" w:rightChars="15" w:firstLine="428" w:firstLineChars="214"/>
        <w:rPr>
          <w:rFonts w:ascii="楷体_GB2312" w:eastAsia="楷体_GB2312"/>
          <w:color w:val="000000" w:themeColor="text1"/>
          <w:sz w:val="20"/>
          <w:szCs w:val="20"/>
          <w:highlight w:val="none"/>
          <w14:textFill>
            <w14:solidFill>
              <w14:schemeClr w14:val="tx1"/>
            </w14:solidFill>
          </w14:textFill>
        </w:rPr>
      </w:pPr>
    </w:p>
    <w:p w14:paraId="7438E816">
      <w:pPr>
        <w:spacing w:line="300" w:lineRule="exact"/>
        <w:ind w:left="400" w:right="29" w:rightChars="12" w:hanging="400" w:hangingChars="200"/>
        <w:rPr>
          <w:rFonts w:ascii="黑体" w:hAnsi="Times New Roman" w:eastAsia="黑体" w:cs="黑体"/>
          <w:color w:val="000000" w:themeColor="text1"/>
          <w:sz w:val="20"/>
          <w:szCs w:val="20"/>
          <w:highlight w:val="none"/>
          <w14:textFill>
            <w14:solidFill>
              <w14:schemeClr w14:val="tx1"/>
            </w14:solidFill>
          </w14:textFill>
        </w:rPr>
      </w:pPr>
      <w:r>
        <w:rPr>
          <w:rFonts w:hint="eastAsia" w:ascii="黑体" w:hAnsi="Times New Roman" w:eastAsia="黑体" w:cs="黑体"/>
          <w:color w:val="000000" w:themeColor="text1"/>
          <w:sz w:val="20"/>
          <w:szCs w:val="20"/>
          <w:highlight w:val="none"/>
          <w14:textFill>
            <w14:solidFill>
              <w14:schemeClr w14:val="tx1"/>
            </w14:solidFill>
          </w14:textFill>
        </w:rPr>
        <w:t>（以下无正文）</w:t>
      </w:r>
    </w:p>
    <w:p w14:paraId="02C242E4">
      <w:pPr>
        <w:rPr>
          <w:rFonts w:ascii="黑体" w:hAnsi="Times New Roman" w:eastAsia="黑体" w:cs="黑体"/>
          <w:color w:val="000000" w:themeColor="text1"/>
          <w:sz w:val="20"/>
          <w:szCs w:val="20"/>
          <w:highlight w:val="none"/>
          <w14:textFill>
            <w14:solidFill>
              <w14:schemeClr w14:val="tx1"/>
            </w14:solidFill>
          </w14:textFill>
        </w:rPr>
      </w:pPr>
      <w:r>
        <w:rPr>
          <w:rFonts w:ascii="黑体" w:hAnsi="Times New Roman" w:eastAsia="黑体" w:cs="黑体"/>
          <w:color w:val="000000" w:themeColor="text1"/>
          <w:sz w:val="20"/>
          <w:szCs w:val="20"/>
          <w:highlight w:val="none"/>
          <w14:textFill>
            <w14:solidFill>
              <w14:schemeClr w14:val="tx1"/>
            </w14:solidFill>
          </w14:textFill>
        </w:rPr>
        <w:br w:type="page"/>
      </w:r>
    </w:p>
    <w:p w14:paraId="6A77407E">
      <w:pPr>
        <w:spacing w:before="100" w:beforeAutospacing="1" w:after="100" w:afterAutospacing="1"/>
        <w:rPr>
          <w:rFonts w:ascii="楷体_GB2312" w:eastAsia="楷体_GB2312"/>
          <w:color w:val="000000" w:themeColor="text1"/>
          <w:sz w:val="20"/>
          <w:szCs w:val="20"/>
          <w:highlight w:val="none"/>
          <w14:textFill>
            <w14:solidFill>
              <w14:schemeClr w14:val="tx1"/>
            </w14:solidFill>
          </w14:textFill>
        </w:rPr>
      </w:pPr>
      <w:r>
        <w:rPr>
          <w:rFonts w:ascii="楷体_GB2312" w:eastAsia="楷体_GB2312"/>
          <w:color w:val="000000" w:themeColor="text1"/>
          <w:sz w:val="20"/>
          <w:szCs w:val="20"/>
          <w:highlight w:val="none"/>
          <w:u w:val="single"/>
          <w14:textFill>
            <w14:solidFill>
              <w14:schemeClr w14:val="tx1"/>
            </w14:solidFill>
          </w14:textFill>
        </w:rPr>
        <w:t>                                       </w:t>
      </w:r>
    </w:p>
    <w:p w14:paraId="59071E3C">
      <w:pPr>
        <w:rPr>
          <w:rFonts w:ascii="黑体" w:eastAsia="黑体"/>
          <w:b/>
          <w:bCs/>
          <w:color w:val="000000"/>
          <w:highlight w:val="none"/>
        </w:rPr>
      </w:pPr>
      <w:r>
        <w:rPr>
          <w:rFonts w:hint="eastAsia" w:ascii="黑体" w:eastAsia="黑体"/>
          <w:b/>
          <w:bCs/>
          <w:color w:val="000000"/>
          <w:highlight w:val="none"/>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highlight w:val="none"/>
        </w:rPr>
        <w:t>/盖章或在线</w:t>
      </w:r>
      <w:r>
        <w:rPr>
          <w:rFonts w:hint="eastAsia" w:ascii="黑体" w:eastAsia="黑体"/>
          <w:b/>
          <w:bCs/>
          <w:color w:val="000000"/>
          <w:highlight w:val="none"/>
        </w:rPr>
        <w:t>点击</w:t>
      </w:r>
      <w:r>
        <w:rPr>
          <w:rFonts w:ascii="黑体" w:eastAsia="黑体"/>
          <w:b/>
          <w:bCs/>
          <w:color w:val="000000"/>
          <w:highlight w:val="none"/>
        </w:rPr>
        <w:t>确认</w:t>
      </w:r>
      <w:r>
        <w:rPr>
          <w:rFonts w:hint="eastAsia" w:ascii="黑体" w:eastAsia="黑体"/>
          <w:b/>
          <w:bCs/>
          <w:color w:val="000000"/>
          <w:highlight w:val="none"/>
        </w:rPr>
        <w:t>即表示已知晓并同意本产品说明书的全部</w:t>
      </w:r>
      <w:r>
        <w:rPr>
          <w:rFonts w:ascii="黑体" w:eastAsia="黑体"/>
          <w:b/>
          <w:bCs/>
          <w:color w:val="000000"/>
          <w:highlight w:val="none"/>
        </w:rPr>
        <w:t>内容</w:t>
      </w:r>
      <w:r>
        <w:rPr>
          <w:rFonts w:hint="eastAsia" w:ascii="黑体" w:eastAsia="黑体"/>
          <w:b/>
          <w:bCs/>
          <w:color w:val="000000"/>
          <w:highlight w:val="none"/>
        </w:rPr>
        <w:t>，因此请您务必仔细阅读后再签署本产品说明书。】</w:t>
      </w:r>
    </w:p>
    <w:p w14:paraId="1CBB1673">
      <w:pPr>
        <w:spacing w:line="300" w:lineRule="exact"/>
        <w:ind w:left="-2" w:leftChars="-1" w:right="36" w:rightChars="15"/>
        <w:rPr>
          <w:rFonts w:ascii="黑体" w:hAnsi="Times New Roman" w:eastAsia="黑体"/>
          <w:color w:val="000000" w:themeColor="text1"/>
          <w:highlight w:val="none"/>
          <w14:textFill>
            <w14:solidFill>
              <w14:schemeClr w14:val="tx1"/>
            </w14:solidFill>
          </w14:textFill>
        </w:rPr>
      </w:pPr>
    </w:p>
    <w:p w14:paraId="36531B80">
      <w:pPr>
        <w:spacing w:line="300" w:lineRule="exact"/>
        <w:ind w:left="-2" w:leftChars="-1" w:right="36" w:rightChars="15"/>
        <w:rPr>
          <w:color w:val="000000" w:themeColor="text1"/>
          <w:highlight w:val="none"/>
          <w14:textFill>
            <w14:solidFill>
              <w14:schemeClr w14:val="tx1"/>
            </w14:solidFill>
          </w14:textFill>
        </w:rPr>
      </w:pPr>
      <w:r>
        <w:rPr>
          <w:rFonts w:hint="eastAsia" w:ascii="黑体" w:hAnsi="Times New Roman" w:eastAsia="黑体"/>
          <w:color w:val="000000" w:themeColor="text1"/>
          <w:highlight w:val="none"/>
          <w14:textFill>
            <w14:solidFill>
              <w14:schemeClr w14:val="tx1"/>
            </w14:solidFill>
          </w14:textFill>
        </w:rPr>
        <w:t>个人客户（签字）：</w:t>
      </w:r>
      <w:r>
        <w:rPr>
          <w:rFonts w:ascii="黑体" w:hAnsi="Times New Roman" w:eastAsia="黑体"/>
          <w:color w:val="000000" w:themeColor="text1"/>
          <w:highlight w:val="none"/>
          <w14:textFill>
            <w14:solidFill>
              <w14:schemeClr w14:val="tx1"/>
            </w14:solidFill>
          </w14:textFill>
        </w:rPr>
        <w:t xml:space="preserve">            </w:t>
      </w:r>
    </w:p>
    <w:p w14:paraId="12D9C461">
      <w:pPr>
        <w:ind w:right="440"/>
        <w:rPr>
          <w:rFonts w:ascii="Arial" w:hAnsi="Arial" w:cs="Arial"/>
          <w:color w:val="000000" w:themeColor="text1"/>
          <w:sz w:val="15"/>
          <w:szCs w:val="15"/>
          <w:highlight w:val="none"/>
          <w14:textFill>
            <w14:solidFill>
              <w14:schemeClr w14:val="tx1"/>
            </w14:solidFill>
          </w14:textFill>
        </w:rPr>
      </w:pPr>
      <w:r>
        <w:rPr>
          <w:rFonts w:ascii="黑体" w:hAnsi="Times New Roman" w:eastAsia="黑体" w:cs="Arial"/>
          <w:color w:val="000000" w:themeColor="text1"/>
          <w:highlight w:val="none"/>
          <w14:textFill>
            <w14:solidFill>
              <w14:schemeClr w14:val="tx1"/>
            </w14:solidFill>
          </w14:textFill>
        </w:rPr>
        <w:t xml:space="preserve">                                  </w:t>
      </w:r>
    </w:p>
    <w:p w14:paraId="590A09A4">
      <w:pPr>
        <w:ind w:left="4440" w:right="440" w:hanging="4440" w:hangingChars="1850"/>
        <w:rPr>
          <w:rFonts w:ascii="Arial" w:hAnsi="Arial" w:cs="Arial"/>
          <w:color w:val="000000" w:themeColor="text1"/>
          <w:sz w:val="15"/>
          <w:szCs w:val="15"/>
          <w:highlight w:val="none"/>
          <w14:textFill>
            <w14:solidFill>
              <w14:schemeClr w14:val="tx1"/>
            </w14:solidFill>
          </w14:textFill>
        </w:rPr>
      </w:pPr>
      <w:r>
        <w:rPr>
          <w:rFonts w:hint="eastAsia" w:ascii="黑体" w:hAnsi="Times New Roman" w:eastAsia="黑体" w:cs="Arial"/>
          <w:color w:val="000000" w:themeColor="text1"/>
          <w:highlight w:val="none"/>
          <w14:textFill>
            <w14:solidFill>
              <w14:schemeClr w14:val="tx1"/>
            </w14:solidFill>
          </w14:textFill>
        </w:rPr>
        <w:t xml:space="preserve">日期：年 月 日                      </w:t>
      </w:r>
      <w:r>
        <w:rPr>
          <w:rFonts w:ascii="黑体" w:hAnsi="Times New Roman" w:eastAsia="黑体" w:cs="Arial"/>
          <w:color w:val="000000" w:themeColor="text1"/>
          <w:highlight w:val="none"/>
          <w14:textFill>
            <w14:solidFill>
              <w14:schemeClr w14:val="tx1"/>
            </w14:solidFill>
          </w14:textFill>
        </w:rPr>
        <w:t xml:space="preserve"> </w:t>
      </w:r>
    </w:p>
    <w:p w14:paraId="77FB3896">
      <w:pPr>
        <w:ind w:right="-902" w:rightChars="-376"/>
        <w:rPr>
          <w:color w:val="000000" w:themeColor="text1"/>
          <w:highlight w:val="none"/>
          <w14:textFill>
            <w14:solidFill>
              <w14:schemeClr w14:val="tx1"/>
            </w14:solidFill>
          </w14:textFill>
        </w:rPr>
      </w:pPr>
      <w:r>
        <w:rPr>
          <w:rFonts w:ascii="黑体" w:hAnsi="Times New Roman" w:eastAsia="黑体"/>
          <w:color w:val="000000" w:themeColor="text1"/>
          <w:highlight w:val="none"/>
          <w14:textFill>
            <w14:solidFill>
              <w14:schemeClr w14:val="tx1"/>
            </w14:solidFill>
          </w14:textFill>
        </w:rPr>
        <w:t> </w:t>
      </w:r>
    </w:p>
    <w:p w14:paraId="7DF61205">
      <w:pPr>
        <w:ind w:right="-902" w:rightChars="-376"/>
        <w:rPr>
          <w:rFonts w:ascii="黑体" w:hAnsi="Times New Roman" w:eastAsia="黑体"/>
          <w:color w:val="000000" w:themeColor="text1"/>
          <w:highlight w:val="none"/>
          <w14:textFill>
            <w14:solidFill>
              <w14:schemeClr w14:val="tx1"/>
            </w14:solidFill>
          </w14:textFill>
        </w:rPr>
      </w:pPr>
    </w:p>
    <w:p w14:paraId="268B66FA">
      <w:pPr>
        <w:ind w:right="-902" w:rightChars="-376"/>
        <w:rPr>
          <w:color w:val="000000" w:themeColor="text1"/>
          <w:highlight w:val="none"/>
          <w14:textFill>
            <w14:solidFill>
              <w14:schemeClr w14:val="tx1"/>
            </w14:solidFill>
          </w14:textFill>
        </w:rPr>
      </w:pPr>
      <w:r>
        <w:rPr>
          <w:rFonts w:hint="eastAsia" w:ascii="黑体" w:hAnsi="Times New Roman" w:eastAsia="黑体"/>
          <w:color w:val="000000" w:themeColor="text1"/>
          <w:highlight w:val="none"/>
          <w14:textFill>
            <w14:solidFill>
              <w14:schemeClr w14:val="tx1"/>
            </w14:solidFill>
          </w14:textFill>
        </w:rPr>
        <w:t>机构客户（</w:t>
      </w:r>
      <w:r>
        <w:rPr>
          <w:rFonts w:hint="eastAsia" w:ascii="黑体" w:hAnsi="Times New Roman" w:eastAsia="黑体"/>
          <w:color w:val="000000" w:themeColor="text1"/>
          <w:highlight w:val="none"/>
          <w:lang w:val="en-US" w:eastAsia="zh-CN"/>
          <w14:textFill>
            <w14:solidFill>
              <w14:schemeClr w14:val="tx1"/>
            </w14:solidFill>
          </w14:textFill>
        </w:rPr>
        <w:t>盖章</w:t>
      </w:r>
      <w:r>
        <w:rPr>
          <w:rFonts w:hint="eastAsia" w:ascii="黑体" w:hAnsi="Times New Roman" w:eastAsia="黑体"/>
          <w:color w:val="000000" w:themeColor="text1"/>
          <w:highlight w:val="none"/>
          <w14:textFill>
            <w14:solidFill>
              <w14:schemeClr w14:val="tx1"/>
            </w14:solidFill>
          </w14:textFill>
        </w:rPr>
        <w:t>）：</w:t>
      </w:r>
      <w:r>
        <w:rPr>
          <w:rFonts w:ascii="黑体" w:hAnsi="Times New Roman" w:eastAsia="黑体"/>
          <w:color w:val="000000" w:themeColor="text1"/>
          <w:highlight w:val="none"/>
          <w14:textFill>
            <w14:solidFill>
              <w14:schemeClr w14:val="tx1"/>
            </w14:solidFill>
          </w14:textFill>
        </w:rPr>
        <w:t xml:space="preserve">                    </w:t>
      </w:r>
    </w:p>
    <w:p w14:paraId="7BC033DC">
      <w:pPr>
        <w:ind w:right="-902" w:rightChars="-376"/>
        <w:rPr>
          <w:color w:val="000000" w:themeColor="text1"/>
          <w:highlight w:val="none"/>
          <w14:textFill>
            <w14:solidFill>
              <w14:schemeClr w14:val="tx1"/>
            </w14:solidFill>
          </w14:textFill>
        </w:rPr>
      </w:pPr>
      <w:r>
        <w:rPr>
          <w:rFonts w:ascii="黑体" w:hAnsi="Times New Roman" w:eastAsia="黑体"/>
          <w:color w:val="000000" w:themeColor="text1"/>
          <w:highlight w:val="none"/>
          <w14:textFill>
            <w14:solidFill>
              <w14:schemeClr w14:val="tx1"/>
            </w14:solidFill>
          </w14:textFill>
        </w:rPr>
        <w:t> </w:t>
      </w:r>
    </w:p>
    <w:p w14:paraId="0771BA6F">
      <w:pPr>
        <w:ind w:right="-902" w:rightChars="-376"/>
        <w:rPr>
          <w:color w:val="000000" w:themeColor="text1"/>
          <w:highlight w:val="none"/>
          <w14:textFill>
            <w14:solidFill>
              <w14:schemeClr w14:val="tx1"/>
            </w14:solidFill>
          </w14:textFill>
        </w:rPr>
      </w:pPr>
      <w:r>
        <w:rPr>
          <w:rFonts w:hint="eastAsia" w:ascii="黑体" w:hAnsi="Times New Roman" w:eastAsia="黑体"/>
          <w:color w:val="000000" w:themeColor="text1"/>
          <w:highlight w:val="none"/>
          <w14:textFill>
            <w14:solidFill>
              <w14:schemeClr w14:val="tx1"/>
            </w14:solidFill>
          </w14:textFill>
        </w:rPr>
        <w:t>法定代表人或负责人（签字或签章）：</w:t>
      </w:r>
    </w:p>
    <w:p w14:paraId="58BC0A8A">
      <w:pPr>
        <w:ind w:right="-902" w:rightChars="-376"/>
        <w:rPr>
          <w:color w:val="000000" w:themeColor="text1"/>
          <w:highlight w:val="none"/>
          <w14:textFill>
            <w14:solidFill>
              <w14:schemeClr w14:val="tx1"/>
            </w14:solidFill>
          </w14:textFill>
        </w:rPr>
      </w:pPr>
      <w:r>
        <w:rPr>
          <w:rFonts w:ascii="黑体" w:hAnsi="Times New Roman" w:eastAsia="黑体"/>
          <w:color w:val="000000" w:themeColor="text1"/>
          <w:highlight w:val="none"/>
          <w14:textFill>
            <w14:solidFill>
              <w14:schemeClr w14:val="tx1"/>
            </w14:solidFill>
          </w14:textFill>
        </w:rPr>
        <w:t> </w:t>
      </w:r>
    </w:p>
    <w:p w14:paraId="7CB3F808">
      <w:pPr>
        <w:ind w:right="-902" w:rightChars="-376"/>
        <w:rPr>
          <w:color w:val="000000" w:themeColor="text1"/>
          <w:highlight w:val="none"/>
          <w14:textFill>
            <w14:solidFill>
              <w14:schemeClr w14:val="tx1"/>
            </w14:solidFill>
          </w14:textFill>
        </w:rPr>
      </w:pPr>
      <w:r>
        <w:rPr>
          <w:rFonts w:hint="eastAsia" w:ascii="黑体" w:hAnsi="Times New Roman" w:eastAsia="黑体"/>
          <w:color w:val="000000" w:themeColor="text1"/>
          <w:highlight w:val="none"/>
          <w14:textFill>
            <w14:solidFill>
              <w14:schemeClr w14:val="tx1"/>
            </w14:solidFill>
          </w14:textFill>
        </w:rPr>
        <w:t>日期：年</w:t>
      </w:r>
      <w:r>
        <w:rPr>
          <w:rFonts w:ascii="黑体" w:hAnsi="Times New Roman" w:eastAsia="黑体"/>
          <w:color w:val="000000" w:themeColor="text1"/>
          <w:highlight w:val="none"/>
          <w14:textFill>
            <w14:solidFill>
              <w14:schemeClr w14:val="tx1"/>
            </w14:solidFill>
          </w14:textFill>
        </w:rPr>
        <w:t xml:space="preserve"> </w:t>
      </w:r>
      <w:r>
        <w:rPr>
          <w:rFonts w:hint="eastAsia" w:ascii="黑体" w:hAnsi="Times New Roman" w:eastAsia="黑体"/>
          <w:color w:val="000000" w:themeColor="text1"/>
          <w:highlight w:val="none"/>
          <w14:textFill>
            <w14:solidFill>
              <w14:schemeClr w14:val="tx1"/>
            </w14:solidFill>
          </w14:textFill>
        </w:rPr>
        <w:t>月</w:t>
      </w:r>
      <w:r>
        <w:rPr>
          <w:rFonts w:ascii="黑体" w:hAnsi="Times New Roman" w:eastAsia="黑体"/>
          <w:color w:val="000000" w:themeColor="text1"/>
          <w:highlight w:val="none"/>
          <w14:textFill>
            <w14:solidFill>
              <w14:schemeClr w14:val="tx1"/>
            </w14:solidFill>
          </w14:textFill>
        </w:rPr>
        <w:t xml:space="preserve"> </w:t>
      </w:r>
      <w:r>
        <w:rPr>
          <w:rFonts w:hint="eastAsia" w:ascii="黑体" w:hAnsi="Times New Roman" w:eastAsia="黑体"/>
          <w:color w:val="000000" w:themeColor="text1"/>
          <w:highlight w:val="none"/>
          <w14:textFill>
            <w14:solidFill>
              <w14:schemeClr w14:val="tx1"/>
            </w14:solidFill>
          </w14:textFill>
        </w:rPr>
        <w:t>日</w:t>
      </w:r>
    </w:p>
    <w:p w14:paraId="615BD310">
      <w:pPr>
        <w:snapToGrid w:val="0"/>
        <w:ind w:right="53" w:rightChars="22"/>
        <w:outlineLvl w:val="0"/>
        <w:rPr>
          <w:highlight w:val="none"/>
        </w:rPr>
      </w:pPr>
    </w:p>
    <w:p w14:paraId="453C017E">
      <w:pPr>
        <w:snapToGrid w:val="0"/>
        <w:ind w:right="53" w:rightChars="22"/>
        <w:outlineLvl w:val="0"/>
        <w:rPr>
          <w:highlight w:val="none"/>
        </w:rPr>
      </w:pPr>
    </w:p>
    <w:p w14:paraId="18F5FA32">
      <w:pPr>
        <w:snapToGrid w:val="0"/>
        <w:ind w:right="53" w:rightChars="22"/>
        <w:outlineLvl w:val="0"/>
        <w:rPr>
          <w:highlight w:val="none"/>
        </w:rPr>
      </w:pPr>
    </w:p>
    <w:sectPr>
      <w:headerReference r:id="rId6" w:type="default"/>
      <w:footerReference r:id="rId7"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Microsoft YaHei UI">
    <w:altName w:val="文泉驿微米黑"/>
    <w:panose1 w:val="020B0503020204020204"/>
    <w:charset w:val="86"/>
    <w:family w:val="auto"/>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AB49C">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2</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16E47E8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410B8">
    <w:pPr>
      <w:pStyle w:val="5"/>
    </w:pPr>
    <w:r>
      <w:t xml:space="preserve">                     </w:t>
    </w:r>
    <w:r>
      <w:rPr>
        <w:rFonts w:hint="eastAsia"/>
      </w:rPr>
      <w:t xml:space="preserve">                                     </w:t>
    </w:r>
    <w: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3267B">
    <w:pPr>
      <w:pStyle w:val="5"/>
    </w:pPr>
    <w:r>
      <w:rPr>
        <w:rFonts w:hint="eastAsia"/>
      </w:rPr>
      <w:t>本产品风险评级为【PR2】</w:t>
    </w:r>
    <w:r>
      <w:t xml:space="preserve">                   理财非存款、产品有风险、投资须谨慎</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896928"/>
    <w:multiLevelType w:val="singleLevel"/>
    <w:tmpl w:val="C6896928"/>
    <w:lvl w:ilvl="0" w:tentative="0">
      <w:start w:val="1"/>
      <w:numFmt w:val="decimal"/>
      <w:lvlText w:val="%1."/>
      <w:lvlJc w:val="left"/>
      <w:pPr>
        <w:ind w:left="425" w:hanging="425"/>
      </w:pPr>
      <w:rPr>
        <w:rFonts w:hint="default"/>
      </w:rPr>
    </w:lvl>
  </w:abstractNum>
  <w:abstractNum w:abstractNumId="1">
    <w:nsid w:val="1B8E6008"/>
    <w:multiLevelType w:val="multilevel"/>
    <w:tmpl w:val="1B8E6008"/>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D33B429"/>
    <w:multiLevelType w:val="singleLevel"/>
    <w:tmpl w:val="2D33B429"/>
    <w:lvl w:ilvl="0" w:tentative="0">
      <w:start w:val="2"/>
      <w:numFmt w:val="decimal"/>
      <w:suff w:val="space"/>
      <w:lvlText w:val="%1."/>
      <w:lvlJc w:val="left"/>
    </w:lvl>
  </w:abstractNum>
  <w:abstractNum w:abstractNumId="3">
    <w:nsid w:val="320240BE"/>
    <w:multiLevelType w:val="multilevel"/>
    <w:tmpl w:val="320240BE"/>
    <w:lvl w:ilvl="0" w:tentative="0">
      <w:start w:val="1"/>
      <w:numFmt w:val="decimal"/>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377E1DBC"/>
    <w:multiLevelType w:val="multilevel"/>
    <w:tmpl w:val="377E1DBC"/>
    <w:lvl w:ilvl="0" w:tentative="0">
      <w:start w:val="1"/>
      <w:numFmt w:val="lowerLetter"/>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5">
    <w:nsid w:val="37877AB9"/>
    <w:multiLevelType w:val="multilevel"/>
    <w:tmpl w:val="37877AB9"/>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6">
    <w:nsid w:val="41837C58"/>
    <w:multiLevelType w:val="multilevel"/>
    <w:tmpl w:val="41837C58"/>
    <w:lvl w:ilvl="0" w:tentative="0">
      <w:start w:val="7"/>
      <w:numFmt w:val="japaneseCounting"/>
      <w:lvlText w:val="%1、"/>
      <w:lvlJc w:val="left"/>
      <w:pPr>
        <w:ind w:left="390" w:hanging="390"/>
      </w:pPr>
      <w:rPr>
        <w:rFonts w:hint="default"/>
      </w:rPr>
    </w:lvl>
    <w:lvl w:ilvl="1" w:tentative="0">
      <w:start w:val="2"/>
      <w:numFmt w:val="japaneseCounting"/>
      <w:lvlText w:val="（%2）"/>
      <w:lvlJc w:val="left"/>
      <w:pPr>
        <w:ind w:left="1140" w:hanging="720"/>
      </w:pPr>
      <w:rPr>
        <w:rFonts w:hint="default" w:ascii="黑体" w:hAnsi="Times New Roman" w:eastAsia="黑体" w:cs="黑体"/>
        <w:sz w:val="2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2360528"/>
    <w:multiLevelType w:val="multilevel"/>
    <w:tmpl w:val="62360528"/>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8">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7"/>
  </w:num>
  <w:num w:numId="2">
    <w:abstractNumId w:val="4"/>
  </w:num>
  <w:num w:numId="3">
    <w:abstractNumId w:val="0"/>
  </w:num>
  <w:num w:numId="4">
    <w:abstractNumId w:val="3"/>
  </w:num>
  <w:num w:numId="5">
    <w:abstractNumId w:val="8"/>
  </w:num>
  <w:num w:numId="6">
    <w:abstractNumId w:val="1"/>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0"/>
  <w:drawingGridVerticalSpacing w:val="0"/>
  <w:displayHorizontalDrawingGridEvery w:val="1"/>
  <w:displayVerticalDrawingGridEvery w:val="1"/>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3966"/>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55D6"/>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1995BAA"/>
    <w:rsid w:val="01A43975"/>
    <w:rsid w:val="0220367C"/>
    <w:rsid w:val="03143B68"/>
    <w:rsid w:val="03970A41"/>
    <w:rsid w:val="054079CD"/>
    <w:rsid w:val="08C532FF"/>
    <w:rsid w:val="08DB70AE"/>
    <w:rsid w:val="09210786"/>
    <w:rsid w:val="09F150BA"/>
    <w:rsid w:val="0ADF54C9"/>
    <w:rsid w:val="0B4E0A4C"/>
    <w:rsid w:val="0BB53545"/>
    <w:rsid w:val="0C2D1644"/>
    <w:rsid w:val="0E9D4E90"/>
    <w:rsid w:val="0F2F8C68"/>
    <w:rsid w:val="117E7AC5"/>
    <w:rsid w:val="11B053C2"/>
    <w:rsid w:val="11D82D43"/>
    <w:rsid w:val="12BB5C75"/>
    <w:rsid w:val="139F52BA"/>
    <w:rsid w:val="13B2264B"/>
    <w:rsid w:val="146D79C6"/>
    <w:rsid w:val="14997D01"/>
    <w:rsid w:val="14B77C9C"/>
    <w:rsid w:val="151747CA"/>
    <w:rsid w:val="15B61DFB"/>
    <w:rsid w:val="15FF007F"/>
    <w:rsid w:val="16766474"/>
    <w:rsid w:val="16770389"/>
    <w:rsid w:val="16E83247"/>
    <w:rsid w:val="16F31B30"/>
    <w:rsid w:val="17191F74"/>
    <w:rsid w:val="17F265A3"/>
    <w:rsid w:val="1A2F46F6"/>
    <w:rsid w:val="1AE2440D"/>
    <w:rsid w:val="1AEF2CC8"/>
    <w:rsid w:val="1C4D7CF1"/>
    <w:rsid w:val="1C5419A7"/>
    <w:rsid w:val="1DD80D8F"/>
    <w:rsid w:val="1E0C1986"/>
    <w:rsid w:val="1F3F8CBE"/>
    <w:rsid w:val="1F982DDB"/>
    <w:rsid w:val="20827A42"/>
    <w:rsid w:val="226A5BFE"/>
    <w:rsid w:val="240A6D6E"/>
    <w:rsid w:val="241271C7"/>
    <w:rsid w:val="242E740A"/>
    <w:rsid w:val="247A61D9"/>
    <w:rsid w:val="25AA53EB"/>
    <w:rsid w:val="25AE1EB1"/>
    <w:rsid w:val="25C7594C"/>
    <w:rsid w:val="263756C1"/>
    <w:rsid w:val="27A74A6B"/>
    <w:rsid w:val="27DB7970"/>
    <w:rsid w:val="287A48D0"/>
    <w:rsid w:val="28BA18FC"/>
    <w:rsid w:val="293945CA"/>
    <w:rsid w:val="29E40E7E"/>
    <w:rsid w:val="2B3A538C"/>
    <w:rsid w:val="2B407F1D"/>
    <w:rsid w:val="2B5271AC"/>
    <w:rsid w:val="2B8E7BE2"/>
    <w:rsid w:val="2BAA041B"/>
    <w:rsid w:val="2C7FFEAE"/>
    <w:rsid w:val="2CA62F2E"/>
    <w:rsid w:val="2DB57BEF"/>
    <w:rsid w:val="2DCC054E"/>
    <w:rsid w:val="2E7D6897"/>
    <w:rsid w:val="2F9F3A70"/>
    <w:rsid w:val="30F71865"/>
    <w:rsid w:val="31527EED"/>
    <w:rsid w:val="319655C1"/>
    <w:rsid w:val="34F2646C"/>
    <w:rsid w:val="3555547B"/>
    <w:rsid w:val="36200A61"/>
    <w:rsid w:val="36C344B8"/>
    <w:rsid w:val="37085D5E"/>
    <w:rsid w:val="375E0BAF"/>
    <w:rsid w:val="37BD6F93"/>
    <w:rsid w:val="37FE7E9E"/>
    <w:rsid w:val="380F5E9F"/>
    <w:rsid w:val="38AA320E"/>
    <w:rsid w:val="391D0E7F"/>
    <w:rsid w:val="395F0A57"/>
    <w:rsid w:val="39C36502"/>
    <w:rsid w:val="3A7A5E93"/>
    <w:rsid w:val="3A887993"/>
    <w:rsid w:val="3AD774B7"/>
    <w:rsid w:val="3B5A0EDF"/>
    <w:rsid w:val="3C9712EE"/>
    <w:rsid w:val="3D0B5ABA"/>
    <w:rsid w:val="3EBB37EE"/>
    <w:rsid w:val="3ED41958"/>
    <w:rsid w:val="3EF8134F"/>
    <w:rsid w:val="3FEB0958"/>
    <w:rsid w:val="405F7FBB"/>
    <w:rsid w:val="409D4A0F"/>
    <w:rsid w:val="42E6709F"/>
    <w:rsid w:val="43086D20"/>
    <w:rsid w:val="439542F5"/>
    <w:rsid w:val="43BF748C"/>
    <w:rsid w:val="44193E1A"/>
    <w:rsid w:val="44A01663"/>
    <w:rsid w:val="44ED01E6"/>
    <w:rsid w:val="453B2D86"/>
    <w:rsid w:val="46896EAF"/>
    <w:rsid w:val="46897ABA"/>
    <w:rsid w:val="477E1AE8"/>
    <w:rsid w:val="489E5622"/>
    <w:rsid w:val="49DE3E7C"/>
    <w:rsid w:val="4A097F8F"/>
    <w:rsid w:val="4A221927"/>
    <w:rsid w:val="4AE35A16"/>
    <w:rsid w:val="4B7F0E9E"/>
    <w:rsid w:val="4C23623C"/>
    <w:rsid w:val="4D814196"/>
    <w:rsid w:val="4DED180A"/>
    <w:rsid w:val="4E075C2D"/>
    <w:rsid w:val="507F5DBE"/>
    <w:rsid w:val="50A5550E"/>
    <w:rsid w:val="51FB2806"/>
    <w:rsid w:val="52437047"/>
    <w:rsid w:val="52B264A3"/>
    <w:rsid w:val="53B12AA9"/>
    <w:rsid w:val="54263576"/>
    <w:rsid w:val="54C04F94"/>
    <w:rsid w:val="54F974BE"/>
    <w:rsid w:val="55057D15"/>
    <w:rsid w:val="57ED7804"/>
    <w:rsid w:val="57EFD92C"/>
    <w:rsid w:val="57F65EF0"/>
    <w:rsid w:val="587641EB"/>
    <w:rsid w:val="59195D2E"/>
    <w:rsid w:val="59452184"/>
    <w:rsid w:val="598A78EB"/>
    <w:rsid w:val="59DC240D"/>
    <w:rsid w:val="5A032C9A"/>
    <w:rsid w:val="5A380F0B"/>
    <w:rsid w:val="5AA2167E"/>
    <w:rsid w:val="5B6E0F7F"/>
    <w:rsid w:val="5BB90387"/>
    <w:rsid w:val="5D7B3274"/>
    <w:rsid w:val="5E3D3174"/>
    <w:rsid w:val="5ED46F62"/>
    <w:rsid w:val="5FCE55EF"/>
    <w:rsid w:val="5FE40CB2"/>
    <w:rsid w:val="5FF5EC4B"/>
    <w:rsid w:val="5FFE2F80"/>
    <w:rsid w:val="60884B3D"/>
    <w:rsid w:val="60977546"/>
    <w:rsid w:val="61D91592"/>
    <w:rsid w:val="62A76B75"/>
    <w:rsid w:val="6332049C"/>
    <w:rsid w:val="6499029E"/>
    <w:rsid w:val="650B63FE"/>
    <w:rsid w:val="65E43670"/>
    <w:rsid w:val="66181C02"/>
    <w:rsid w:val="665E09D9"/>
    <w:rsid w:val="66AC290C"/>
    <w:rsid w:val="675B2810"/>
    <w:rsid w:val="67A2A190"/>
    <w:rsid w:val="67B71C35"/>
    <w:rsid w:val="67B71E97"/>
    <w:rsid w:val="69A97060"/>
    <w:rsid w:val="69B2727C"/>
    <w:rsid w:val="69CB1261"/>
    <w:rsid w:val="6AFF2139"/>
    <w:rsid w:val="6B6527DF"/>
    <w:rsid w:val="6B6F1AEA"/>
    <w:rsid w:val="6B7D0AFE"/>
    <w:rsid w:val="6B8231D2"/>
    <w:rsid w:val="6B926AD2"/>
    <w:rsid w:val="6C222BCE"/>
    <w:rsid w:val="6C782A5A"/>
    <w:rsid w:val="6C7D060B"/>
    <w:rsid w:val="6CD12293"/>
    <w:rsid w:val="6D295EAA"/>
    <w:rsid w:val="6DD74B9D"/>
    <w:rsid w:val="6DFBCD08"/>
    <w:rsid w:val="6E1A30C8"/>
    <w:rsid w:val="6E2D1084"/>
    <w:rsid w:val="6E7D0E15"/>
    <w:rsid w:val="6F671600"/>
    <w:rsid w:val="6FDD7827"/>
    <w:rsid w:val="71D4D2A0"/>
    <w:rsid w:val="720A1363"/>
    <w:rsid w:val="72464878"/>
    <w:rsid w:val="724C264F"/>
    <w:rsid w:val="735B065C"/>
    <w:rsid w:val="74961FA3"/>
    <w:rsid w:val="74BA691F"/>
    <w:rsid w:val="74D8B0F8"/>
    <w:rsid w:val="753938CD"/>
    <w:rsid w:val="7549B4D9"/>
    <w:rsid w:val="75BF1D13"/>
    <w:rsid w:val="75FDA540"/>
    <w:rsid w:val="75FF2F86"/>
    <w:rsid w:val="76214222"/>
    <w:rsid w:val="777B120C"/>
    <w:rsid w:val="794859DE"/>
    <w:rsid w:val="79E101FA"/>
    <w:rsid w:val="7A010931"/>
    <w:rsid w:val="7BBD5FB8"/>
    <w:rsid w:val="7BD427A0"/>
    <w:rsid w:val="7C804BBD"/>
    <w:rsid w:val="7CDFFCCF"/>
    <w:rsid w:val="7D1B69A1"/>
    <w:rsid w:val="7D79C22C"/>
    <w:rsid w:val="7D9A67A9"/>
    <w:rsid w:val="7F3E5D45"/>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99"/>
  </w:style>
  <w:style w:type="paragraph" w:styleId="3">
    <w:name w:val="Balloon Text"/>
    <w:basedOn w:val="1"/>
    <w:link w:val="16"/>
    <w:qFormat/>
    <w:uiPriority w:val="0"/>
    <w:rPr>
      <w:sz w:val="18"/>
      <w:szCs w:val="18"/>
    </w:rPr>
  </w:style>
  <w:style w:type="paragraph" w:styleId="4">
    <w:name w:val="footer"/>
    <w:basedOn w:val="1"/>
    <w:link w:val="15"/>
    <w:qFormat/>
    <w:uiPriority w:val="99"/>
    <w:pPr>
      <w:tabs>
        <w:tab w:val="center" w:pos="4153"/>
        <w:tab w:val="right" w:pos="8306"/>
      </w:tabs>
      <w:snapToGrid w:val="0"/>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0"/>
    <w:pPr>
      <w:spacing w:beforeAutospacing="1" w:afterAutospacing="1"/>
    </w:pPr>
    <w:rPr>
      <w:rFonts w:cs="Times New Roman"/>
    </w:rPr>
  </w:style>
  <w:style w:type="paragraph" w:styleId="8">
    <w:name w:val="annotation subject"/>
    <w:basedOn w:val="2"/>
    <w:next w:val="2"/>
    <w:link w:val="19"/>
    <w:semiHidden/>
    <w:unhideWhenUsed/>
    <w:qFormat/>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0"/>
    <w:rPr>
      <w:color w:val="0000FF" w:themeColor="hyperlink"/>
      <w:u w:val="single"/>
      <w14:textFill>
        <w14:solidFill>
          <w14:schemeClr w14:val="hlink"/>
        </w14:solidFill>
      </w14:textFill>
    </w:rPr>
  </w:style>
  <w:style w:type="character" w:styleId="13">
    <w:name w:val="annotation reference"/>
    <w:basedOn w:val="11"/>
    <w:semiHidden/>
    <w:unhideWhenUsed/>
    <w:qFormat/>
    <w:uiPriority w:val="0"/>
    <w:rPr>
      <w:sz w:val="21"/>
      <w:szCs w:val="21"/>
    </w:rPr>
  </w:style>
  <w:style w:type="character" w:customStyle="1" w:styleId="14">
    <w:name w:val="页眉 Char"/>
    <w:link w:val="5"/>
    <w:qFormat/>
    <w:uiPriority w:val="99"/>
    <w:rPr>
      <w:rFonts w:ascii="宋体" w:hAnsi="宋体" w:eastAsia="宋体" w:cs="宋体"/>
      <w:sz w:val="18"/>
      <w:szCs w:val="18"/>
    </w:rPr>
  </w:style>
  <w:style w:type="character" w:customStyle="1" w:styleId="15">
    <w:name w:val="页脚 Char"/>
    <w:link w:val="4"/>
    <w:qFormat/>
    <w:uiPriority w:val="99"/>
    <w:rPr>
      <w:rFonts w:ascii="宋体" w:hAnsi="宋体" w:eastAsia="宋体" w:cs="宋体"/>
      <w:sz w:val="18"/>
      <w:szCs w:val="18"/>
    </w:rPr>
  </w:style>
  <w:style w:type="character" w:customStyle="1" w:styleId="16">
    <w:name w:val="批注框文本 Char"/>
    <w:link w:val="3"/>
    <w:qFormat/>
    <w:uiPriority w:val="0"/>
    <w:rPr>
      <w:rFonts w:ascii="宋体" w:hAnsi="宋体" w:eastAsia="宋体" w:cs="宋体"/>
      <w:sz w:val="18"/>
      <w:szCs w:val="18"/>
    </w:rPr>
  </w:style>
  <w:style w:type="paragraph" w:customStyle="1" w:styleId="17">
    <w:name w:val="普通(网站)1"/>
    <w:basedOn w:val="1"/>
    <w:qFormat/>
    <w:uiPriority w:val="0"/>
    <w:pPr>
      <w:spacing w:before="100" w:beforeAutospacing="1" w:after="100" w:afterAutospacing="1"/>
    </w:pPr>
  </w:style>
  <w:style w:type="character" w:customStyle="1" w:styleId="18">
    <w:name w:val="批注文字 Char"/>
    <w:basedOn w:val="11"/>
    <w:link w:val="2"/>
    <w:qFormat/>
    <w:uiPriority w:val="99"/>
    <w:rPr>
      <w:rFonts w:ascii="宋体" w:hAnsi="宋体" w:cs="宋体"/>
      <w:sz w:val="24"/>
      <w:szCs w:val="24"/>
    </w:rPr>
  </w:style>
  <w:style w:type="character" w:customStyle="1" w:styleId="19">
    <w:name w:val="批注主题 Char"/>
    <w:basedOn w:val="18"/>
    <w:link w:val="8"/>
    <w:semiHidden/>
    <w:qFormat/>
    <w:uiPriority w:val="0"/>
    <w:rPr>
      <w:rFonts w:ascii="宋体" w:hAnsi="宋体" w:cs="宋体"/>
      <w:b/>
      <w:bCs/>
      <w:sz w:val="24"/>
      <w:szCs w:val="24"/>
    </w:rPr>
  </w:style>
  <w:style w:type="paragraph" w:styleId="20">
    <w:name w:val="List Paragraph"/>
    <w:basedOn w:val="1"/>
    <w:qFormat/>
    <w:uiPriority w:val="34"/>
    <w:pPr>
      <w:ind w:firstLine="420" w:firstLineChars="200"/>
    </w:pPr>
  </w:style>
  <w:style w:type="paragraph" w:customStyle="1" w:styleId="21">
    <w:name w:val="修订1"/>
    <w:hidden/>
    <w:semiHidden/>
    <w:qFormat/>
    <w:uiPriority w:val="99"/>
    <w:rPr>
      <w:rFonts w:ascii="宋体" w:hAnsi="宋体" w:eastAsia="宋体" w:cs="宋体"/>
      <w:sz w:val="24"/>
      <w:szCs w:val="24"/>
      <w:lang w:val="en-US" w:eastAsia="zh-CN" w:bidi="ar-SA"/>
    </w:rPr>
  </w:style>
  <w:style w:type="paragraph" w:customStyle="1" w:styleId="22">
    <w:name w:val="修订2"/>
    <w:hidden/>
    <w:semiHidden/>
    <w:qFormat/>
    <w:uiPriority w:val="99"/>
    <w:rPr>
      <w:rFonts w:ascii="宋体" w:hAnsi="宋体" w:eastAsia="宋体" w:cs="宋体"/>
      <w:sz w:val="24"/>
      <w:szCs w:val="24"/>
      <w:lang w:val="en-US" w:eastAsia="zh-CN" w:bidi="ar-SA"/>
    </w:rPr>
  </w:style>
  <w:style w:type="paragraph" w:customStyle="1" w:styleId="23">
    <w:name w:val="Char Char"/>
    <w:basedOn w:val="1"/>
    <w:qFormat/>
    <w:uiPriority w:val="0"/>
    <w:pPr>
      <w:widowControl w:val="0"/>
      <w:jc w:val="both"/>
    </w:pPr>
    <w:rPr>
      <w:rFonts w:ascii="Times New Roman" w:hAnsi="Times New Roman" w:cs="Times New Roman"/>
      <w:kern w:val="2"/>
      <w:sz w:val="21"/>
      <w:szCs w:val="20"/>
    </w:rPr>
  </w:style>
  <w:style w:type="paragraph" w:customStyle="1" w:styleId="24">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5">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6">
    <w:name w:val="修订3"/>
    <w:hidden/>
    <w:semiHidden/>
    <w:qFormat/>
    <w:uiPriority w:val="99"/>
    <w:rPr>
      <w:rFonts w:ascii="宋体" w:hAnsi="宋体" w:eastAsia="宋体" w:cs="宋体"/>
      <w:sz w:val="24"/>
      <w:szCs w:val="24"/>
      <w:lang w:val="en-US" w:eastAsia="zh-CN" w:bidi="ar-SA"/>
    </w:rPr>
  </w:style>
  <w:style w:type="character" w:customStyle="1" w:styleId="27">
    <w:name w:val="bjh-strong"/>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51</Pages>
  <Words>4237</Words>
  <Characters>24152</Characters>
  <Lines>201</Lines>
  <Paragraphs>56</Paragraphs>
  <TotalTime>4</TotalTime>
  <ScaleCrop>false</ScaleCrop>
  <LinksUpToDate>false</LinksUpToDate>
  <CharactersWithSpaces>28333</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2024-05-29T08:10:00Z</dcterms:created>
  <dc:creator>王晓明</dc:creator>
  <cp:lastModifiedBy>ynjr_hegang@uos</cp:lastModifiedBy>
  <cp:lastPrinted>2024-06-08T09:24:00Z</cp:lastPrinted>
  <dcterms:modified xsi:type="dcterms:W3CDTF">2026-08-20T17:00:54Z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8BF2B1701AE2498E5DCE0F67A2B84A9C_43</vt:lpwstr>
  </property>
</Properties>
</file>