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b/>
          <w:bCs/>
          <w:sz w:val="22"/>
          <w:highlight w:val="none"/>
        </w:rPr>
      </w:pPr>
      <w:r>
        <w:rPr>
          <w:rFonts w:ascii="Times New Roman" w:cs="Times New Roman" w:eastAsia="黑体" w:hAnsi="Times New Roman" w:hint="eastAsia"/>
          <w:b/>
          <w:bCs/>
          <w:sz w:val="22"/>
          <w:highlight w:val="none"/>
        </w:rPr>
        <w:t>信银理财理财产品投资协议书</w:t>
      </w:r>
    </w:p>
    <w:p w14:paraId="52DE90FC">
      <w:pPr>
        <w:spacing w:line="300" w:lineRule="exact"/>
        <w:ind w:firstLine="480"/>
        <w:rPr>
          <w:rFonts w:ascii="Times New Roman" w:cs="Times New Roman" w:eastAsia="楷体_GB2312" w:hAnsi="Times New Roman"/>
          <w:sz w:val="20"/>
          <w:szCs w:val="20"/>
          <w:highlight w:val="none"/>
        </w:rPr>
      </w:pPr>
    </w:p>
    <w:p w14:paraId="79341D91">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甲方：投资者（投资者信息详见签署页）</w:t>
      </w:r>
    </w:p>
    <w:p w14:paraId="6A0D581D">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乙方：信银理财有限责任公司</w:t>
      </w:r>
    </w:p>
    <w:p w14:paraId="123DE34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sz w:val="20"/>
          <w:szCs w:val="20"/>
          <w:highlight w:val="none"/>
        </w:rPr>
        <w:t xml:space="preserve">   </w:t>
      </w:r>
    </w:p>
    <w:p w14:paraId="06049925">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经甲方和乙方平等协商，就甲方认购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申购乙方发行的理财产品（以下简称</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理财产品</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），达成本协议如下：</w:t>
      </w:r>
    </w:p>
    <w:p w14:paraId="48B1197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一、适用范围</w:t>
      </w:r>
    </w:p>
    <w:p w14:paraId="3083C71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甲方在认购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申购乙方发行的理财产品之前应签署本协议。本协议生效后，甲方认购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申购乙方发行的理财产品的，均适用本协议。</w:t>
      </w:r>
    </w:p>
    <w:p w14:paraId="4EDAF4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本协议为规范甲乙双方在理财业务中权利与义务的法律文件，与甲方认购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申购乙方多</w:t>
      </w:r>
      <w:r>
        <w:rPr>
          <w:rFonts w:ascii="Times New Roman" w:cs="Times New Roman" w:eastAsia="楷体_GB2312" w:hAnsi="Times New Roman" w:hint="eastAsia"/>
          <w:sz w:val="20"/>
          <w:szCs w:val="20"/>
          <w:highlight w:val="none"/>
          <w:lang w:eastAsia="zh-CN" w:val="en-US"/>
        </w:rPr>
        <w:t>只</w:t>
      </w:r>
      <w:r>
        <w:rPr>
          <w:rFonts w:ascii="Times New Roman" w:cs="Times New Roman" w:eastAsia="楷体_GB2312" w:hAnsi="Times New Roman" w:hint="eastAsia"/>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本协议不作为甲方认购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申购或持有理财产品的凭证。</w:t>
      </w:r>
    </w:p>
    <w:p w14:paraId="00AD07E1">
      <w:pPr>
        <w:spacing w:line="300" w:lineRule="exact"/>
        <w:rPr>
          <w:rFonts w:ascii="Times New Roman" w:cs="Times New Roman" w:eastAsia="楷体_GB2312" w:hAnsi="Times New Roman"/>
          <w:sz w:val="20"/>
          <w:szCs w:val="20"/>
          <w:highlight w:val="none"/>
        </w:rPr>
      </w:pPr>
    </w:p>
    <w:p w14:paraId="34433425">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二、风险提示</w:t>
      </w:r>
    </w:p>
    <w:p w14:paraId="3786D10E">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本产品为</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固定收益类</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产品</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具体投资对象</w:t>
      </w:r>
      <w:r>
        <w:rPr>
          <w:rFonts w:ascii="Times New Roman" w:cs="Times New Roman" w:eastAsia="楷体_GB2312" w:hAnsi="Times New Roman"/>
          <w:b/>
          <w:bCs/>
          <w:sz w:val="20"/>
          <w:szCs w:val="20"/>
          <w:highlight w:val="none"/>
        </w:rPr>
        <w:t>投资比例如下：</w:t>
      </w:r>
    </w:p>
    <w:tbl>
      <w:tblPr>
        <w:tblStyle w:val="9"/>
        <w:tblW w:type="pct" w:w="3778"/>
        <w:tblInd w:type="dxa" w:w="79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53"/>
        <w:gridCol w:w="2191"/>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1FBCB2A0">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资产种类</w:t>
            </w:r>
          </w:p>
        </w:tc>
        <w:tc>
          <w:tcPr>
            <w:tcW w:type="pct" w:w="1699"/>
            <w:vAlign w:val="center"/>
          </w:tcPr>
          <w:p w14:paraId="6AB5185B">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62E33C8">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债权类资产</w:t>
            </w:r>
          </w:p>
        </w:tc>
        <w:tc>
          <w:tcPr>
            <w:tcW w:type="pct" w:w="1699"/>
            <w:vAlign w:val="center"/>
          </w:tcPr>
          <w:p w14:paraId="78317B48">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F42DB1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其中</w:t>
            </w:r>
            <w:r>
              <w:rPr>
                <w:rFonts w:ascii="楷体" w:eastAsia="楷体" w:hAnsi="楷体"/>
                <w:color w:val="000000"/>
                <w:sz w:val="20"/>
                <w:szCs w:val="20"/>
                <w:highlight w:val="none"/>
              </w:rPr>
              <w:t>，非标准化债权类资产</w:t>
            </w:r>
          </w:p>
        </w:tc>
        <w:tc>
          <w:tcPr>
            <w:tcW w:type="pct" w:w="1699"/>
            <w:vAlign w:val="center"/>
          </w:tcPr>
          <w:p w14:paraId="6AD097A7">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【0%-49%</w:t>
            </w:r>
            <w:r>
              <w:rPr>
                <w:rFonts w:ascii="楷体" w:eastAsia="楷体" w:hAnsi="楷体"/>
                <w:sz w:val="20"/>
                <w:szCs w:val="20"/>
                <w:highlight w:val="none"/>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5F654DE4">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权益类资产</w:t>
            </w:r>
          </w:p>
        </w:tc>
        <w:tc>
          <w:tcPr>
            <w:tcW w:type="pct" w:w="1699"/>
            <w:vAlign w:val="center"/>
          </w:tcPr>
          <w:p w14:paraId="586ECE09">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3C2B6D1B">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资产：持仓合约价值</w:t>
            </w:r>
          </w:p>
        </w:tc>
        <w:tc>
          <w:tcPr>
            <w:tcW w:type="pct" w:w="1699"/>
            <w:vAlign w:val="center"/>
          </w:tcPr>
          <w:p w14:paraId="6180547C">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300"/>
            <w:vAlign w:val="center"/>
          </w:tcPr>
          <w:p w14:paraId="173B0FB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资产：衍生品账户权益</w:t>
            </w:r>
          </w:p>
        </w:tc>
        <w:tc>
          <w:tcPr>
            <w:tcW w:type="pct" w:w="1699"/>
            <w:vAlign w:val="center"/>
          </w:tcPr>
          <w:p w14:paraId="6802913A">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bl>
    <w:p w14:paraId="12BA1F3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（1）投资债权类资产的风险</w:t>
      </w:r>
    </w:p>
    <w:p w14:paraId="4F1920C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1）投资标准化债权类资产的风险</w:t>
      </w:r>
    </w:p>
    <w:p w14:paraId="0907430D">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）投资非标准化债权类资产的风险</w:t>
      </w:r>
    </w:p>
    <w:p w14:paraId="407FB6C8">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）投资权益类资产的风险</w:t>
      </w:r>
    </w:p>
    <w:p w14:paraId="7DED56E1">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1）投资普通股票可能面临的风险</w:t>
      </w:r>
    </w:p>
    <w:p w14:paraId="080C1D6F">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2）投资优先股可能面临的风险</w:t>
      </w:r>
    </w:p>
    <w:p w14:paraId="08F8364A">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3</w:t>
      </w:r>
      <w:r>
        <w:rPr>
          <w:rFonts w:ascii="Times New Roman" w:cs="Times New Roman" w:eastAsia="楷体_GB2312" w:hAnsi="Times New Roman" w:hint="eastAsia"/>
          <w:b/>
          <w:bCs/>
          <w:sz w:val="20"/>
          <w:szCs w:val="20"/>
          <w:highlight w:val="none"/>
        </w:rPr>
        <w:t>）投资商品及金融衍生品类资产的风险</w:t>
      </w:r>
    </w:p>
    <w:p w14:paraId="71AD651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highlight w:val="none"/>
        </w:rPr>
      </w:pPr>
    </w:p>
    <w:p w14:paraId="0C298D9E">
      <w:pPr>
        <w:spacing w:line="300" w:lineRule="exact"/>
        <w:ind w:firstLine="480"/>
        <w:rPr>
          <w:rFonts w:ascii="Times New Roman" w:cs="Times New Roman" w:eastAsia="楷体_GB2312" w:hAnsi="Times New Roman"/>
          <w:b/>
          <w:bCs/>
          <w:i/>
          <w:szCs w:val="20"/>
          <w:highlight w:val="none"/>
          <w:u w:val="single"/>
        </w:rPr>
      </w:pPr>
      <w:r>
        <w:rPr>
          <w:rFonts w:ascii="Times New Roman" w:cs="Times New Roman" w:eastAsia="楷体_GB2312" w:hAnsi="Times New Roman" w:hint="eastAsia"/>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highlight w:val="none"/>
        </w:rPr>
      </w:pPr>
    </w:p>
    <w:p w14:paraId="3B31B268">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highlight w:val="none"/>
        </w:rPr>
        <w:t>投资对象</w:t>
      </w:r>
      <w:r>
        <w:rPr>
          <w:rFonts w:ascii="Times New Roman" w:cs="Times New Roman" w:eastAsia="楷体_GB2312" w:hAnsi="Times New Roman" w:hint="eastAsia"/>
          <w:b/>
          <w:bCs/>
          <w:sz w:val="20"/>
          <w:szCs w:val="20"/>
          <w:highlight w:val="none"/>
        </w:rPr>
        <w:t>的</w:t>
      </w:r>
      <w:r>
        <w:rPr>
          <w:rFonts w:ascii="Times New Roman" w:cs="Times New Roman" w:eastAsia="楷体_GB2312" w:hAnsi="Times New Roman"/>
          <w:b/>
          <w:bCs/>
          <w:sz w:val="20"/>
          <w:szCs w:val="20"/>
          <w:highlight w:val="none"/>
        </w:rPr>
        <w:t>投资比例及相应</w:t>
      </w:r>
      <w:r>
        <w:rPr>
          <w:rFonts w:ascii="Times New Roman" w:cs="Times New Roman" w:eastAsia="楷体_GB2312" w:hAnsi="Times New Roman" w:hint="eastAsia"/>
          <w:b/>
          <w:bCs/>
          <w:sz w:val="20"/>
          <w:szCs w:val="20"/>
          <w:highlight w:val="none"/>
        </w:rPr>
        <w:t>投资</w:t>
      </w:r>
      <w:r>
        <w:rPr>
          <w:rFonts w:ascii="Times New Roman" w:cs="Times New Roman" w:eastAsia="楷体_GB2312" w:hAnsi="Times New Roman"/>
          <w:b/>
          <w:bCs/>
          <w:sz w:val="20"/>
          <w:szCs w:val="20"/>
          <w:highlight w:val="none"/>
        </w:rPr>
        <w:t>风险</w:t>
      </w:r>
      <w:r>
        <w:rPr>
          <w:rFonts w:ascii="Times New Roman" w:cs="Times New Roman" w:eastAsia="楷体_GB2312" w:hAnsi="Times New Roman" w:hint="eastAsia"/>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highlight w:val="none"/>
        </w:rPr>
      </w:pPr>
    </w:p>
    <w:p w14:paraId="71C5DAF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三、投资条款</w:t>
      </w:r>
    </w:p>
    <w:p w14:paraId="3B4EE99C">
      <w:pPr>
        <w:spacing w:line="300" w:lineRule="exact"/>
        <w:ind w:firstLine="482"/>
        <w:rPr>
          <w:rFonts w:ascii="Times New Roman" w:cs="Times New Roman" w:eastAsia="楷体_GB2312" w:hAnsi="Times New Roman"/>
          <w:bCs/>
          <w:sz w:val="20"/>
          <w:szCs w:val="20"/>
          <w:highlight w:val="none"/>
        </w:rPr>
      </w:pPr>
      <w:r>
        <w:rPr>
          <w:rFonts w:ascii="Times New Roman" w:cs="Times New Roman" w:eastAsia="楷体_GB2312" w:hAnsi="Times New Roman" w:hint="eastAsia"/>
          <w:bCs/>
          <w:sz w:val="20"/>
          <w:szCs w:val="20"/>
          <w:highlight w:val="none"/>
        </w:rPr>
        <w:t>甲方认购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申购理财产品的具体认购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申购条件、流程、金额、份额、费用以及其他投资条款，由甲方实际认购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highlight w:val="none"/>
        </w:rPr>
      </w:pPr>
    </w:p>
    <w:p w14:paraId="06E12BFF">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四、甲方的权利与义务</w:t>
      </w:r>
    </w:p>
    <w:p w14:paraId="435D2F90">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（二）甲方保证以真实身份投资本理财产品，保证提供给产品管理人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代销机构的信息和资料均真实、准确、完整、合法。如甲方的信息和</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（五）甲方保证理财投资资金来源和用途合法，保证可向产品管理人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代销机构提供合法筹集的证明文件；</w:t>
      </w:r>
    </w:p>
    <w:p w14:paraId="0AFEFD6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（八）甲方不属于联合国制裁名单，及中国政府部门或有权机关发布的涉恐及反洗钱相关风险名单内的企业或个人；不位于被联合国或</w:t>
      </w:r>
      <w:r>
        <w:rPr>
          <w:rFonts w:ascii="Times New Roman" w:cs="Times New Roman" w:eastAsia="楷体_GB2312" w:hAnsi="Times New Roman" w:hint="eastAsia"/>
          <w:sz w:val="20"/>
          <w:szCs w:val="20"/>
          <w:highlight w:val="none"/>
          <w:lang w:eastAsia="zh-CN" w:val="en-US"/>
        </w:rPr>
        <w:t>中</w:t>
      </w:r>
      <w:r>
        <w:rPr>
          <w:rFonts w:ascii="Times New Roman" w:cs="Times New Roman" w:eastAsia="楷体_GB2312" w:hAnsi="Times New Roman" w:hint="eastAsia"/>
          <w:sz w:val="20"/>
          <w:szCs w:val="20"/>
          <w:highlight w:val="none"/>
        </w:rPr>
        <w:t>国制裁的国家和地区；</w:t>
      </w:r>
    </w:p>
    <w:p w14:paraId="5D2B2B2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highlight w:val="none"/>
        </w:rPr>
      </w:pPr>
    </w:p>
    <w:p w14:paraId="7E5686B6">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五、乙方的权利与义务</w:t>
      </w:r>
    </w:p>
    <w:p w14:paraId="4FB71CEA">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highlight w:val="none"/>
        </w:rPr>
      </w:pPr>
    </w:p>
    <w:p w14:paraId="4E72B39F">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六、违约责任</w:t>
      </w:r>
    </w:p>
    <w:p w14:paraId="47C2AF30">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highlight w:val="none"/>
        </w:rPr>
      </w:pPr>
    </w:p>
    <w:p w14:paraId="03BB3CB4">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七、免责内容</w:t>
      </w:r>
    </w:p>
    <w:p w14:paraId="72B32606">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highlight w:val="none"/>
        </w:rPr>
        <w:t>。</w:t>
      </w:r>
    </w:p>
    <w:p w14:paraId="38271711">
      <w:pPr>
        <w:spacing w:line="300" w:lineRule="exact"/>
        <w:ind w:firstLine="482"/>
        <w:rPr>
          <w:rFonts w:ascii="Times New Roman" w:cs="Times New Roman" w:eastAsia="楷体_GB2312" w:hAnsi="Times New Roman"/>
          <w:b/>
          <w:bCs/>
          <w:sz w:val="20"/>
          <w:szCs w:val="20"/>
          <w:highlight w:val="none"/>
        </w:rPr>
      </w:pPr>
    </w:p>
    <w:p w14:paraId="44611FE9">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八、争议解决</w:t>
      </w:r>
    </w:p>
    <w:p w14:paraId="483B028B">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（二）凡因</w:t>
      </w:r>
      <w:r>
        <w:rPr>
          <w:rFonts w:ascii="Times New Roman" w:cs="Times New Roman" w:eastAsia="楷体_GB2312" w:hAnsi="Times New Roman" w:hint="eastAsia"/>
          <w:b/>
          <w:sz w:val="20"/>
          <w:szCs w:val="20"/>
          <w:highlight w:val="none"/>
        </w:rPr>
        <w:t>本协议/</w:t>
      </w:r>
      <w:r>
        <w:rPr>
          <w:rFonts w:ascii="Times New Roman" w:cs="Times New Roman" w:eastAsia="楷体_GB2312" w:hAnsi="Times New Roman" w:hint="eastAsia"/>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val="en-US"/>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6BE7B647">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highlight w:val="none"/>
        </w:rPr>
      </w:pPr>
    </w:p>
    <w:p w14:paraId="33DC896E">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九、附则</w:t>
      </w:r>
    </w:p>
    <w:p w14:paraId="43D5C269">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申购份额经乙方确认后生效。甲方知悉并确认，乙方对于甲方认购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highlight w:val="none"/>
        </w:rPr>
      </w:pPr>
    </w:p>
    <w:p w14:paraId="382E40CA">
      <w:pPr>
        <w:spacing w:line="300" w:lineRule="exact"/>
        <w:rPr>
          <w:rFonts w:ascii="Times New Roman" w:cs="Times New Roman" w:eastAsia="楷体_GB2312" w:hAnsi="Times New Roman"/>
          <w:sz w:val="20"/>
          <w:szCs w:val="20"/>
          <w:highlight w:val="none"/>
        </w:rPr>
      </w:pPr>
    </w:p>
    <w:p w14:paraId="684DC015">
      <w:pPr>
        <w:spacing w:line="300" w:lineRule="exact"/>
        <w:rPr>
          <w:rFonts w:ascii="Times New Roman" w:cs="Times New Roman" w:eastAsia="楷体_GB2312" w:hAnsi="Times New Roman"/>
          <w:sz w:val="20"/>
          <w:szCs w:val="20"/>
          <w:highlight w:val="none"/>
        </w:rPr>
      </w:pPr>
      <w:r>
        <w:rPr>
          <w:rFonts w:ascii="Times New Roman" w:cs="Times New Roman" w:eastAsia="楷体_GB2312" w:hAnsi="Times New Roman"/>
          <w:b/>
          <w:sz w:val="20"/>
          <w:szCs w:val="20"/>
          <w:highlight w:val="none"/>
        </w:rPr>
        <w:t>甲方</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个人投资者（签字）</w:t>
      </w:r>
      <w:r>
        <w:rPr>
          <w:rFonts w:ascii="Times New Roman" w:cs="Times New Roman" w:eastAsia="楷体_GB2312" w:hAnsi="Times New Roman"/>
          <w:sz w:val="20"/>
          <w:szCs w:val="20"/>
          <w:highlight w:val="none"/>
        </w:rPr>
        <w:t xml:space="preserve">:               </w:t>
      </w:r>
    </w:p>
    <w:p w14:paraId="75E89A50">
      <w:pPr>
        <w:spacing w:line="300" w:lineRule="exact"/>
        <w:ind w:firstLine="600" w:firstLineChars="300"/>
        <w:rPr>
          <w:rFonts w:ascii="Times New Roman" w:cs="Times New Roman" w:eastAsia="楷体_GB2312" w:hAnsi="Times New Roman"/>
          <w:sz w:val="20"/>
          <w:szCs w:val="20"/>
          <w:highlight w:val="none"/>
        </w:rPr>
      </w:pPr>
    </w:p>
    <w:p w14:paraId="4799ED60">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机构投资者（公章）</w:t>
      </w:r>
      <w:r>
        <w:rPr>
          <w:rFonts w:ascii="Times New Roman" w:cs="Times New Roman" w:eastAsia="楷体_GB2312" w:hAnsi="Times New Roman"/>
          <w:sz w:val="20"/>
          <w:szCs w:val="20"/>
          <w:highlight w:val="none"/>
        </w:rPr>
        <w:t xml:space="preserve">:               </w:t>
      </w:r>
    </w:p>
    <w:p w14:paraId="285D1965">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法定代表人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负责人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授权代表（签字</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盖章）：</w:t>
      </w:r>
    </w:p>
    <w:p w14:paraId="6742F1FA">
      <w:pPr>
        <w:spacing w:line="300" w:lineRule="exact"/>
        <w:ind w:firstLine="600" w:firstLineChars="300"/>
        <w:rPr>
          <w:rFonts w:ascii="Times New Roman" w:cs="Times New Roman" w:eastAsia="楷体_GB2312" w:hAnsi="Times New Roman"/>
          <w:sz w:val="20"/>
          <w:szCs w:val="20"/>
          <w:highlight w:val="none"/>
        </w:rPr>
      </w:pPr>
    </w:p>
    <w:p w14:paraId="4912DB02">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证件类别（个人投资者）：</w:t>
      </w:r>
      <w:r>
        <w:rPr>
          <w:rFonts w:ascii="Times New Roman" w:cs="Times New Roman" w:eastAsia="楷体_GB2312" w:hAnsi="Times New Roman"/>
          <w:sz w:val="20"/>
          <w:szCs w:val="20"/>
          <w:highlight w:val="none"/>
        </w:rPr>
        <w:t xml:space="preserve">             </w:t>
      </w:r>
    </w:p>
    <w:p w14:paraId="06AC3C35">
      <w:pPr>
        <w:spacing w:line="300" w:lineRule="exact"/>
        <w:ind w:firstLine="600" w:firstLineChars="300"/>
        <w:rPr>
          <w:rFonts w:ascii="Times New Roman" w:cs="Times New Roman" w:eastAsia="楷体_GB2312" w:hAnsi="Times New Roman"/>
          <w:sz w:val="20"/>
          <w:szCs w:val="20"/>
          <w:highlight w:val="none"/>
        </w:rPr>
      </w:pPr>
    </w:p>
    <w:p w14:paraId="3FAF2438">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证件号（个人投资者）：</w:t>
      </w:r>
      <w:r>
        <w:rPr>
          <w:rFonts w:ascii="Times New Roman" w:cs="Times New Roman" w:eastAsia="楷体_GB2312" w:hAnsi="Times New Roman"/>
          <w:sz w:val="20"/>
          <w:szCs w:val="20"/>
          <w:highlight w:val="none"/>
        </w:rPr>
        <w:t xml:space="preserve">                </w:t>
      </w:r>
    </w:p>
    <w:p w14:paraId="26E7EA65">
      <w:pPr>
        <w:spacing w:line="300" w:lineRule="exact"/>
        <w:ind w:firstLine="600" w:firstLineChars="300"/>
        <w:rPr>
          <w:rFonts w:ascii="Times New Roman" w:cs="Times New Roman" w:eastAsia="楷体_GB2312" w:hAnsi="Times New Roman"/>
          <w:sz w:val="20"/>
          <w:szCs w:val="20"/>
          <w:highlight w:val="none"/>
        </w:rPr>
        <w:sectPr>
          <w:headerReference r:id="rId3" w:type="default"/>
          <w:footerReference r:id="rId4" w:type="default"/>
          <w:pgSz w:h="16838" w:w="11906"/>
          <w:pgMar w:bottom="1440" w:footer="992" w:gutter="0" w:header="851" w:left="1797" w:right="1797" w:top="1440"/>
          <w:pgNumType w:start="1"/>
          <w:cols w:num="1" w:space="720"/>
          <w:docGrid w:charSpace="0" w:linePitch="326"/>
        </w:sectPr>
      </w:pPr>
      <w:r>
        <w:rPr>
          <w:rFonts w:ascii="Times New Roman" w:cs="Times New Roman" w:eastAsia="楷体_GB2312" w:hAnsi="Times New Roman"/>
          <w:sz w:val="20"/>
          <w:szCs w:val="20"/>
          <w:highlight w:val="none"/>
        </w:rPr>
        <w:t xml:space="preserve">             </w:t>
      </w:r>
    </w:p>
    <w:p w14:paraId="547FBD6A">
      <w:pPr>
        <w:spacing w:line="300" w:lineRule="exact"/>
        <w:ind w:left="-821" w:leftChars="-342" w:right="-792" w:rightChars="-330"/>
        <w:jc w:val="center"/>
        <w:rPr>
          <w:rFonts w:ascii="黑体" w:cs="黑体" w:eastAsia="黑体" w:hAnsi="楷体_GB2312"/>
          <w:b/>
          <w:bCs/>
          <w:color w:themeColor="text1" w:val="000000"/>
          <w:highlight w:val="none"/>
          <w14:textFill>
            <w14:solidFill>
              <w14:schemeClr w14:val="tx1"/>
            </w14:solidFill>
          </w14:textFill>
        </w:rPr>
      </w:pPr>
      <w:bookmarkStart w:id="0" w:name="_Hlk142658372"/>
      <w:r>
        <w:rPr>
          <w:rFonts w:ascii="黑体" w:cs="黑体" w:eastAsia="黑体" w:hAnsi="楷体_GB2312" w:hint="eastAsia"/>
          <w:b/>
          <w:bCs/>
          <w:color w:themeColor="text1" w:val="000000"/>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highlight w:val="none"/>
          <w14:textFill>
            <w14:solidFill>
              <w14:schemeClr w14:val="tx1"/>
            </w14:solidFill>
          </w14:textFill>
        </w:rPr>
      </w:pPr>
      <w:r>
        <w:rPr>
          <w:rFonts w:ascii="黑体" w:eastAsia="黑体"/>
          <w:b/>
          <w:bCs/>
          <w:color w:themeColor="text1" w:val="000000"/>
          <w:highlight w:val="none"/>
          <w14:textFill>
            <w14:solidFill>
              <w14:schemeClr w14:val="tx1"/>
            </w14:solidFill>
          </w14:textFill>
        </w:rPr>
        <w:t> </w:t>
      </w:r>
    </w:p>
    <w:p w14:paraId="520BC4F8">
      <w:pP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尊敬的客户：</w:t>
      </w:r>
      <w:r>
        <w:rPr>
          <w:rFonts w:ascii="楷体_GB2312" w:cs="楷体_GB2312" w:eastAsia="楷体_GB2312" w:hAnsi="Arial"/>
          <w:color w:themeColor="text1" w:val="000000"/>
          <w:highlight w:val="none"/>
          <w14:textFill>
            <w14:solidFill>
              <w14:schemeClr w14:val="tx1"/>
            </w14:solidFill>
          </w14:textFill>
        </w:rPr>
        <w:t xml:space="preserve"> </w:t>
      </w:r>
    </w:p>
    <w:p w14:paraId="2828AEF3">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ascii="楷体_GB2312" w:cs="楷体_GB2312" w:eastAsia="楷体_GB2312" w:hAnsi="Arial" w:hint="eastAsia"/>
          <w:b/>
          <w:color w:themeColor="text1" w:val="000000"/>
          <w:highlight w:val="none"/>
          <w14:textFill>
            <w14:solidFill>
              <w14:schemeClr w14:val="tx1"/>
            </w14:solidFill>
          </w14:textFill>
        </w:rPr>
        <w:t>理财本金全部损失风险</w:t>
      </w:r>
      <w:r>
        <w:rPr>
          <w:rFonts w:ascii="楷体_GB2312" w:cs="楷体_GB2312" w:eastAsia="楷体_GB2312" w:hAnsi="Arial"/>
          <w:b/>
          <w:color w:themeColor="text1" w:val="000000"/>
          <w:highlight w:val="none"/>
          <w14:textFill>
            <w14:solidFill>
              <w14:schemeClr w14:val="tx1"/>
            </w14:solidFill>
          </w14:textFill>
        </w:rPr>
        <w:t>、合作销售机构</w:t>
      </w:r>
      <w:r>
        <w:rPr>
          <w:rFonts w:ascii="楷体_GB2312" w:cs="楷体_GB2312" w:eastAsia="楷体_GB2312" w:hAnsi="Arial" w:hint="eastAsia"/>
          <w:b/>
          <w:color w:themeColor="text1" w:val="000000"/>
          <w:highlight w:val="none"/>
          <w14:textFill>
            <w14:solidFill>
              <w14:schemeClr w14:val="tx1"/>
            </w14:solidFill>
          </w14:textFill>
        </w:rPr>
        <w:t>（代销机构）</w:t>
      </w:r>
      <w:r>
        <w:rPr>
          <w:rFonts w:ascii="楷体_GB2312" w:cs="楷体_GB2312" w:eastAsia="楷体_GB2312" w:hAnsi="Arial"/>
          <w:b/>
          <w:color w:themeColor="text1" w:val="000000"/>
          <w:highlight w:val="none"/>
          <w14:textFill>
            <w14:solidFill>
              <w14:schemeClr w14:val="tx1"/>
            </w14:solidFill>
          </w14:textFill>
        </w:rPr>
        <w:t>风险、操作风险</w:t>
      </w:r>
      <w:r>
        <w:rPr>
          <w:rFonts w:ascii="楷体_GB2312" w:cs="楷体_GB2312" w:eastAsia="楷体_GB2312" w:hAnsi="Arial" w:hint="eastAsia"/>
          <w:b/>
          <w:color w:themeColor="text1" w:val="000000"/>
          <w:highlight w:val="none"/>
          <w14:textFill>
            <w14:solidFill>
              <w14:schemeClr w14:val="tx1"/>
            </w14:solidFill>
          </w14:textFill>
        </w:rPr>
        <w:t>、关联交易风险</w:t>
      </w:r>
      <w:r>
        <w:rPr>
          <w:rFonts w:ascii="楷体_GB2312" w:cs="楷体_GB2312" w:eastAsia="楷体_GB2312" w:hAnsi="Arial"/>
          <w:b/>
          <w:color w:themeColor="text1" w:val="000000"/>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highlight w:val="none"/>
          <w14:textFill>
            <w14:solidFill>
              <w14:schemeClr w14:val="tx1"/>
            </w14:solidFill>
          </w14:textFill>
        </w:rPr>
        <w:t>。</w:t>
      </w:r>
    </w:p>
    <w:p w14:paraId="26EAF464">
      <w:pPr>
        <w:ind w:firstLine="480" w:firstLineChars="200"/>
        <w:jc w:val="both"/>
        <w:rPr>
          <w:rFonts w:ascii="楷体_GB2312" w:eastAsia="楷体_GB2312"/>
          <w:color w:themeColor="text1" w:val="000000"/>
          <w:highlight w:val="none"/>
          <w14:textFill>
            <w14:solidFill>
              <w14:schemeClr w14:val="tx1"/>
            </w14:solidFill>
          </w14:textFill>
        </w:rPr>
      </w:pPr>
    </w:p>
    <w:p w14:paraId="5F6FEF9B">
      <w:pPr>
        <w:ind w:firstLine="480" w:firstLineChars="200"/>
        <w:jc w:val="both"/>
        <w:rPr>
          <w:rFonts w:ascii="楷体_GB2312" w:cs="楷体_GB2312" w:eastAsia="楷体_GB2312" w:hAnsi="Arial"/>
          <w:color w:val="000000"/>
          <w:highlight w:val="none"/>
        </w:rPr>
      </w:pPr>
      <w:r>
        <w:rPr>
          <w:rFonts w:ascii="Arial" w:cs="楷体_GB2312" w:eastAsia="楷体_GB2312" w:hAnsi="Arial" w:hint="eastAsia"/>
          <w:color w:themeColor="text1" w:val="000000"/>
          <w:highlight w:val="none"/>
          <w14:textFill>
            <w14:solidFill>
              <w14:schemeClr w14:val="tx1"/>
            </w14:solidFill>
          </w14:textFill>
        </w:rPr>
        <w:t>本理财产品名称为</w:t>
      </w: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val="000000"/>
          <w:highlight w:val="none"/>
        </w:rPr>
        <w:t>信银理财安盈象固收稳利封闭式1118号理财产品</w:t>
      </w:r>
      <w:r>
        <w:rPr>
          <w:rFonts w:ascii="楷体_GB2312" w:cs="楷体_GB2312" w:eastAsia="楷体_GB2312" w:hAnsi="楷体_GB2312"/>
          <w:b/>
          <w:bCs/>
          <w:color w:val="000000"/>
          <w:highlight w:val="none"/>
        </w:rPr>
        <w:t/>
      </w:r>
      <w:r>
        <w:rPr>
          <w:rFonts w:ascii="楷体_GB2312" w:cs="楷体_GB2312" w:eastAsia="楷体_GB2312" w:hAnsi="楷体_GB2312" w:hint="eastAsia"/>
          <w:b/>
          <w:bCs/>
          <w:color w:val="000000"/>
          <w:highlight w:val="none"/>
        </w:rPr>
        <w:t/>
      </w:r>
      <w:r>
        <w:rPr>
          <w:rFonts w:ascii="楷体_GB2312" w:cs="楷体_GB2312" w:eastAsia="楷体_GB2312" w:hAnsi="楷体_GB2312"/>
          <w:b/>
          <w:bCs/>
          <w:color w:val="000000"/>
          <w:highlight w:val="none"/>
        </w:rPr>
        <w:t/>
      </w:r>
      <w:r>
        <w:rPr>
          <w:rFonts w:ascii="楷体_GB2312" w:cs="楷体_GB2312" w:eastAsia="楷体_GB2312" w:hAnsi="楷体_GB2312"/>
          <w:b/>
          <w:bCs/>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，产品代码为【</w:t>
      </w:r>
      <w:r>
        <w:rPr>
          <w:rFonts w:ascii="楷体_GB2312" w:cs="楷体_GB2312" w:eastAsia="楷体_GB2312" w:hAnsi="Arial"/>
          <w:color w:val="000000"/>
          <w:highlight w:val="none"/>
        </w:rPr>
        <w:t>AF265799</w:t>
      </w:r>
      <w:r>
        <w:rPr>
          <w:rFonts w:ascii="楷体_GB2312" w:cs="楷体_GB2312" w:eastAsia="楷体_GB2312" w:hAnsi="Arial" w:hint="eastAsia"/>
          <w:color w:themeColor="text1" w:val="000000"/>
          <w:highlight w:val="none"/>
          <w14:textFill>
            <w14:solidFill>
              <w14:schemeClr w14:val="tx1"/>
            </w14:solidFill>
          </w14:textFill>
        </w:rPr>
        <w:t>】，类型为公募</w:t>
      </w:r>
      <w:r>
        <w:rPr>
          <w:rFonts w:ascii="楷体_GB2312" w:cs="楷体_GB2312" w:eastAsia="楷体_GB2312" w:hAnsi="Arial"/>
          <w:color w:themeColor="text1" w:val="000000"/>
          <w:highlight w:val="none"/>
          <w14:textFill>
            <w14:solidFill>
              <w14:schemeClr w14:val="tx1"/>
            </w14:solidFill>
          </w14:textFill>
        </w:rPr>
        <w:t/>
      </w:r>
      <w:r>
        <w:rPr>
          <w:rFonts w:ascii="楷体_GB2312" w:cs="楷体_GB2312" w:eastAsia="楷体_GB2312" w:hAnsi="Arial" w:hint="eastAsia"/>
          <w:color w:themeColor="text1" w:val="000000"/>
          <w:highlight w:val="none"/>
          <w14:textFill>
            <w14:solidFill>
              <w14:schemeClr w14:val="tx1"/>
            </w14:solidFill>
          </w14:textFill>
        </w:rPr>
        <w:t>、【固定收益类</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w:t>
      </w:r>
      <w:r>
        <w:rPr>
          <w:rFonts w:ascii="楷体_GB2312" w:cs="楷体_GB2312" w:eastAsia="楷体_GB2312" w:hAnsi="Arial"/>
          <w:color w:themeColor="text1" w:val="000000"/>
          <w:highlight w:val="none"/>
          <w14:textFill>
            <w14:solidFill>
              <w14:schemeClr w14:val="tx1"/>
            </w14:solidFill>
          </w14:textFill>
        </w:rPr>
        <w:t>封闭式</w:t>
      </w:r>
      <w:r>
        <w:rPr>
          <w:rFonts w:ascii="楷体_GB2312" w:cs="楷体_GB2312" w:eastAsia="楷体_GB2312" w:hAnsi="Arial" w:hint="eastAsia"/>
          <w:color w:themeColor="text1" w:val="000000"/>
          <w:highlight w:val="none"/>
          <w14:textFill>
            <w14:solidFill>
              <w14:schemeClr w14:val="tx1"/>
            </w14:solidFill>
          </w14:textFill>
        </w:rPr>
        <w:t>产品，期限为【</w:t>
      </w:r>
      <w:r>
        <w:rPr>
          <w:rFonts w:ascii="楷体_GB2312" w:cs="楷体_GB2312" w:eastAsia="楷体_GB2312" w:hAnsi="Arial"/>
          <w:color w:themeColor="text1" w:val="000000"/>
          <w:highlight w:val="none"/>
          <w14:textFill>
            <w14:solidFill>
              <w14:schemeClr w14:val="tx1"/>
            </w14:solidFill>
          </w14:textFill>
        </w:rPr>
        <w:t>92</w:t>
      </w:r>
      <w:r>
        <w:rPr>
          <w:rFonts w:ascii="楷体_GB2312" w:cs="楷体_GB2312" w:eastAsia="楷体_GB2312" w:hAnsi="Arial" w:hint="eastAsia"/>
          <w:color w:themeColor="text1" w:val="000000"/>
          <w:highlight w:val="none"/>
          <w14:textFill>
            <w14:solidFill>
              <w14:schemeClr w14:val="tx1"/>
            </w14:solidFill>
          </w14:textFill>
        </w:rPr>
        <w:t>】天，</w:t>
      </w:r>
      <w:r>
        <w:rPr>
          <w:rFonts w:ascii="楷体_GB2312" w:cs="楷体_GB2312" w:eastAsia="楷体_GB2312" w:hAnsi="Arial" w:hint="eastAsia"/>
          <w:color w:val="000000"/>
          <w:highlight w:val="none"/>
        </w:rPr>
        <w:t>风险评级为【</w:t>
      </w:r>
      <w:r>
        <w:rPr>
          <w:rFonts w:ascii="楷体_GB2312" w:cs="楷体_GB2312" w:eastAsia="楷体_GB2312" w:hAnsi="Arial" w:hint="eastAsia"/>
          <w:highlight w:val="none"/>
        </w:rPr>
        <w:t>PR2</w:t>
      </w:r>
      <w:r>
        <w:rPr>
          <w:rFonts w:ascii="楷体_GB2312" w:cs="楷体_GB2312" w:eastAsia="楷体_GB2312" w:hAnsi="Arial"/>
          <w:highlight w:val="none"/>
        </w:rPr>
        <w:t/>
      </w:r>
      <w:r>
        <w:rPr>
          <w:rFonts w:ascii="楷体_GB2312" w:cs="楷体_GB2312" w:eastAsia="楷体_GB2312" w:hAnsi="Arial" w:hint="eastAsia"/>
          <w:color w:val="000000"/>
          <w:highlight w:val="none"/>
        </w:rPr>
        <w:t>】，适合购买客户为风险承受能力为【</w:t>
      </w:r>
      <w:r>
        <w:rPr>
          <w:rFonts w:ascii="楷体_GB2312" w:cs="楷体_GB2312" w:eastAsia="楷体_GB2312" w:hAnsi="Arial"/>
          <w:highlight w:val="none"/>
        </w:rPr>
        <w:t>稳健型</w:t>
      </w:r>
      <w:r>
        <w:rPr>
          <w:rFonts w:ascii="楷体_GB2312" w:cs="楷体_GB2312" w:eastAsia="楷体_GB2312" w:hAnsi="Arial" w:hint="eastAsia"/>
          <w:color w:val="000000"/>
          <w:highlight w:val="none"/>
        </w:rPr>
        <w:t>】及以上的客户。【固定收益类产品仅是按照投资性质分类，并非指收益固定或保本。】</w:t>
      </w:r>
      <w:r>
        <w:rPr>
          <w:rFonts w:ascii="楷体_GB2312" w:cs="楷体_GB2312" w:eastAsia="楷体_GB2312" w:hAnsi="Arial"/>
          <w:color w:val="000000"/>
          <w:highlight w:val="none"/>
        </w:rPr>
        <w:t/>
      </w:r>
    </w:p>
    <w:p w14:paraId="48CC1CE5">
      <w:pPr>
        <w:ind w:firstLine="480" w:firstLineChars="200"/>
        <w:jc w:val="both"/>
        <w:rPr>
          <w:rFonts w:ascii="Arial" w:cs="楷体_GB2312" w:eastAsia="楷体_GB2312" w:hAnsi="Arial" w:hint="default"/>
          <w:color w:themeColor="text1" w:val="000000"/>
          <w:highlight w:val="none"/>
          <w:lang w:eastAsia="zh-CN" w:val="en-US"/>
          <w14:textFill>
            <w14:solidFill>
              <w14:schemeClr w14:val="tx1"/>
            </w14:solidFill>
          </w14:textFill>
        </w:rPr>
      </w:pPr>
      <w:r>
        <w:rPr>
          <w:rFonts w:ascii="Arial" w:cs="楷体_GB2312" w:eastAsia="楷体_GB2312" w:hAnsi="Arial" w:hint="eastAsia"/>
          <w:color w:themeColor="text1" w:val="000000"/>
          <w:highlight w:val="none"/>
          <w:lang w:eastAsia="zh-CN" w:val="en-US"/>
          <w14:textFill>
            <w14:solidFill>
              <w14:schemeClr w14:val="tx1"/>
            </w14:solidFill>
          </w14:textFill>
        </w:rPr>
        <w:t>信银理财有权根据市场变化对产品风险等级进行调整，</w:t>
      </w:r>
      <w:r>
        <w:rPr>
          <w:rFonts w:ascii="Arial" w:cs="楷体_GB2312" w:eastAsia="楷体_GB2312" w:hAnsi="Arial" w:hint="eastAsia"/>
          <w:color w:themeColor="text1" w:val="000000"/>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cs="楷体_GB2312" w:eastAsia="楷体_GB2312" w:hAnsi="Arial"/>
          <w:color w:themeColor="text1" w:val="000000"/>
          <w:highlight w:val="none"/>
          <w14:textFill>
            <w14:solidFill>
              <w14:schemeClr w14:val="tx1"/>
            </w14:solidFill>
          </w14:textFill>
        </w:rPr>
      </w:pPr>
    </w:p>
    <w:p w14:paraId="5F0247FB">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r>
        <w:rPr>
          <w:rFonts w:ascii="黑体" w:cs="黑体" w:eastAsia="黑体" w:hAnsi="Times New Roman" w:hint="eastAsia"/>
          <w:color w:themeColor="text1" w:val="000000"/>
          <w:highlight w:val="none"/>
          <w14:textFill>
            <w14:solidFill>
              <w14:schemeClr w14:val="tx1"/>
            </w14:solidFill>
          </w14:textFill>
        </w:rPr>
        <w:t>重要提示</w:t>
      </w:r>
      <w:r>
        <w:rPr>
          <w:rFonts w:ascii="楷体_GB2312" w:cs="楷体_GB2312" w:eastAsia="楷体_GB2312" w:hAnsi="Arial" w:hint="eastAsia"/>
          <w:color w:themeColor="text1" w:val="000000"/>
          <w:highlight w:val="none"/>
          <w14:textFill>
            <w14:solidFill>
              <w14:schemeClr w14:val="tx1"/>
            </w14:solidFill>
          </w14:textFill>
        </w:rPr>
        <w:t>：信银理财</w:t>
      </w:r>
      <w:r>
        <w:rPr>
          <w:rFonts w:ascii="楷体_GB2312" w:cs="楷体_GB2312" w:eastAsia="楷体_GB2312" w:hAnsi="Arial"/>
          <w:color w:themeColor="text1" w:val="000000"/>
          <w:highlight w:val="none"/>
          <w14:textFill>
            <w14:solidFill>
              <w14:schemeClr w14:val="tx1"/>
            </w14:solidFill>
          </w14:textFill>
        </w:rPr>
        <w:t>作为本理财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管理人承诺以诚实守信、</w:t>
      </w:r>
      <w:r>
        <w:rPr>
          <w:rFonts w:ascii="楷体_GB2312" w:cs="楷体_GB2312" w:eastAsia="楷体_GB2312" w:hAnsi="Arial" w:hint="eastAsia"/>
          <w:color w:themeColor="text1" w:val="000000"/>
          <w:highlight w:val="none"/>
          <w14:textFill>
            <w14:solidFill>
              <w14:schemeClr w14:val="tx1"/>
            </w14:solidFill>
          </w14:textFill>
        </w:rPr>
        <w:t>勤勉</w:t>
      </w:r>
      <w:r>
        <w:rPr>
          <w:rFonts w:ascii="楷体_GB2312" w:cs="楷体_GB2312" w:eastAsia="楷体_GB2312" w:hAnsi="Arial"/>
          <w:color w:themeColor="text1" w:val="000000"/>
          <w:highlight w:val="none"/>
          <w14:textFill>
            <w14:solidFill>
              <w14:schemeClr w14:val="tx1"/>
            </w14:solidFill>
          </w14:textFill>
        </w:rPr>
        <w:t>尽职的原则管理和运用理财产品</w:t>
      </w:r>
      <w:r>
        <w:rPr>
          <w:rFonts w:ascii="楷体_GB2312" w:cs="楷体_GB2312" w:eastAsia="楷体_GB2312" w:hAnsi="Arial" w:hint="eastAsia"/>
          <w:color w:themeColor="text1" w:val="000000"/>
          <w:highlight w:val="none"/>
          <w14:textFill>
            <w14:solidFill>
              <w14:schemeClr w14:val="tx1"/>
            </w14:solidFill>
          </w14:textFill>
        </w:rPr>
        <w:t>资金</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但</w:t>
      </w:r>
      <w:r>
        <w:rPr>
          <w:rFonts w:ascii="楷体_GB2312" w:cs="楷体_GB2312" w:eastAsia="楷体_GB2312" w:hAnsi="Arial"/>
          <w:b/>
          <w:color w:themeColor="text1" w:val="000000"/>
          <w:highlight w:val="none"/>
          <w14:textFill>
            <w14:solidFill>
              <w14:schemeClr w14:val="tx1"/>
            </w14:solidFill>
          </w14:textFill>
        </w:rPr>
        <w:t>不保证</w:t>
      </w:r>
      <w:r>
        <w:rPr>
          <w:rFonts w:ascii="楷体_GB2312" w:cs="楷体_GB2312" w:eastAsia="楷体_GB2312" w:hAnsi="Arial" w:hint="eastAsia"/>
          <w:b/>
          <w:color w:themeColor="text1" w:val="000000"/>
          <w:highlight w:val="none"/>
          <w14:textFill>
            <w14:solidFill>
              <w14:schemeClr w14:val="tx1"/>
            </w14:solidFill>
          </w14:textFill>
        </w:rPr>
        <w:t>本金和</w:t>
      </w:r>
      <w:r>
        <w:rPr>
          <w:rFonts w:ascii="楷体_GB2312" w:cs="楷体_GB2312" w:eastAsia="楷体_GB2312" w:hAnsi="Arial"/>
          <w:b/>
          <w:color w:themeColor="text1" w:val="000000"/>
          <w:highlight w:val="none"/>
          <w14:textFill>
            <w14:solidFill>
              <w14:schemeClr w14:val="tx1"/>
            </w14:solidFill>
          </w14:textFill>
        </w:rPr>
        <w:t>收益，您可能因市场变动</w:t>
      </w:r>
      <w:r>
        <w:rPr>
          <w:rFonts w:ascii="楷体_GB2312" w:cs="楷体_GB2312" w:eastAsia="楷体_GB2312" w:hAnsi="Arial" w:hint="eastAsia"/>
          <w:b/>
          <w:color w:themeColor="text1" w:val="000000"/>
          <w:highlight w:val="none"/>
          <w14:textFill>
            <w14:solidFill>
              <w14:schemeClr w14:val="tx1"/>
            </w14:solidFill>
          </w14:textFill>
        </w:rPr>
        <w:t>而</w:t>
      </w:r>
      <w:r>
        <w:rPr>
          <w:rFonts w:ascii="楷体_GB2312" w:cs="楷体_GB2312" w:eastAsia="楷体_GB2312" w:hAnsi="Arial"/>
          <w:b/>
          <w:color w:themeColor="text1" w:val="000000"/>
          <w:highlight w:val="none"/>
          <w14:textFill>
            <w14:solidFill>
              <w14:schemeClr w14:val="tx1"/>
            </w14:solidFill>
          </w14:textFill>
        </w:rPr>
        <w:t>损失全部本金</w:t>
      </w:r>
      <w:r>
        <w:rPr>
          <w:rFonts w:ascii="楷体_GB2312" w:cs="楷体_GB2312" w:eastAsia="楷体_GB2312" w:hAnsi="Arial" w:hint="eastAsia"/>
          <w:b/>
          <w:color w:themeColor="text1" w:val="000000"/>
          <w:highlight w:val="none"/>
          <w14:textFill>
            <w14:solidFill>
              <w14:schemeClr w14:val="tx1"/>
            </w14:solidFill>
          </w14:textFill>
        </w:rPr>
        <w:t>且</w:t>
      </w:r>
      <w:r>
        <w:rPr>
          <w:rFonts w:ascii="楷体_GB2312" w:cs="楷体_GB2312" w:eastAsia="楷体_GB2312" w:hAnsi="Arial"/>
          <w:b/>
          <w:color w:themeColor="text1" w:val="000000"/>
          <w:highlight w:val="none"/>
          <w14:textFill>
            <w14:solidFill>
              <w14:schemeClr w14:val="tx1"/>
            </w14:solidFill>
          </w14:textFill>
        </w:rPr>
        <w:t>无法取得任何收益</w:t>
      </w:r>
      <w:r>
        <w:rPr>
          <w:rFonts w:ascii="楷体_GB2312" w:cs="楷体_GB2312" w:eastAsia="楷体_GB2312" w:hAnsi="Arial" w:hint="eastAsia"/>
          <w:color w:themeColor="text1" w:val="000000"/>
          <w:highlight w:val="none"/>
          <w14:textFill>
            <w14:solidFill>
              <w14:schemeClr w14:val="tx1"/>
            </w14:solidFill>
          </w14:textFill>
        </w:rPr>
        <w:t>。</w:t>
      </w:r>
      <w:r>
        <w:rPr>
          <w:rFonts w:ascii="楷体" w:eastAsia="楷体" w:hAnsi="楷体" w:hint="eastAsia"/>
          <w:b/>
          <w:highlight w:val="none"/>
        </w:rPr>
        <w:t>理财产品过往业绩不代表其未来表现，不等于理财产品实际收益，投资须谨慎。</w:t>
      </w:r>
      <w:r>
        <w:rPr>
          <w:rFonts w:ascii="楷体_GB2312" w:cs="楷体_GB2312" w:eastAsia="楷体_GB2312" w:hAnsi="Arial"/>
          <w:color w:themeColor="text1" w:val="000000"/>
          <w:highlight w:val="none"/>
          <w14:textFill>
            <w14:solidFill>
              <w14:schemeClr w14:val="tx1"/>
            </w14:solidFill>
          </w14:textFill>
        </w:rPr>
        <w:t>信银理财</w:t>
      </w:r>
      <w:r>
        <w:rPr>
          <w:rFonts w:ascii="楷体_GB2312" w:cs="楷体_GB2312" w:eastAsia="楷体_GB2312" w:hAnsi="Arial" w:hint="eastAsia"/>
          <w:color w:themeColor="text1" w:val="000000"/>
          <w:highlight w:val="none"/>
          <w14:textFill>
            <w14:solidFill>
              <w14:schemeClr w14:val="tx1"/>
            </w14:solidFill>
          </w14:textFill>
        </w:rPr>
        <w:t>提醒您</w:t>
      </w:r>
      <w:r>
        <w:rPr>
          <w:rFonts w:ascii="楷体_GB2312" w:cs="楷体_GB2312" w:eastAsia="楷体_GB2312" w:hAnsi="Arial"/>
          <w:color w:themeColor="text1" w:val="000000"/>
          <w:highlight w:val="none"/>
          <w14:textFill>
            <w14:solidFill>
              <w14:schemeClr w14:val="tx1"/>
            </w14:solidFill>
          </w14:textFill>
        </w:rPr>
        <w:t>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投资</w:t>
      </w:r>
      <w:r>
        <w:rPr>
          <w:rFonts w:ascii="楷体_GB2312" w:cs="楷体_GB2312" w:eastAsia="楷体_GB2312" w:hAnsi="Arial" w:hint="eastAsia"/>
          <w:color w:themeColor="text1" w:val="000000"/>
          <w:highlight w:val="none"/>
          <w14:textFill>
            <w14:solidFill>
              <w14:schemeClr w14:val="tx1"/>
            </w14:solidFill>
          </w14:textFill>
        </w:rPr>
        <w:t>风险</w:t>
      </w:r>
      <w:r>
        <w:rPr>
          <w:rFonts w:ascii="楷体_GB2312" w:cs="楷体_GB2312" w:eastAsia="楷体_GB2312" w:hAnsi="Arial"/>
          <w:color w:themeColor="text1" w:val="000000"/>
          <w:highlight w:val="none"/>
          <w14:textFill>
            <w14:solidFill>
              <w14:schemeClr w14:val="tx1"/>
            </w14:solidFill>
          </w14:textFill>
        </w:rPr>
        <w:t>由</w:t>
      </w:r>
      <w:r>
        <w:rPr>
          <w:rFonts w:ascii="楷体_GB2312" w:cs="楷体_GB2312" w:eastAsia="楷体_GB2312" w:hAnsi="Arial" w:hint="eastAsia"/>
          <w:color w:themeColor="text1" w:val="000000"/>
          <w:highlight w:val="none"/>
          <w14:textFill>
            <w14:solidFill>
              <w14:schemeClr w14:val="tx1"/>
            </w14:solidFill>
          </w14:textFill>
        </w:rPr>
        <w:t>买者自负</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您应充分认识投资风险，谨慎投资！</w:t>
      </w:r>
    </w:p>
    <w:p w14:paraId="3E5A27E4">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highlight w:val="none"/>
          <w14:textFill>
            <w14:solidFill>
              <w14:schemeClr w14:val="tx1"/>
            </w14:solidFill>
          </w14:textFill>
        </w:rPr>
      </w:pP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themeColor="text1" w:val="000000"/>
          <w:highlight w:val="none"/>
          <w:lang w:eastAsia="zh-CN" w:val="en-US"/>
          <w14:textFill>
            <w14:solidFill>
              <w14:schemeClr w14:val="tx1"/>
            </w14:solidFill>
          </w14:textFill>
        </w:rPr>
        <w:t>最不利投资情形</w:t>
      </w:r>
      <w:r>
        <w:rPr>
          <w:rFonts w:ascii="楷体_GB2312" w:cs="楷体_GB2312" w:eastAsia="楷体_GB2312" w:hAnsi="楷体_GB2312" w:hint="eastAsia"/>
          <w:b/>
          <w:bCs/>
          <w:color w:themeColor="text1" w:val="000000"/>
          <w:highlight w:val="none"/>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highlight w:val="none"/>
          <w14:textFill>
            <w14:solidFill>
              <w14:schemeClr w14:val="tx1"/>
            </w14:solidFill>
          </w14:textFill>
        </w:rPr>
        <w:t>1</w:t>
      </w:r>
      <w:r>
        <w:rPr>
          <w:rFonts w:ascii="楷体_GB2312" w:cs="楷体_GB2312" w:eastAsia="楷体_GB2312" w:hAnsi="楷体_GB2312" w:hint="eastAsia"/>
          <w:b/>
          <w:bCs/>
          <w:color w:themeColor="text1" w:val="000000"/>
          <w:highlight w:val="none"/>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highlight w:val="none"/>
          <w14:textFill>
            <w14:solidFill>
              <w14:schemeClr w14:val="tx1"/>
            </w14:solidFill>
          </w14:textFill>
        </w:rPr>
      </w:pPr>
    </w:p>
    <w:p w14:paraId="3F62ABD2">
      <w:pPr>
        <w:ind w:firstLine="482" w:firstLineChars="200"/>
        <w:jc w:val="both"/>
        <w:rPr>
          <w:rFonts w:ascii="黑体" w:eastAsia="黑体" w:hAnsi="黑体"/>
          <w:b/>
          <w:color w:themeColor="text1" w:val="000000"/>
          <w:highlight w:val="none"/>
          <w14:textFill>
            <w14:solidFill>
              <w14:schemeClr w14:val="tx1"/>
            </w14:solidFill>
          </w14:textFill>
        </w:rPr>
      </w:pPr>
      <w:r>
        <w:rPr>
          <w:rFonts w:ascii="黑体" w:eastAsia="黑体" w:hAnsi="黑体" w:hint="eastAsia"/>
          <w:b/>
          <w:color w:themeColor="text1" w:val="000000"/>
          <w:highlight w:val="none"/>
          <w14:textFill>
            <w14:solidFill>
              <w14:schemeClr w14:val="tx1"/>
            </w14:solidFill>
          </w14:textFill>
        </w:rPr>
        <w:t>理财非存款</w:t>
      </w:r>
      <w:r>
        <w:rPr>
          <w:rFonts w:ascii="黑体" w:eastAsia="黑体" w:hAnsi="黑体"/>
          <w:b/>
          <w:color w:themeColor="text1" w:val="000000"/>
          <w:highlight w:val="none"/>
          <w14:textFill>
            <w14:solidFill>
              <w14:schemeClr w14:val="tx1"/>
            </w14:solidFill>
          </w14:textFill>
        </w:rPr>
        <w:t>、产品</w:t>
      </w:r>
      <w:r>
        <w:rPr>
          <w:rFonts w:ascii="黑体" w:eastAsia="黑体" w:hAnsi="黑体" w:hint="eastAsia"/>
          <w:b/>
          <w:color w:themeColor="text1" w:val="000000"/>
          <w:highlight w:val="none"/>
          <w14:textFill>
            <w14:solidFill>
              <w14:schemeClr w14:val="tx1"/>
            </w14:solidFill>
          </w14:textFill>
        </w:rPr>
        <w:t>有</w:t>
      </w:r>
      <w:r>
        <w:rPr>
          <w:rFonts w:ascii="黑体" w:eastAsia="黑体" w:hAnsi="黑体"/>
          <w:b/>
          <w:color w:themeColor="text1" w:val="000000"/>
          <w:highlight w:val="none"/>
          <w14:textFill>
            <w14:solidFill>
              <w14:schemeClr w14:val="tx1"/>
            </w14:solidFill>
          </w14:textFill>
        </w:rPr>
        <w:t>风险、投资须谨慎</w:t>
      </w:r>
      <w:r>
        <w:rPr>
          <w:rFonts w:ascii="黑体" w:eastAsia="黑体" w:hAnsi="黑体" w:hint="eastAsia"/>
          <w:b/>
          <w:color w:themeColor="text1" w:val="000000"/>
          <w:highlight w:val="none"/>
          <w14:textFill>
            <w14:solidFill>
              <w14:schemeClr w14:val="tx1"/>
            </w14:solidFill>
          </w14:textFill>
        </w:rPr>
        <w:t>！</w:t>
      </w:r>
    </w:p>
    <w:p w14:paraId="1CDE6969">
      <w:pPr>
        <w:ind w:firstLine="482" w:firstLineChars="200"/>
        <w:jc w:val="both"/>
        <w:rPr>
          <w:rFonts w:ascii="黑体" w:eastAsia="黑体" w:hAnsi="黑体"/>
          <w:b/>
          <w:color w:themeColor="text1" w:val="000000"/>
          <w:highlight w:val="none"/>
          <w14:textFill>
            <w14:solidFill>
              <w14:schemeClr w14:val="tx1"/>
            </w14:solidFill>
          </w14:textFill>
        </w:rPr>
      </w:pPr>
    </w:p>
    <w:p w14:paraId="6131B3EA">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如影响您风险承受能力的因素发生变化，请及时完成风险承受能力评估。</w:t>
      </w:r>
      <w:r>
        <w:rPr>
          <w:rFonts w:ascii="楷体_GB2312" w:cs="楷体_GB2312" w:eastAsia="楷体_GB2312" w:hAnsi="Arial"/>
          <w:color w:themeColor="text1" w:val="000000"/>
          <w:highlight w:val="none"/>
          <w14:textFill>
            <w14:solidFill>
              <w14:schemeClr w14:val="tx1"/>
            </w14:solidFill>
          </w14:textFill>
        </w:rPr>
        <w:t xml:space="preserve"> </w:t>
      </w:r>
    </w:p>
    <w:p w14:paraId="0EB74BAF">
      <w:pPr>
        <w:jc w:val="right"/>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风险揭示方：信银理财有限责任公司</w:t>
      </w:r>
    </w:p>
    <w:p w14:paraId="7D9DAD7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27025074">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6FF55B5C">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EA580B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CA64456">
      <w:pPr>
        <w:jc w:val="cente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u w:val="single"/>
          <w14:textFill>
            <w14:solidFill>
              <w14:schemeClr w14:val="tx1"/>
            </w14:solidFill>
          </w14:textFill>
        </w:rPr>
        <w:t>客</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户</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确</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认</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栏</w:t>
      </w:r>
    </w:p>
    <w:p w14:paraId="045B8D76">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highlight w:val="none"/>
          <w14:textFill>
            <w14:solidFill>
              <w14:schemeClr w14:val="tx1"/>
            </w14:solidFill>
          </w14:textFill>
        </w:rPr>
        <w:t>代销机构</w:t>
      </w:r>
      <w:r>
        <w:rPr>
          <w:rFonts w:ascii="楷体_GB2312" w:cs="楷体_GB2312" w:eastAsia="楷体_GB2312" w:hAnsi="Arial" w:hint="eastAsia"/>
          <w:color w:themeColor="text1" w:val="000000"/>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highlight w:val="none"/>
          <w14:textFill>
            <w14:solidFill>
              <w14:schemeClr w14:val="tx1"/>
            </w14:solidFill>
          </w14:textFill>
        </w:rPr>
        <w:t>单位</w:t>
      </w:r>
      <w:r>
        <w:rPr>
          <w:rFonts w:ascii="楷体_GB2312" w:cs="楷体_GB2312" w:eastAsia="楷体_GB2312" w:hAnsi="Arial" w:hint="eastAsia"/>
          <w:color w:themeColor="text1" w:val="000000"/>
          <w:highlight w:val="none"/>
          <w14:textFill>
            <w14:solidFill>
              <w14:schemeClr w14:val="tx1"/>
            </w14:solidFill>
          </w14:textFill>
        </w:rPr>
        <w:t>予以说明，本人/本单位已完全理解并自愿接受。</w:t>
      </w:r>
      <w:r>
        <w:rPr>
          <w:rFonts w:ascii="楷体_GB2312" w:cs="楷体_GB2312" w:eastAsia="楷体_GB2312" w:hAnsi="Arial"/>
          <w:color w:themeColor="text1" w:val="000000"/>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themeColor="text1" w:val="000000"/>
          <w:highlight w:val="none"/>
          <w14:textFill>
            <w14:solidFill>
              <w14:schemeClr w14:val="tx1"/>
            </w14:solidFill>
          </w14:textFill>
        </w:rPr>
      </w:pPr>
    </w:p>
    <w:p w14:paraId="45A516E4">
      <w:pPr>
        <w:pStyle w:val="20"/>
        <w:ind w:firstLine="480" w:firstLineChars="0"/>
        <w:jc w:val="both"/>
        <w:rPr>
          <w:rFonts w:ascii="楷体_GB2312" w:eastAsia="楷体_GB2312"/>
          <w:b/>
          <w:color w:themeColor="text1" w:val="000000"/>
          <w:highlight w:val="none"/>
          <w14:textFill>
            <w14:solidFill>
              <w14:schemeClr w14:val="tx1"/>
            </w14:solidFill>
          </w14:textFill>
        </w:rPr>
      </w:pPr>
      <w:r>
        <w:rPr>
          <w:rFonts w:ascii="楷体_GB2312" w:eastAsia="楷体_GB2312" w:hint="eastAsia"/>
          <w:b/>
          <w:color w:themeColor="text1" w:val="000000"/>
          <w:highlight w:val="none"/>
          <w14:textFill>
            <w14:solidFill>
              <w14:schemeClr w14:val="tx1"/>
            </w14:solidFill>
          </w14:textFill>
        </w:rPr>
        <w:t>本人</w:t>
      </w:r>
      <w:r>
        <w:rPr>
          <w:rFonts w:ascii="楷体_GB2312" w:cs="楷体_GB2312" w:eastAsia="楷体_GB2312" w:hAnsi="Arial" w:hint="eastAsia"/>
          <w:b/>
          <w:color w:themeColor="text1" w:val="000000"/>
          <w:highlight w:val="none"/>
          <w14:textFill>
            <w14:solidFill>
              <w14:schemeClr w14:val="tx1"/>
            </w14:solidFill>
          </w14:textFill>
        </w:rPr>
        <w:t>/本单位</w:t>
      </w:r>
      <w:r>
        <w:rPr>
          <w:rFonts w:ascii="楷体_GB2312" w:eastAsia="楷体_GB2312" w:hint="eastAsia"/>
          <w:b/>
          <w:color w:themeColor="text1" w:val="000000"/>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highlight w:val="none"/>
          <w14:textFill>
            <w14:solidFill>
              <w14:schemeClr w14:val="tx1"/>
            </w14:solidFill>
          </w14:textFill>
        </w:rPr>
        <w:t>/盖章确认，自主承担投资风险。本人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相应的后果和责任，并有权拒绝向本人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themeColor="text1" w:val="000000"/>
          <w:highlight w:val="none"/>
          <w14:textFill>
            <w14:solidFill>
              <w14:schemeClr w14:val="tx1"/>
            </w14:solidFill>
          </w14:textFill>
        </w:rPr>
      </w:pPr>
      <w:r>
        <w:rPr>
          <w:rFonts w:ascii="楷体_GB2312" w:eastAsia="楷体_GB2312" w:hint="eastAsia"/>
          <w:color w:themeColor="text1" w:val="000000"/>
          <w:highlight w:val="none"/>
          <w14:textFill>
            <w14:solidFill>
              <w14:schemeClr w14:val="tx1"/>
            </w14:solidFill>
          </w14:textFill>
        </w:rPr>
        <w:t>本人</w:t>
      </w:r>
      <w:r>
        <w:rPr>
          <w:rFonts w:ascii="楷体_GB2312" w:cs="楷体_GB2312" w:eastAsia="楷体_GB2312" w:hAnsi="Arial" w:hint="eastAsia"/>
          <w:color w:themeColor="text1" w:val="000000"/>
          <w:highlight w:val="none"/>
          <w14:textFill>
            <w14:solidFill>
              <w14:schemeClr w14:val="tx1"/>
            </w14:solidFill>
          </w14:textFill>
        </w:rPr>
        <w:t>/本单位</w:t>
      </w:r>
      <w:r>
        <w:rPr>
          <w:rFonts w:ascii="楷体_GB2312" w:eastAsia="楷体_GB2312" w:hint="eastAsia"/>
          <w:color w:themeColor="text1" w:val="000000"/>
          <w:highlight w:val="none"/>
          <w14:textFill>
            <w14:solidFill>
              <w14:schemeClr w14:val="tx1"/>
            </w14:solidFill>
          </w14:textFill>
        </w:rPr>
        <w:t>确认</w:t>
      </w:r>
      <w:r>
        <w:rPr>
          <w:rFonts w:ascii="楷体_GB2312" w:eastAsia="楷体_GB2312"/>
          <w:color w:themeColor="text1" w:val="000000"/>
          <w:highlight w:val="none"/>
          <w14:textFill>
            <w14:solidFill>
              <w14:schemeClr w14:val="tx1"/>
            </w14:solidFill>
          </w14:textFill>
        </w:rPr>
        <w:t>，</w:t>
      </w:r>
      <w:r>
        <w:rPr>
          <w:rFonts w:ascii="楷体_GB2312" w:eastAsia="楷体_GB2312" w:hint="eastAsia"/>
          <w:color w:themeColor="text1" w:val="000000"/>
          <w:highlight w:val="none"/>
          <w14:textFill>
            <w14:solidFill>
              <w14:schemeClr w14:val="tx1"/>
            </w14:solidFill>
          </w14:textFill>
        </w:rPr>
        <w:t>投资</w:t>
      </w:r>
      <w:r>
        <w:rPr>
          <w:rFonts w:ascii="楷体_GB2312" w:eastAsia="楷体_GB2312"/>
          <w:color w:themeColor="text1" w:val="000000"/>
          <w:highlight w:val="none"/>
          <w14:textFill>
            <w14:solidFill>
              <w14:schemeClr w14:val="tx1"/>
            </w14:solidFill>
          </w14:textFill>
        </w:rPr>
        <w:t>本理财产品的</w:t>
      </w:r>
      <w:r>
        <w:rPr>
          <w:rFonts w:ascii="楷体_GB2312" w:eastAsia="楷体_GB2312" w:hint="eastAsia"/>
          <w:color w:themeColor="text1" w:val="000000"/>
          <w:highlight w:val="none"/>
          <w14:textFill>
            <w14:solidFill>
              <w14:schemeClr w14:val="tx1"/>
            </w14:solidFill>
          </w14:textFill>
        </w:rPr>
        <w:t>资金非贷款</w:t>
      </w:r>
      <w:r>
        <w:rPr>
          <w:rFonts w:ascii="楷体_GB2312" w:eastAsia="楷体_GB2312"/>
          <w:color w:themeColor="text1" w:val="000000"/>
          <w:highlight w:val="none"/>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highlight w:val="none"/>
          <w14:textFill>
            <w14:solidFill>
              <w14:schemeClr w14:val="tx1"/>
            </w14:solidFill>
          </w14:textFill>
        </w:rPr>
        <w:t>理财及代销机构</w:t>
      </w:r>
      <w:r>
        <w:rPr>
          <w:rFonts w:ascii="楷体_GB2312" w:cs="楷体_GB2312" w:eastAsia="楷体_GB2312" w:hAnsi="Arial" w:hint="eastAsia"/>
          <w:color w:themeColor="text1" w:val="000000"/>
          <w:highlight w:val="none"/>
          <w14:textFill>
            <w14:solidFill>
              <w14:schemeClr w14:val="tx1"/>
            </w14:solidFill>
          </w14:textFill>
        </w:rPr>
        <w:t>联系方式及投诉程序等内容。</w:t>
      </w:r>
    </w:p>
    <w:p w14:paraId="63C2AE0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56A3E1B8">
      <w:pPr>
        <w:ind w:firstLine="480" w:firstLineChars="200"/>
        <w:jc w:val="both"/>
        <w:rPr>
          <w:color w:themeColor="text1" w:val="000000"/>
          <w:highlight w:val="none"/>
          <w14:textFill>
            <w14:solidFill>
              <w14:schemeClr w14:val="tx1"/>
            </w14:solidFill>
          </w14:textFill>
        </w:rPr>
      </w:pPr>
    </w:p>
    <w:p w14:paraId="17873AF1">
      <w:pPr>
        <w:ind w:firstLine="480" w:firstLineChars="200"/>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本人/本单位确认如下：</w:t>
      </w:r>
      <w:r>
        <w:rPr>
          <w:rFonts w:ascii="楷体_GB2312" w:cs="楷体_GB2312" w:eastAsia="楷体_GB2312" w:hAnsi="Arial"/>
          <w:color w:themeColor="text1" w:val="000000"/>
          <w:highlight w:val="none"/>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21546DCB">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本理财产品可能委托信银理财的关联方</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托管或</w:t>
      </w:r>
      <w:r>
        <w:rPr>
          <w:rFonts w:ascii="楷体_GB2312" w:cs="楷体_GB2312" w:eastAsia="楷体_GB2312" w:hAnsi="Arial" w:hint="eastAsia"/>
          <w:b/>
          <w:bCs/>
          <w:color w:themeColor="text1" w:val="000000"/>
          <w:highlight w:val="none"/>
          <w14:textFill>
            <w14:solidFill>
              <w14:schemeClr w14:val="tx1"/>
            </w14:solidFill>
          </w14:textFill>
        </w:rPr>
        <w:t>销售</w:t>
      </w:r>
      <w:r>
        <w:rPr>
          <w:rFonts w:ascii="楷体_GB2312" w:cs="楷体_GB2312" w:eastAsia="楷体_GB2312" w:hAnsi="Arial" w:hint="eastAsia"/>
          <w:b/>
          <w:bCs/>
          <w:color w:themeColor="text1" w:val="000000"/>
          <w:highlight w:val="none"/>
          <w:lang w:eastAsia="zh-CN"/>
          <w14:textFill>
            <w14:solidFill>
              <w14:schemeClr w14:val="tx1"/>
            </w14:solidFill>
          </w14:textFill>
        </w:rPr>
        <w:t>。</w:t>
      </w:r>
      <w:r>
        <w:rPr>
          <w:rFonts w:ascii="楷体_GB2312" w:cs="楷体_GB2312" w:eastAsia="楷体_GB2312" w:hAnsi="Arial" w:hint="eastAsia"/>
          <w:b/>
          <w:bCs/>
          <w:color w:themeColor="text1" w:val="000000"/>
          <w:highlight w:val="none"/>
          <w14:textFill>
            <w14:solidFill>
              <w14:schemeClr w14:val="tx1"/>
            </w14:solidFill>
          </w14:textFill>
        </w:rPr>
        <w:t>信银理财委托</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关联方托管或</w:t>
      </w:r>
      <w:r>
        <w:rPr>
          <w:rFonts w:ascii="楷体_GB2312" w:cs="楷体_GB2312" w:eastAsia="楷体_GB2312" w:hAnsi="Arial" w:hint="eastAsia"/>
          <w:b/>
          <w:bCs/>
          <w:color w:themeColor="text1" w:val="000000"/>
          <w:highlight w:val="none"/>
          <w14:textFill>
            <w14:solidFill>
              <w14:schemeClr w14:val="tx1"/>
            </w14:solidFill>
          </w14:textFill>
        </w:rPr>
        <w:t>销售本理财产品的，存在关联交易风险，请投资者仔细阅读</w:t>
      </w:r>
      <w:r>
        <w:rPr>
          <w:rFonts w:ascii="楷体_GB2312" w:cs="楷体_GB2312" w:eastAsia="楷体_GB2312" w:hAnsi="Arial" w:hint="eastAsia"/>
          <w:b/>
          <w:color w:themeColor="text1" w:val="000000"/>
          <w:highlight w:val="none"/>
          <w14:textFill>
            <w14:solidFill>
              <w14:schemeClr w14:val="tx1"/>
            </w14:solidFill>
          </w14:textFill>
        </w:rPr>
        <w:t>理财产品说明书中相应风险揭示部分</w:t>
      </w:r>
      <w:r>
        <w:rPr>
          <w:rFonts w:ascii="楷体_GB2312" w:cs="楷体_GB2312" w:eastAsia="楷体_GB2312" w:hAnsi="Arial" w:hint="eastAsia"/>
          <w:b/>
          <w:color w:themeColor="text1" w:val="000000"/>
          <w:highlight w:val="none"/>
          <w:lang w:eastAsia="zh-CN" w:val="en-US"/>
          <w14:textFill>
            <w14:solidFill>
              <w14:schemeClr w14:val="tx1"/>
            </w14:solidFill>
          </w14:textFill>
        </w:rPr>
        <w:t>以及本理财产品披露的销售机构及托管人</w:t>
      </w:r>
      <w:r>
        <w:rPr>
          <w:rFonts w:ascii="楷体_GB2312" w:cs="楷体_GB2312" w:eastAsia="楷体_GB2312" w:hAnsi="Arial" w:hint="eastAsia"/>
          <w:b/>
          <w:bCs/>
          <w:color w:themeColor="text1" w:val="000000"/>
          <w:highlight w:val="none"/>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highlight w:val="none"/>
          <w14:textFill>
            <w14:solidFill>
              <w14:schemeClr w14:val="tx1"/>
            </w14:solidFill>
          </w14:textFill>
        </w:rPr>
      </w:pPr>
    </w:p>
    <w:p w14:paraId="57B32EB0">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highlight w:val="none"/>
          <w14:textFill>
            <w14:solidFill>
              <w14:schemeClr w14:val="tx1"/>
            </w14:solidFill>
          </w14:textFill>
        </w:rPr>
        <w:t> </w:t>
      </w:r>
      <w:r>
        <w:rPr>
          <w:rFonts w:ascii="Arial" w:cs="Arial" w:hAnsi="Arial"/>
          <w:color w:themeColor="text1" w:val="000000"/>
          <w:sz w:val="18"/>
          <w:szCs w:val="18"/>
          <w:highlight w:val="none"/>
          <w14:textFill>
            <w14:solidFill>
              <w14:schemeClr w14:val="tx1"/>
            </w14:solidFill>
          </w14:textFill>
        </w:rPr>
        <w:t> </w:t>
      </w:r>
    </w:p>
    <w:p w14:paraId="2C680FE1">
      <w:pPr>
        <w:snapToGrid w:val="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int="eastAsia"/>
          <w:b/>
          <w:bCs/>
          <w:color w:themeColor="text1" w:val="000000"/>
          <w:highlight w:val="none"/>
          <w14:textFill>
            <w14:solidFill>
              <w14:schemeClr w14:val="tx1"/>
            </w14:solidFill>
          </w14:textFill>
        </w:rPr>
        <w:t>本人/本单位已经阅读风险揭示，愿意承担投资风险</w:t>
      </w:r>
      <w:r>
        <w:rPr>
          <w:rFonts w:ascii="楷体_GB2312" w:cs="楷体_GB2312" w:eastAsia="楷体_GB2312" w:hint="eastAsia"/>
          <w:color w:themeColor="text1" w:val="000000"/>
          <w:highlight w:val="none"/>
          <w14:textFill>
            <w14:solidFill>
              <w14:schemeClr w14:val="tx1"/>
            </w14:solidFill>
          </w14:textFill>
        </w:rPr>
        <w:t>。）</w:t>
      </w:r>
    </w:p>
    <w:p w14:paraId="49D6EBD1">
      <w:pPr>
        <w:snapToGrid w:val="0"/>
        <w:rPr>
          <w:rFonts w:ascii="楷体_GB2312" w:eastAsia="楷体_GB2312"/>
          <w:color w:themeColor="text1" w:val="000000"/>
          <w:highlight w:val="none"/>
          <w:u w:val="single"/>
          <w14:textFill>
            <w14:solidFill>
              <w14:schemeClr w14:val="tx1"/>
            </w14:solidFill>
          </w14:textFill>
        </w:rPr>
      </w:pP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p>
    <w:p w14:paraId="767C37E0">
      <w:pPr>
        <w:snapToGrid w:val="0"/>
        <w:rPr>
          <w:rFonts w:ascii="楷体_GB2312" w:eastAsia="楷体_GB2312"/>
          <w:color w:themeColor="text1" w:val="000000"/>
          <w:highlight w:val="none"/>
          <w:u w:val="single"/>
          <w14:textFill>
            <w14:solidFill>
              <w14:schemeClr w14:val="tx1"/>
            </w14:solidFill>
          </w14:textFill>
        </w:rPr>
      </w:pPr>
    </w:p>
    <w:p w14:paraId="3283F598">
      <w:pPr>
        <w:snapToGrid w:val="0"/>
        <w:ind w:right="440"/>
        <w:rPr>
          <w:rFonts w:ascii="楷体_GB2312" w:cs="楷体_GB2312" w:eastAsia="楷体_GB2312"/>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个人客户（签字）：                机构客户（盖章）：</w:t>
      </w:r>
    </w:p>
    <w:p w14:paraId="090DF99D">
      <w:pPr>
        <w:snapToGrid w:val="0"/>
        <w:ind w:left="-426" w:right="440"/>
        <w:rPr>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                               法定代表人或负责人（签字或签章）：</w:t>
      </w:r>
    </w:p>
    <w:p w14:paraId="37549A0E">
      <w:pPr>
        <w:snapToGrid w:val="0"/>
        <w:ind w:right="440"/>
        <w:rPr>
          <w:color w:themeColor="text1" w:val="000000"/>
          <w:highlight w:val="none"/>
          <w14:textFill>
            <w14:solidFill>
              <w14:schemeClr w14:val="tx1"/>
            </w14:solidFill>
          </w14:textFill>
        </w:rPr>
      </w:pPr>
      <w:r>
        <w:rPr>
          <w:color w:themeColor="text1" w:val="000000"/>
          <w:highlight w:val="none"/>
          <w14:textFill>
            <w14:solidFill>
              <w14:schemeClr w14:val="tx1"/>
            </w14:solidFill>
          </w14:textFill>
        </w:rPr>
        <w:t> </w:t>
      </w:r>
    </w:p>
    <w:p w14:paraId="4602A6ED">
      <w:pPr>
        <w:snapToGrid w:val="0"/>
        <w:ind w:right="440"/>
        <w:rPr>
          <w:rFonts w:ascii="黑体" w:cs="Arial" w:eastAsia="黑体" w:hAnsi="Times New Roman"/>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日期：年 月 日                    日期：年 月 日</w:t>
      </w:r>
    </w:p>
    <w:bookmarkEnd w:id="0"/>
    <w:p w14:paraId="44EB9DE1">
      <w:pPr>
        <w:snapToGrid w:val="0"/>
        <w:ind w:right="440"/>
        <w:rPr>
          <w:rFonts w:ascii="黑体" w:cs="Arial" w:eastAsia="黑体" w:hAnsi="Times New Roman"/>
          <w:highlight w:val="none"/>
        </w:rPr>
      </w:pPr>
    </w:p>
    <w:p w14:paraId="7B37D738">
      <w:pPr>
        <w:snapToGrid w:val="0"/>
        <w:ind w:right="440"/>
        <w:rPr>
          <w:rFonts w:ascii="黑体" w:cs="Arial" w:eastAsia="黑体" w:hAnsi="Times New Roman"/>
          <w:highlight w:val="none"/>
        </w:rPr>
        <w:sectPr>
          <w:headerReference r:id="rId5" w:type="default"/>
          <w:pgSz w:h="16838" w:w="11906"/>
          <w:pgMar w:bottom="1440" w:footer="992" w:gutter="0" w:header="851" w:left="1797" w:right="1797" w:top="1440"/>
          <w:pgNumType w:start="1"/>
          <w:cols w:num="1" w:space="720"/>
          <w:docGrid w:charSpace="0" w:linePitch="326"/>
        </w:sectPr>
      </w:pPr>
    </w:p>
    <w:p w14:paraId="06C40A91">
      <w:pPr>
        <w:spacing w:line="300" w:lineRule="exact"/>
        <w:jc w:val="both"/>
        <w:rPr>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理财产品登记编码:</w:t>
      </w:r>
      <w:r>
        <w:rPr>
          <w:rFonts w:hint="eastAsia"/>
          <w:color w:themeColor="text1" w:val="000000"/>
          <w:highlight w:val="none"/>
          <w14:textFill>
            <w14:solidFill>
              <w14:schemeClr w14:val="tx1"/>
            </w14:solidFill>
          </w14:textFill>
        </w:rPr>
        <w:t>【</w:t>
      </w:r>
      <w:r>
        <w:rPr>
          <w:color w:themeColor="text1" w:val="000000"/>
          <w:highlight w:val="none"/>
          <w14:textFill>
            <w14:solidFill>
              <w14:schemeClr w14:val="tx1"/>
            </w14:solidFill>
          </w14:textFill>
        </w:rPr>
        <w:t>Z7002626001712】</w:t>
      </w:r>
    </w:p>
    <w:p w14:paraId="14894ADD">
      <w:pPr>
        <w:spacing w:line="300" w:lineRule="exact"/>
        <w:ind w:right="89" w:rightChars="37"/>
        <w:rPr>
          <w:rFonts w:ascii="黑体" w:eastAsia="黑体" w:hAnsi="黑体"/>
          <w:sz w:val="21"/>
          <w:szCs w:val="21"/>
          <w:highlight w:val="none"/>
        </w:rPr>
      </w:pPr>
      <w:r>
        <w:rPr>
          <w:rFonts w:ascii="黑体" w:eastAsia="黑体" w:hAnsi="黑体" w:hint="eastAsia"/>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highlight w:val="none"/>
        </w:rPr>
        <w:t>www.chinawealth.com.cn）上查询本产品相关信息。</w:t>
      </w:r>
    </w:p>
    <w:p w14:paraId="11882F74">
      <w:pPr>
        <w:spacing w:line="300" w:lineRule="exact"/>
        <w:ind w:right="89" w:rightChars="37"/>
        <w:rPr>
          <w:rFonts w:ascii="黑体" w:eastAsia="黑体" w:hAnsi="黑体"/>
          <w:sz w:val="21"/>
          <w:szCs w:val="21"/>
          <w:highlight w:val="none"/>
        </w:rPr>
      </w:pPr>
    </w:p>
    <w:p w14:paraId="60039533">
      <w:pPr>
        <w:spacing w:line="300" w:lineRule="exact"/>
        <w:ind w:right="89" w:rightChars="37"/>
        <w:rPr>
          <w:rFonts w:ascii="黑体" w:eastAsia="黑体" w:hAnsi="黑体"/>
          <w:b/>
          <w:sz w:val="28"/>
          <w:szCs w:val="28"/>
          <w:highlight w:val="none"/>
        </w:rPr>
      </w:pPr>
      <w:r>
        <w:rPr>
          <w:rFonts w:ascii="黑体" w:eastAsia="黑体" w:hAnsi="黑体" w:hint="eastAsia"/>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highlight w:val="none"/>
        </w:rPr>
        <w:t>www.chinawealth.com.cn）上查询到产品相关信息，则该产品非信银理财发行产品。</w:t>
      </w:r>
    </w:p>
    <w:p w14:paraId="6AFAA48A">
      <w:pPr>
        <w:spacing w:line="300" w:lineRule="exact"/>
        <w:ind w:right="-792" w:rightChars="-330"/>
        <w:rPr>
          <w:rFonts w:ascii="黑体" w:eastAsia="黑体" w:hAnsi="黑体"/>
          <w:color w:themeColor="text1" w:val="000000"/>
          <w:sz w:val="21"/>
          <w:szCs w:val="21"/>
          <w:highlight w:val="none"/>
          <w14:textFill>
            <w14:solidFill>
              <w14:schemeClr w14:val="tx1"/>
            </w14:solidFill>
          </w14:textFill>
        </w:rPr>
      </w:pPr>
    </w:p>
    <w:p w14:paraId="2006040B">
      <w:pPr>
        <w:spacing w:line="300" w:lineRule="exact"/>
        <w:ind w:right="-792" w:rightChars="-330"/>
        <w:jc w:val="center"/>
        <w:rPr>
          <w:rFonts w:ascii="黑体" w:cs="黑体" w:eastAsia="黑体"/>
          <w:b/>
          <w:bCs/>
          <w:color w:themeColor="text1" w:val="000000"/>
          <w:sz w:val="28"/>
          <w:szCs w:val="28"/>
          <w:highlight w:val="none"/>
          <w14:textFill>
            <w14:solidFill>
              <w14:schemeClr w14:val="tx1"/>
            </w14:solidFill>
          </w14:textFill>
        </w:rPr>
      </w:pPr>
      <w:r>
        <w:rPr>
          <w:rFonts w:ascii="黑体" w:cs="黑体" w:eastAsia="黑体" w:hint="eastAsia"/>
          <w:b/>
          <w:bCs/>
          <w:color w:themeColor="text1" w:val="000000"/>
          <w:sz w:val="28"/>
          <w:szCs w:val="28"/>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8"/>
          <w:szCs w:val="28"/>
          <w:highlight w:val="none"/>
          <w14:textFill>
            <w14:solidFill>
              <w14:schemeClr w14:val="tx1"/>
            </w14:solidFill>
          </w14:textFill>
        </w:rPr>
      </w:pPr>
      <w:r>
        <w:rPr>
          <w:rFonts w:ascii="黑体" w:cs="黑体" w:eastAsia="黑体" w:hAnsi="Calibri" w:hint="eastAsia"/>
          <w:b/>
          <w:bCs/>
          <w:color w:themeColor="text1" w:val="000000"/>
          <w:sz w:val="28"/>
          <w:szCs w:val="28"/>
          <w:highlight w:val="none"/>
          <w14:textFill>
            <w14:solidFill>
              <w14:schemeClr w14:val="tx1"/>
            </w14:solidFill>
          </w14:textFill>
        </w:rPr>
        <w:t>产品</w:t>
      </w:r>
      <w:r>
        <w:rPr>
          <w:rFonts w:ascii="黑体" w:cs="黑体" w:eastAsia="黑体" w:hAnsi="Times New Roman" w:hint="eastAsia"/>
          <w:b/>
          <w:bCs/>
          <w:color w:themeColor="text1" w:val="000000"/>
          <w:sz w:val="28"/>
          <w:szCs w:val="28"/>
          <w:highlight w:val="none"/>
          <w14:textFill>
            <w14:solidFill>
              <w14:schemeClr w14:val="tx1"/>
            </w14:solidFill>
          </w14:textFill>
        </w:rPr>
        <w:t>名称：</w:t>
      </w:r>
      <w:r>
        <w:rPr>
          <w:rFonts w:ascii="黑体" w:cs="黑体" w:eastAsia="黑体" w:hAnsi="Calibri" w:hint="eastAsia"/>
          <w:b/>
          <w:bCs/>
          <w:color w:themeColor="text1" w:val="000000"/>
          <w:sz w:val="28"/>
          <w:szCs w:val="28"/>
          <w:highlight w:val="none"/>
          <w14:textFill>
            <w14:solidFill>
              <w14:schemeClr w14:val="tx1"/>
            </w14:solidFill>
          </w14:textFill>
        </w:rPr>
        <w:t>【</w:t>
      </w:r>
      <w:r>
        <w:rPr>
          <w:rFonts w:ascii="黑体" w:cs="黑体" w:eastAsia="黑体" w:hAnsi="Calibri" w:hint="eastAsia"/>
          <w:b/>
          <w:bCs/>
          <w:sz w:val="28"/>
          <w:szCs w:val="28"/>
          <w:highlight w:val="none"/>
        </w:rPr>
        <w:t>信银理财安盈象固收稳利封闭式1118号理财产品</w:t>
      </w:r>
      <w:r>
        <w:rPr>
          <w:rFonts w:ascii="黑体" w:cs="黑体" w:eastAsia="黑体" w:hAnsi="Calibri"/>
          <w:b/>
          <w:bCs/>
          <w:sz w:val="28"/>
          <w:szCs w:val="28"/>
          <w:highlight w:val="none"/>
        </w:rPr>
        <w:t/>
      </w:r>
      <w:r>
        <w:rPr>
          <w:rFonts w:ascii="黑体" w:cs="黑体" w:eastAsia="黑体" w:hAnsi="Calibri" w:hint="eastAsia"/>
          <w:b/>
          <w:bCs/>
          <w:color w:themeColor="text1" w:val="000000"/>
          <w:sz w:val="28"/>
          <w:szCs w:val="28"/>
          <w:highlight w:val="none"/>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8"/>
          <w:szCs w:val="28"/>
          <w:highlight w:val="none"/>
          <w14:textFill>
            <w14:solidFill>
              <w14:schemeClr w14:val="tx1"/>
            </w14:solidFill>
          </w14:textFill>
        </w:rPr>
      </w:pPr>
      <w:r>
        <w:rPr>
          <w:rFonts w:ascii="黑体" w:cs="黑体" w:eastAsia="黑体" w:hAnsi="Calibri" w:hint="eastAsia"/>
          <w:b/>
          <w:bCs/>
          <w:color w:themeColor="text1" w:val="000000"/>
          <w:sz w:val="28"/>
          <w:szCs w:val="28"/>
          <w:highlight w:val="none"/>
          <w14:textFill>
            <w14:solidFill>
              <w14:schemeClr w14:val="tx1"/>
            </w14:solidFill>
          </w14:textFill>
        </w:rPr>
        <w:t>产品代码</w:t>
      </w:r>
      <w:r>
        <w:rPr>
          <w:rFonts w:ascii="黑体" w:cs="黑体" w:eastAsia="黑体" w:hAnsi="Calibri"/>
          <w:b/>
          <w:bCs/>
          <w:color w:themeColor="text1" w:val="000000"/>
          <w:sz w:val="28"/>
          <w:szCs w:val="28"/>
          <w:highlight w:val="none"/>
          <w14:textFill>
            <w14:solidFill>
              <w14:schemeClr w14:val="tx1"/>
            </w14:solidFill>
          </w14:textFill>
        </w:rPr>
        <w:t>：【</w:t>
      </w:r>
      <w:r>
        <w:rPr>
          <w:rFonts w:ascii="黑体" w:cs="黑体" w:eastAsia="黑体" w:hAnsi="Calibri"/>
          <w:b/>
          <w:bCs/>
          <w:sz w:val="28"/>
          <w:szCs w:val="28"/>
          <w:highlight w:val="none"/>
        </w:rPr>
        <w:t>AF265799</w:t>
      </w:r>
      <w:r>
        <w:rPr>
          <w:rFonts w:ascii="黑体" w:cs="黑体" w:eastAsia="黑体" w:hAnsi="Calibri"/>
          <w:b/>
          <w:bCs/>
          <w:color w:themeColor="text1" w:val="000000"/>
          <w:sz w:val="28"/>
          <w:szCs w:val="28"/>
          <w:highlight w:val="none"/>
          <w14:textFill>
            <w14:solidFill>
              <w14:schemeClr w14:val="tx1"/>
            </w14:solidFill>
          </w14:textFill>
        </w:rPr>
        <w:t>】</w:t>
      </w:r>
    </w:p>
    <w:p w14:paraId="7FE49EE9">
      <w:pPr>
        <w:spacing w:line="300" w:lineRule="exact"/>
        <w:ind w:right="-792" w:rightChars="-330"/>
        <w:rPr>
          <w:color w:themeColor="text1" w:val="000000"/>
          <w:highlight w:val="none"/>
          <w14:textFill>
            <w14:solidFill>
              <w14:schemeClr w14:val="tx1"/>
            </w14:solidFill>
          </w14:textFill>
        </w:rPr>
      </w:pPr>
    </w:p>
    <w:tbl>
      <w:tblPr>
        <w:tblStyle w:val="9"/>
        <w:tblW w:type="dxa" w:w="9604"/>
        <w:tblInd w:type="dxa" w:w="-693"/>
        <w:tblLayout w:type="autofit"/>
        <w:tblCellMar>
          <w:top w:type="dxa" w:w="0"/>
          <w:left w:type="dxa" w:w="108"/>
          <w:bottom w:type="dxa" w:w="0"/>
          <w:right w:type="dxa" w:w="108"/>
        </w:tblCellMar>
      </w:tblPr>
      <w:tblGrid>
        <w:gridCol w:w="2842"/>
        <w:gridCol w:w="6762"/>
      </w:tblGrid>
      <w:tr w14:paraId="33F4B7C6">
        <w:tblPrEx>
          <w:tblCellMar>
            <w:top w:type="dxa" w:w="0"/>
            <w:left w:type="dxa" w:w="108"/>
            <w:bottom w:type="dxa" w:w="0"/>
            <w:right w:type="dxa" w:w="108"/>
          </w:tblCellMar>
        </w:tblPrEx>
        <w:trPr>
          <w:trHeight w:hRule="atLeast" w:val="538"/>
        </w:trPr>
        <w:tc>
          <w:tcPr>
            <w:tcW w:type="dxa" w:w="9604"/>
            <w:gridSpan w:val="2"/>
            <w:tcBorders>
              <w:top w:color="000000" w:space="0" w:sz="8" w:val="single"/>
              <w:left w:color="000000" w:space="0" w:sz="8" w:val="single"/>
              <w:bottom w:color="000000" w:space="0" w:sz="4" w:val="single"/>
              <w:right w:color="000000" w:space="0" w:sz="8" w:val="single"/>
            </w:tcBorders>
            <w:vAlign w:val="center"/>
          </w:tcPr>
          <w:p w14:paraId="219D8B46">
            <w:pPr>
              <w:spacing w:line="300" w:lineRule="exact"/>
              <w:ind w:right="89" w:rightChars="37"/>
              <w:jc w:val="center"/>
              <w:rPr>
                <w:rFonts w:ascii="方正小标宋简体" w:cs="方正小标宋简体" w:eastAsia="方正小标宋简体" w:hAnsi="方正小标宋简体" w:hint="eastAsia"/>
                <w:color w:val="000000"/>
                <w:sz w:val="40"/>
                <w:szCs w:val="40"/>
                <w:highlight w:val="none"/>
              </w:rPr>
            </w:pPr>
            <w:r>
              <w:rPr>
                <w:rFonts w:ascii="黑体" w:eastAsia="黑体" w:hAnsi="黑体" w:hint="eastAsia"/>
                <w:b/>
                <w:sz w:val="28"/>
                <w:szCs w:val="28"/>
                <w:highlight w:val="none"/>
              </w:rPr>
              <w:t>理财产品说明书关键要素</w:t>
            </w:r>
          </w:p>
        </w:tc>
      </w:tr>
      <w:tr w14:paraId="47CA608D">
        <w:tblPrEx>
          <w:tblCellMar>
            <w:top w:type="dxa" w:w="0"/>
            <w:left w:type="dxa" w:w="108"/>
            <w:bottom w:type="dxa" w:w="0"/>
            <w:right w:type="dxa" w:w="108"/>
          </w:tblCellMar>
        </w:tblPrEx>
        <w:trPr>
          <w:trHeight w:hRule="atLeast" w:val="747"/>
        </w:trPr>
        <w:tc>
          <w:tcPr>
            <w:tcW w:type="dxa" w:w="9604"/>
            <w:gridSpan w:val="2"/>
            <w:tcBorders>
              <w:top w:color="000000" w:space="0" w:sz="4" w:val="single"/>
              <w:left w:color="000000" w:space="0" w:sz="8" w:val="single"/>
              <w:bottom w:color="auto" w:space="0" w:sz="4" w:val="single"/>
              <w:right w:color="000000" w:space="0" w:sz="8" w:val="single"/>
            </w:tcBorders>
            <w:vAlign w:val="center"/>
          </w:tcPr>
          <w:p w14:paraId="4E3AFB60">
            <w:pPr>
              <w:ind w:firstLine="400" w:firstLineChars="200"/>
              <w:jc w:val="center"/>
              <w:rPr>
                <w:rFonts w:ascii="仿宋_GB2312" w:cs="仿宋_GB2312" w:eastAsia="仿宋_GB2312" w:hAnsi="等线" w:hint="eastAsia"/>
                <w:color w:val="000000"/>
                <w:sz w:val="24"/>
                <w:highlight w:val="none"/>
              </w:rPr>
            </w:pPr>
            <w:r>
              <w:rPr>
                <w:rFonts w:ascii="楷体_GB2312" w:cs="楷体_GB2312" w:eastAsia="楷体_GB2312" w:hAnsi="Arial" w:hint="eastAsia"/>
                <w:color w:themeColor="text1" w:val="000000"/>
                <w:sz w:val="20"/>
                <w:szCs w:val="20"/>
                <w:highlight w:val="none"/>
                <w14:textFill>
                  <w14:solidFill>
                    <w14:schemeClr w14:val="tx1"/>
                  </w14:solidFill>
                </w14:textFill>
              </w:rPr>
              <w:t>本表格提供本理财产品的重要信息，是理财产品说明书的一部分。</w:t>
            </w:r>
            <w:r>
              <w:rPr>
                <w:rFonts w:ascii="楷体_GB2312" w:cs="楷体_GB2312" w:eastAsia="楷体_GB2312" w:hAnsi="Arial" w:hint="eastAsia"/>
                <w:color w:themeColor="text1" w:val="000000"/>
                <w:sz w:val="20"/>
                <w:szCs w:val="20"/>
                <w:highlight w:val="none"/>
                <w14:textFill>
                  <w14:solidFill>
                    <w14:schemeClr w14:val="tx1"/>
                  </w14:solidFill>
                </w14:textFill>
              </w:rPr>
              <w:br w:type="textWrapping"/>
            </w:r>
            <w:r>
              <w:rPr>
                <w:rFonts w:ascii="楷体_GB2312" w:cs="楷体_GB2312" w:eastAsia="楷体_GB2312" w:hAnsi="Arial" w:hint="eastAsia"/>
                <w:color w:themeColor="text1" w:val="000000"/>
                <w:sz w:val="20"/>
                <w:szCs w:val="20"/>
                <w:highlight w:val="none"/>
                <w14:textFill>
                  <w14:solidFill>
                    <w14:schemeClr w14:val="tx1"/>
                  </w14:solidFill>
                </w14:textFill>
              </w:rPr>
              <w:t>作出投资决定前，请阅读完整的理财产品说明书等销售文件。</w:t>
            </w:r>
          </w:p>
        </w:tc>
      </w:tr>
      <w:tr w14:paraId="66D698D9">
        <w:tblPrEx>
          <w:tblCellMar>
            <w:top w:type="dxa" w:w="0"/>
            <w:left w:type="dxa" w:w="108"/>
            <w:bottom w:type="dxa" w:w="0"/>
            <w:right w:type="dxa" w:w="108"/>
          </w:tblCellMar>
        </w:tblPrEx>
        <w:trPr>
          <w:trHeight w:hRule="atLeast" w:val="270"/>
        </w:trPr>
        <w:tc>
          <w:tcPr>
            <w:tcW w:type="dxa" w:w="9604"/>
            <w:gridSpan w:val="2"/>
            <w:tcBorders>
              <w:top w:color="auto" w:space="0" w:sz="4" w:val="single"/>
              <w:left w:color="000000" w:space="0" w:sz="8" w:val="single"/>
              <w:bottom w:val="nil"/>
              <w:right w:color="000000" w:space="0" w:sz="8" w:val="single"/>
            </w:tcBorders>
            <w:vAlign w:val="center"/>
          </w:tcPr>
          <w:p w14:paraId="39E6D06C">
            <w:pPr>
              <w:widowControl/>
              <w:spacing w:line="400" w:lineRule="exact"/>
              <w:jc w:val="center"/>
              <w:textAlignment w:val="center"/>
              <w:rPr>
                <w:rFonts w:ascii="楷体_GB2312" w:cs="楷体_GB2312" w:eastAsia="楷体_GB2312" w:hAnsi="等线" w:hint="eastAsia"/>
                <w:b/>
                <w:bCs/>
                <w:color w:val="000000"/>
                <w:sz w:val="24"/>
                <w:highlight w:val="none"/>
              </w:rPr>
            </w:pPr>
            <w:r>
              <w:rPr>
                <w:rFonts w:ascii="楷体_GB2312" w:cs="楷体_GB2312" w:eastAsia="楷体_GB2312" w:hAnsi="等线" w:hint="eastAsia"/>
                <w:b/>
                <w:bCs/>
                <w:color w:val="000000"/>
                <w:kern w:val="0"/>
                <w:sz w:val="24"/>
                <w:highlight w:val="none"/>
                <w:lang w:bidi="ar"/>
              </w:rPr>
              <w:t>（一）理财产品基本信息</w:t>
            </w:r>
          </w:p>
        </w:tc>
      </w:tr>
      <w:tr w14:paraId="4D1B661A">
        <w:tblPrEx>
          <w:tblCellMar>
            <w:top w:type="dxa" w:w="0"/>
            <w:left w:type="dxa" w:w="108"/>
            <w:bottom w:type="dxa" w:w="0"/>
            <w:right w:type="dxa" w:w="108"/>
          </w:tblCellMar>
        </w:tblPrEx>
        <w:trPr>
          <w:trHeight w:hRule="atLeast" w:val="810"/>
        </w:trPr>
        <w:tc>
          <w:tcPr>
            <w:tcW w:type="dxa" w:w="2842"/>
            <w:tcBorders>
              <w:top w:color="000000" w:space="0" w:sz="4" w:val="single"/>
              <w:left w:color="000000" w:space="0" w:sz="8" w:val="single"/>
              <w:bottom w:color="auto" w:space="0" w:sz="4" w:val="single"/>
              <w:right w:color="auto" w:space="0" w:sz="4" w:val="single"/>
            </w:tcBorders>
            <w:vAlign w:val="center"/>
          </w:tcPr>
          <w:p w14:paraId="51B29FF6">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产品登记编码</w:t>
            </w:r>
          </w:p>
        </w:tc>
        <w:tc>
          <w:tcPr>
            <w:tcW w:type="dxa" w:w="6762"/>
            <w:tcBorders>
              <w:top w:color="000000" w:space="0" w:sz="4" w:val="single"/>
              <w:left w:color="auto" w:space="0" w:sz="4" w:val="single"/>
              <w:bottom w:color="auto" w:space="0" w:sz="4" w:val="single"/>
              <w:right w:color="000000" w:space="0" w:sz="8" w:val="single"/>
            </w:tcBorders>
            <w:vAlign w:val="center"/>
          </w:tcPr>
          <w:p w14:paraId="04B9205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Z7002626001712】</w:t>
            </w:r>
          </w:p>
          <w:p w14:paraId="0A6129D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楷体_GB2312" w:eastAsia="楷体_GB2312" w:hint="eastAsia"/>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（重要提示：可依据该登记编码在中国理财网www.chinawealth.com.cn查询产品信息）</w:t>
            </w:r>
          </w:p>
        </w:tc>
      </w:tr>
      <w:tr w14:paraId="36189232">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2F28D6E0">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产品名称</w:t>
            </w:r>
          </w:p>
        </w:tc>
        <w:tc>
          <w:tcPr>
            <w:tcW w:type="dxa" w:w="6762"/>
            <w:tcBorders>
              <w:top w:color="auto" w:space="0" w:sz="4" w:val="single"/>
              <w:left w:color="auto" w:space="0" w:sz="4" w:val="single"/>
              <w:bottom w:color="auto" w:space="0" w:sz="4" w:val="single"/>
              <w:right w:color="000000" w:space="0" w:sz="8" w:val="single"/>
            </w:tcBorders>
            <w:vAlign w:val="center"/>
          </w:tcPr>
          <w:p w14:paraId="4CC82AA3">
            <w:pPr>
              <w:widowControl/>
              <w:spacing w:line="400" w:lineRule="exact"/>
              <w:jc w:val="center"/>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【信银理财安盈象固收稳利封闭式1118号理财产品</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40A3119D">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67AD5FFA">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份额代码</w:t>
            </w:r>
          </w:p>
        </w:tc>
        <w:tc>
          <w:tcPr>
            <w:tcW w:type="dxa" w:w="6762"/>
            <w:tcBorders>
              <w:top w:color="auto" w:space="0" w:sz="4" w:val="single"/>
              <w:left w:color="auto" w:space="0" w:sz="4" w:val="single"/>
              <w:bottom w:color="auto" w:space="0" w:sz="4" w:val="single"/>
              <w:right w:color="000000" w:space="0" w:sz="8" w:val="single"/>
            </w:tcBorders>
            <w:vAlign w:val="center"/>
          </w:tcPr>
          <w:p w14:paraId="4B44BB31">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
              <w:t>【A】类份额：份额代码【AF265799A】</w:t>
              <w:br/>
              <w:t>【B】类份额：份额代码【AF265799B】</w:t>
              <w:br/>
              <w:t>【C】类份额：份额代码【AF265799C】</w:t>
              <w:br/>
              <w:t>【D】类份额：份额代码【AF265799D】</w:t>
              <w:br/>
              <w:t>【G】类份额：份额代码【AF265799G】</w:t>
              <w:br/>
              <w:t>【M】类份额：份额代码【AF265799M】</w:t>
              <w:br/>
              <w:t>【N】类份额：份额代码【AF265799N】</w:t>
              <w:br/>
              <w:t>【P】类份额：份额代码【AF265799P】</w:t>
              <w:br/>
              <w:t>【S】类份额：份额代码【AF265799S】</w:t>
            </w:r>
            <w:r>
              <w:rPr>
                <w:rFonts w:ascii="楷体_GB2312" w:cs="楷体_GB2312" w:eastAsia="楷体_GB2312"/>
                <w:color w:themeColor="text1" w:val="000000"/>
                <w:sz w:val="20"/>
                <w:szCs w:val="20"/>
                <w:highlight w:val="none"/>
                <w14:textFill>
                  <w14:solidFill>
                    <w14:schemeClr w14:val="tx1"/>
                  </w14:solidFill>
                </w14:textFill>
              </w:rPr>
              <w:t/>
            </w:r>
          </w:p>
          <w:p w14:paraId="0FD559CD">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p>
          <w:p w14:paraId="2965237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697529AB">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4AE77825">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发行机构名称</w:t>
            </w:r>
          </w:p>
        </w:tc>
        <w:tc>
          <w:tcPr>
            <w:tcW w:type="dxa" w:w="6762"/>
            <w:tcBorders>
              <w:top w:color="auto" w:space="0" w:sz="4" w:val="single"/>
              <w:left w:color="auto" w:space="0" w:sz="4" w:val="single"/>
              <w:bottom w:color="auto" w:space="0" w:sz="4" w:val="single"/>
              <w:right w:color="000000" w:space="0" w:sz="8" w:val="single"/>
            </w:tcBorders>
            <w:vAlign w:val="center"/>
          </w:tcPr>
          <w:p w14:paraId="6041FF69">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27AC77C7">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72B165C7">
            <w:pPr>
              <w:widowControl/>
              <w:spacing w:line="400" w:lineRule="exact"/>
              <w:jc w:val="both"/>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0273B9F9">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4ECC6F72">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销售机构名称</w:t>
            </w:r>
          </w:p>
        </w:tc>
        <w:tc>
          <w:tcPr>
            <w:tcW w:type="dxa" w:w="6762"/>
            <w:tcBorders>
              <w:top w:color="auto" w:space="0" w:sz="4" w:val="single"/>
              <w:left w:color="auto" w:space="0" w:sz="4" w:val="single"/>
              <w:bottom w:color="auto" w:space="0" w:sz="4" w:val="single"/>
              <w:right w:color="000000" w:space="0" w:sz="8" w:val="single"/>
            </w:tcBorders>
            <w:vAlign w:val="center"/>
          </w:tcPr>
          <w:p w14:paraId="13DC3897">
            <w:pPr>
              <w:widowControl/>
              <w:spacing w:line="3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
              <w:t>【A】类份额（份额代码【AF265799A】）合作销售机构信息：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【B】类份额（份额代码【AF265799B】）合作销售机构信息：</w:t>
              <w:br/>
              <w:t>1.企业名称：【三原县农村信用合作联社】</w:t>
              <w:br/>
              <w:t>住所：【陕西省咸阳市三原县宴友思大街中段】</w:t>
              <w:br/>
              <w:t>客户服务热线：【029-96262】</w:t>
              <w:br/>
              <w:t>2.企业名称：【乾县农村信用合作联社】</w:t>
              <w:br/>
              <w:t>住所：【陕西省咸阳市乾县西兰大街中段】</w:t>
              <w:br/>
              <w:t>客户服务热线：【029-96262】</w:t>
              <w:br/>
              <w:t>3.企业名称：【兴平市农村信用合作联社】</w:t>
              <w:br/>
              <w:t>住所：【陕西省咸阳市兴平市金城路】</w:t>
              <w:br/>
              <w:t>客户服务热线：【029-96262】</w:t>
              <w:br/>
              <w:t>4.企业名称：【陕西彬州农村商业银行股份有限公司】</w:t>
              <w:br/>
              <w:t>住所：【陕西省咸阳市彬州市城关镇西大街】</w:t>
              <w:br/>
              <w:t>客户服务热线：【029-96262】</w:t>
              <w:br/>
              <w:t>5.企业名称：【旬邑县农村信用合作联社】</w:t>
              <w:br/>
              <w:t>住所：【陕西省咸阳市旬邑县南大街】</w:t>
              <w:br/>
              <w:t>客户服务热线：【029-96262】</w:t>
              <w:br/>
              <w:t>6.企业名称：【武功县农村信用合作联社】</w:t>
              <w:br/>
              <w:t>住所：【陕西省咸阳市武功县普集镇后稷路】</w:t>
              <w:br/>
              <w:t>客户服务热线：【029-96262】</w:t>
              <w:br/>
              <w:t>7.企业名称：【永寿县农村信用合作联社】</w:t>
              <w:br/>
              <w:t>住所：【陕西省咸阳市永寿县监军镇西兰路中段】</w:t>
              <w:br/>
              <w:t>客户服务热线：【029-96262】</w:t>
              <w:br/>
              <w:t>8.企业名称：【泾阳县农村信用合作联社】</w:t>
              <w:br/>
              <w:t>住所：【陕西省咸阳市泾阳县泾干大街19号】</w:t>
              <w:br/>
              <w:t>客户服务热线：【029-96262】</w:t>
              <w:br/>
              <w:t>9.企业名称：【淳化县农村信用合作联社】</w:t>
              <w:br/>
              <w:t>住所：【陕西省咸阳市淳化县南新街】</w:t>
              <w:br/>
              <w:t>客户服务热线：【029-96262】</w:t>
              <w:br/>
              <w:t>10.企业名称：【礼泉县农村信用合作联社】</w:t>
              <w:br/>
              <w:t>住所：【陕西省咸阳市礼泉县建设路南段】</w:t>
              <w:br/>
              <w:t>客户服务热线：【029-96262】</w:t>
              <w:br/>
              <w:t>11.企业名称：【陕西咸阳农村商业银行股份有限公司】</w:t>
              <w:br/>
              <w:t>住所：【陕西省咸阳市秦都区文兴路智汇原8号商业楼1单元1层4号、5号、6号】</w:t>
              <w:br/>
              <w:t>客户服务热线：【029-96262】</w:t>
              <w:br/>
              <w:t>12.企业名称：【陕西长武农村商业银行股份有限公司】</w:t>
              <w:br/>
              <w:t>住所：【陕西省咸阳市长武县城西门什字北街002号】</w:t>
              <w:br/>
              <w:t>客户服务热线：【029-96262】</w:t>
              <w:br/>
              <w:t>13.企业名称：【陕西杨凌农村商业银行股份有限公司】</w:t>
              <w:br/>
              <w:t>住所：【陕西省杨凌示范区康乐路43号】</w:t>
              <w:br/>
              <w:t>客户服务热线：【029-96262】</w:t>
              <w:br/>
              <w:t>14.企业名称：【江苏扬中农村商业银行股份有限公司】</w:t>
              <w:br/>
              <w:t>住所：【扬中市扬子西路79号】</w:t>
              <w:br/>
              <w:t>客户服务热线：【0511-96008】</w:t>
              <w:br/>
              <w:t>15.企业名称：【江苏张家港农村商业银行股份有限公司】</w:t>
              <w:br/>
              <w:t>住所：【张家港市杨舍镇人民中路66号】</w:t>
              <w:br/>
              <w:t>客户服务热线：【0512-96065】</w:t>
              <w:br/>
              <w:t>16.企业名称：【江苏射阳农村商业银行股份有限公司】</w:t>
              <w:br/>
              <w:t>住所：【江苏省盐城市射阳县合德镇解放路385号】</w:t>
              <w:br/>
              <w:t>客户服务热线：【0515-69966666】</w:t>
              <w:br/>
              <w:t>17.企业名称：【江苏泰兴农村商业银行股份有限公司】</w:t>
              <w:br/>
              <w:t>住所：【江苏省泰兴市国庆东路166号】</w:t>
              <w:br/>
              <w:t>客户服务热线：【0523-96008】</w:t>
              <w:br/>
              <w:t>18.企业名称：【浙江东阳农村商业银行股份有限公司】</w:t>
              <w:br/>
              <w:t>住所：【东阳市双岘路18号】</w:t>
              <w:br/>
              <w:t>客户服务热线：【0571-96596】</w:t>
              <w:br/>
              <w:t>19.企业名称：【浙江乐清农村商业银行股份有限公司】</w:t>
              <w:br/>
              <w:t>住所：【乐清市城南街道伯乐西路99号】</w:t>
              <w:br/>
              <w:t>客户服务热线：【0571-96596】</w:t>
              <w:br/>
              <w:t>20.企业名称：【宁波余姚农村商业银行股份有限公司】</w:t>
              <w:br/>
              <w:t>住所：【余姚市新建路69号】</w:t>
              <w:br/>
              <w:t>客户服务热线：【0571-96596】</w:t>
              <w:br/>
              <w:t>21.企业名称：【宁波镇海农村商业银行股份有限公司】</w:t>
              <w:br/>
              <w:t>住所：【宁波市镇海区骆驼街道镇海大道中段788号】</w:t>
              <w:br/>
              <w:t>客户服务热线：【0571-96596】</w:t>
              <w:br/>
              <w:t>22.企业名称：【宁波宁海农村商业银行股份有限公司】</w:t>
              <w:br/>
              <w:t>住所：【宁海县跃龙街道学勉路1号（金融中心）】</w:t>
              <w:br/>
              <w:t>客户服务热线：【0571-96596】</w:t>
              <w:br/>
              <w:t>23.企业名称：【浙江丽水莲都农村商业银行股份有限公司】</w:t>
              <w:br/>
              <w:t>住所：【浙江丽水市解放街438号】</w:t>
              <w:br/>
              <w:t>客户服务热线：【0571-96596】</w:t>
              <w:br/>
              <w:t>24.企业名称：【浙江三门农村商业银行股份有限公司】</w:t>
              <w:br/>
              <w:t>住所：【浙江省三门县海游街道上洋路68号】</w:t>
              <w:br/>
              <w:t>客户服务热线：【0571-96596】</w:t>
              <w:br/>
              <w:t>25.企业名称：【浙江衢州柯城农村商业银行股份有限公司】</w:t>
              <w:br/>
              <w:t>住所：【浙江省上街92号】</w:t>
              <w:br/>
              <w:t>客户服务热线：【0571-96596】</w:t>
              <w:br/>
              <w:t>26.企业名称：【浙江云和农村商业银行股份有限公司】</w:t>
              <w:br/>
              <w:t>住所：【浙江省丽水市云和县浮云街道新建路72号】</w:t>
              <w:br/>
              <w:t>客户服务热线：【0571-96596】</w:t>
              <w:br/>
              <w:t>27.企业名称：【浙江庆元农村商业银行股份有限公司】</w:t>
              <w:br/>
              <w:t>住所：【浙江省丽水市庆元县濛洲街道云鹤路3号】</w:t>
              <w:br/>
              <w:t>客户服务热线：【0571-96596】</w:t>
              <w:br/>
              <w:t>28.企业名称：【浙江景宁农村商业银行股份有限公司】</w:t>
              <w:br/>
              <w:t>住所：【浙江省丽水市景宁畲族自治县红星街道人民中路201号】</w:t>
              <w:br/>
              <w:t>客户服务热线：【0571-96596】</w:t>
              <w:br/>
              <w:t>29.企业名称：【浙江松阳农村商业银行股份有限公司】</w:t>
              <w:br/>
              <w:t>住所：【浙江省丽水市松阳县水南街道要津南路71号】</w:t>
              <w:br/>
              <w:t>客户服务热线：【0571-96596】</w:t>
              <w:br/>
              <w:t>30.企业名称：【浙江缙云农村商业银行股份有限公司】</w:t>
              <w:br/>
              <w:t>住所：【浙江省丽水市缙云县五云镇新区仙都路68号】</w:t>
              <w:br/>
              <w:t>客户服务热线：【0571-96596】</w:t>
              <w:br/>
              <w:t>31.企业名称：【浙江遂昌农村商业银行股份有限公司】</w:t>
              <w:br/>
              <w:t>住所：【浙江省丽水市遂昌县妙高街道溪边路100号】</w:t>
              <w:br/>
              <w:t>客户服务热线：【0571-96596】</w:t>
              <w:br/>
              <w:t>32.企业名称：【浙江龙泉农村商业银行股份有限公司】</w:t>
              <w:br/>
              <w:t>住所：【浙江省丽水市龙泉市中山东路101号】</w:t>
              <w:br/>
              <w:t>客户服务热线：【0571-96596】</w:t>
              <w:br/>
              <w:t>33.企业名称：【浙江义乌农村商业银行股份有限公司】</w:t>
              <w:br/>
              <w:t>住所：【浙江省义乌市福田街道城北路677号】</w:t>
              <w:br/>
              <w:t>客户服务热线：【0571-96596】</w:t>
              <w:br/>
              <w:t>34.企业名称：【浙江仙居农村商业银行股份有限公司】</w:t>
              <w:br/>
              <w:t>住所：【浙江省仙居县南峰街道穿城中路21号】</w:t>
              <w:br/>
              <w:t>客户服务热线：【0571-96596】</w:t>
              <w:br/>
              <w:t>35.企业名称：【浙江兰溪农村商业银行股份有限公司】</w:t>
              <w:br/>
              <w:t>住所：【浙江省兰溪市兰江街道丹溪大道18号】</w:t>
              <w:br/>
              <w:t>客户服务热线：【0571-96596】</w:t>
              <w:br/>
              <w:t>36.企业名称：【浙江临海农村商业银行股份有限公司】</w:t>
              <w:br/>
              <w:t>住所：【浙江省台州市临海市大洋街道河阳路299号】</w:t>
              <w:br/>
              <w:t>客户服务热线：【0571-96596】</w:t>
              <w:br/>
              <w:t>37.企业名称：【浙江台州椒江农村商业银行股份有限公司】</w:t>
              <w:br/>
              <w:t>住所：【浙江省台州市椒江区工人东路322号】</w:t>
              <w:br/>
              <w:t>客户服务热线：【0571-96596】</w:t>
              <w:br/>
              <w:t>38.企业名称：【浙江温岭农村商业银行股份有限公司】</w:t>
              <w:br/>
              <w:t>住所：【浙江省台州市温岭市城东街道下保路100号】</w:t>
              <w:br/>
              <w:t>客户服务热线：【0571-96596】</w:t>
              <w:br/>
              <w:t>39.企业名称：【浙江台州路桥农村商业银行股份有限公司】</w:t>
              <w:br/>
              <w:t>住所：【浙江省台州市路桥区西路桥大道328号】</w:t>
              <w:br/>
              <w:t>客户服务热线：【0571-96596】</w:t>
              <w:br/>
              <w:t>40.企业名称：【浙江台州黄岩农村商业银行股份有限公司】</w:t>
              <w:br/>
              <w:t>住所：【浙江省台州市黄岩区洞天路88号】</w:t>
              <w:br/>
              <w:t>客户服务热线：【0571-96596】</w:t>
              <w:br/>
              <w:t>41.企业名称：【浙江嘉善农村商业银行股份有限公司】</w:t>
              <w:br/>
              <w:t>住所：【浙江省嘉兴市嘉善县罗星街道车站南路999号】</w:t>
              <w:br/>
              <w:t>客户服务热线：【0571-96596】</w:t>
              <w:br/>
              <w:t>42.企业名称：【浙江桐乡农村商业银行股份有限公司】</w:t>
              <w:br/>
              <w:t>住所：【浙江省嘉兴市桐乡市梧桐街道校场东路59号】</w:t>
              <w:br/>
              <w:t>客户服务热线：【0571-96596】</w:t>
              <w:br/>
              <w:t>43.企业名称：【浙江禾城农村商业银行股份有限公司】</w:t>
              <w:br/>
              <w:t>住所：【浙江省嘉兴市经济技术开发区文昌路1229号】</w:t>
              <w:br/>
              <w:t>客户服务热线：【0571-96596】</w:t>
              <w:br/>
              <w:t>44.企业名称：【浙江天台农村商业银行股份有限公司】</w:t>
              <w:br/>
              <w:t>住所：【浙江省天台县赤城街道飞鹤路358号】</w:t>
              <w:br/>
              <w:t>客户服务热线：【0571-96596】</w:t>
              <w:br/>
              <w:t>45.企业名称：【宁波北仑农村商业银行股份有限公司】</w:t>
              <w:br/>
              <w:t>住所：【浙江省宁波市北仑区新碶宝山路69号（凤凰国际商务广场）1幢69号、63号（凤凰国际商务广场）1幢（2-26层）】</w:t>
              <w:br/>
              <w:t>客户服务热线：【0571-96596】</w:t>
              <w:br/>
              <w:t>46.企业名称：【宁波奉化农村商业银行股份有限公司】</w:t>
              <w:br/>
              <w:t>住所：【浙江省宁波市奉化区锦屏街道中山路27号】</w:t>
              <w:br/>
              <w:t>客户服务热线：【0571-96596】</w:t>
              <w:br/>
              <w:t>47.企业名称：【宁波甬城农村商业银行股份有限公司】</w:t>
              <w:br/>
              <w:t>住所：【浙江省宁波市江北区育才路15、17号】</w:t>
              <w:br/>
              <w:t>客户服务热线：【0571-96596】</w:t>
              <w:br/>
              <w:t>48.企业名称：【浙江嵊州农村商业银行股份有限公司】</w:t>
              <w:br/>
              <w:t>住所：【浙江省嵊州市剡湖街道官河路398号】</w:t>
              <w:br/>
              <w:t>客户服务热线：【0571-96596】</w:t>
              <w:br/>
              <w:t>49.企业名称：【浙江嵊泗农村商业银行股份有限公司】</w:t>
              <w:br/>
              <w:t>住所：【浙江省嵊泗县菜园镇沙河路110号】</w:t>
              <w:br/>
              <w:t>客户服务热线：【0571-96596】</w:t>
              <w:br/>
              <w:t>50.企业名称：【浙江平湖农村商业银行股份有限公司】</w:t>
              <w:br/>
              <w:t>住所：【浙江省平湖市当湖街道胜利路518号】</w:t>
              <w:br/>
              <w:t>客户服务热线：【0571-96596】</w:t>
              <w:br/>
              <w:t>51.企业名称：【浙江平阳农村商业银行股份有限公司】</w:t>
              <w:br/>
              <w:t>住所：【浙江省平阳县鳌江镇车站大道999号】</w:t>
              <w:br/>
              <w:t>客户服务热线：【0571-96596】</w:t>
              <w:br/>
              <w:t>52.企业名称：【浙江建德农村商业银行股份有限公司】</w:t>
              <w:br/>
              <w:t>住所：【浙江省建德市新安江街道江滨中路176号】</w:t>
              <w:br/>
              <w:t>客户服务热线：【0571-96596】</w:t>
              <w:br/>
              <w:t>53.企业名称：【浙江德清农村商业银行股份有限公司】</w:t>
              <w:br/>
              <w:t>住所：【浙江省德清县武康街道沈长圩街50号】</w:t>
              <w:br/>
              <w:t>客户服务热线：【0571-96596】</w:t>
              <w:br/>
              <w:t>54.企业名称：【宁波慈溪农村商业银行股份有限公司】</w:t>
              <w:br/>
              <w:t>住所：【浙江省慈溪市浒山街道南城路 25 号、59 号 5-6 楼】</w:t>
              <w:br/>
              <w:t>客户服务热线：【0571-96596】</w:t>
              <w:br/>
              <w:t>55.企业名称：【浙江新昌农村商业银行股份有限公司】</w:t>
              <w:br/>
              <w:t>住所：【浙江省新昌县七星街道七星路18号】</w:t>
              <w:br/>
              <w:t>客户服务热线：【0571-96596】</w:t>
              <w:br/>
              <w:t>56.企业名称：【杭州联合农村商业银行股份有限公司】</w:t>
              <w:br/>
              <w:t>住所：【浙江省杭州市上城区建国中路99号】</w:t>
              <w:br/>
              <w:t>客户服务热线：【0571-96596】</w:t>
              <w:br/>
              <w:t>57.企业名称：【浙江临安农村商业银行股份有限公司】</w:t>
              <w:br/>
              <w:t>住所：【浙江省杭州市临安区锦城街道城中街442号】</w:t>
              <w:br/>
              <w:t>客户服务热线：【0571-96596】</w:t>
              <w:br/>
              <w:t>58.企业名称：【浙江杭州余杭农村商业银行股份有限公司】</w:t>
              <w:br/>
              <w:t>住所：【浙江省杭州市临平区南苑街道南大街72号】</w:t>
              <w:br/>
              <w:t>客户服务热线：【0571-96596】</w:t>
              <w:br/>
              <w:t>59.企业名称：【浙江富阳农村商业银行股份有限公司】</w:t>
              <w:br/>
              <w:t>住所：【浙江省杭州市富阳区鹿山街道依江路501号第1幢】</w:t>
              <w:br/>
              <w:t>客户服务热线：【0571-96596】</w:t>
              <w:br/>
              <w:t>60.企业名称：【浙江桐庐农村商业银行股份有限公司】</w:t>
              <w:br/>
              <w:t>住所：【浙江省杭州市桐庐县城迎春南路278号】</w:t>
              <w:br/>
              <w:t>客户服务热线：【0571-96596】</w:t>
              <w:br/>
              <w:t>61.企业名称：【浙江淳安农村商业银行股份有限公司】</w:t>
              <w:br/>
              <w:t>住所：【浙江省杭州市淳安县千岛湖镇环湖北路369号】</w:t>
              <w:br/>
              <w:t>客户服务热线：【0571-96596】</w:t>
              <w:br/>
              <w:t>62.企业名称：【浙江萧山农村商业银行股份有限公司】</w:t>
              <w:br/>
              <w:t>住所：【浙江省杭州市萧山区人民路258号】</w:t>
              <w:br/>
              <w:t>客户服务热线：【0571-96596】</w:t>
              <w:br/>
              <w:t>63.企业名称：【浙江武义农村商业银行股份有限公司】</w:t>
              <w:br/>
              <w:t>住所：【浙江省武义县城武阳中路37号】</w:t>
              <w:br/>
              <w:t>客户服务热线：【0571-96596】</w:t>
              <w:br/>
              <w:t>64.企业名称：【浙江江山农村商业银行股份有限公司】</w:t>
              <w:br/>
              <w:t>住所：【浙江省江山市双塔街道江滨路188号】</w:t>
              <w:br/>
              <w:t>客户服务热线：【0571-96596】</w:t>
              <w:br/>
              <w:t>65.企业名称：【浙江浦江农村商业银行股份有限公司】</w:t>
              <w:br/>
              <w:t>住所：【浙江省浦江县人民东路90号】</w:t>
              <w:br/>
              <w:t>客户服务热线：【0571-96596】</w:t>
              <w:br/>
              <w:t>66.企业名称：【浙江海宁农村商业银行股份有限公司】</w:t>
              <w:br/>
              <w:t>住所：【浙江省海宁市海洲街道钱江西路278号】</w:t>
              <w:br/>
              <w:t>客户服务热线：【0571-96596】</w:t>
              <w:br/>
              <w:t>67.企业名称：【浙江海盐农村商业银行股份有限公司】</w:t>
              <w:br/>
              <w:t>住所：【浙江省海盐县武原街道枣园西路176号】</w:t>
              <w:br/>
              <w:t>客户服务热线：【0571-96596】</w:t>
              <w:br/>
              <w:t>68.企业名称：【浙江文成农村商业银行股份有限公司】</w:t>
              <w:br/>
              <w:t>住所：【浙江省温州市文成县大峃镇伯温路6号】</w:t>
              <w:br/>
              <w:t>客户服务热线：【0571-96596】</w:t>
              <w:br/>
              <w:t>69.企业名称：【浙江永嘉农村商业银行股份有限公司】</w:t>
              <w:br/>
              <w:t>住所：【浙江省温州市永嘉县瓯北街道阳光大道3918号101室、201室、301室、401室、501室、1101室、1801室、2201室】</w:t>
              <w:br/>
              <w:t>客户服务热线：【0571-96596】</w:t>
              <w:br/>
              <w:t>70.企业名称：【浙江泰顺农村商业银行股份有限公司】</w:t>
              <w:br/>
              <w:t>住所：【浙江省温州市泰顺县罗阳镇新城区文祥大道181号】</w:t>
              <w:br/>
              <w:t>客户服务热线：【0571-96596】</w:t>
              <w:br/>
              <w:t>71.企业名称：【浙江温州瓯海农村商业银行股份有限公司】</w:t>
              <w:br/>
              <w:t>住所：【浙江省温州市瓯海区瓯海大道989号】</w:t>
              <w:br/>
              <w:t>客户服务热线：【0571-96596】</w:t>
              <w:br/>
              <w:t>72.企业名称：【浙江温州鹿城农村商业银行股份有限公司】</w:t>
              <w:br/>
              <w:t>住所：【浙江省温州市鹿城区会展路1500号富银大厦】</w:t>
              <w:br/>
              <w:t>客户服务热线：【0571-96596】</w:t>
              <w:br/>
              <w:t>73.企业名称：【浙江温州龙湾农村商业银行股份有限公司】</w:t>
              <w:br/>
              <w:t>住所：【浙江省温州市龙湾区永中街道永宁西路555号】</w:t>
              <w:br/>
              <w:t>客户服务热线：【0571-96596】</w:t>
              <w:br/>
              <w:t>74.企业名称：【湖州吴兴农村商业银行股份有限公司】</w:t>
              <w:br/>
              <w:t>住所：【浙江省湖州市东街55号】</w:t>
              <w:br/>
              <w:t>客户服务热线：【0571-96596】</w:t>
              <w:br/>
              <w:t>75.企业名称：【浙江南浔农村商业银行股份有限公司】</w:t>
              <w:br/>
              <w:t>住所：【浙江省湖州市南浔区南浔镇人瑞路1188号】</w:t>
              <w:br/>
              <w:t>客户服务热线：【0571-96596】</w:t>
              <w:br/>
              <w:t>76.企业名称：【浙江安吉农村商业银行股份有限公司】</w:t>
              <w:br/>
              <w:t>住所：【浙江省湖州市安吉县昌硕街道昌硕东路1号(自主申报)】</w:t>
              <w:br/>
              <w:t>客户服务热线：【0571-96596】</w:t>
              <w:br/>
              <w:t>77.企业名称：【浙江长兴农村商业银行股份有限公司】</w:t>
              <w:br/>
              <w:t>住所：【浙江省湖州市长兴县太湖街道明珠路1298号】</w:t>
              <w:br/>
              <w:t>客户服务热线：【0571-96596】</w:t>
              <w:br/>
              <w:t>78.企业名称：【浙江玉环农村商业银行股份有限公司】</w:t>
              <w:br/>
              <w:t>住所：【浙江省玉环市玉城街道珠港大道26号】</w:t>
              <w:br/>
              <w:t>客户服务热线：【0571-96596】</w:t>
              <w:br/>
              <w:t>79.企业名称：【浙江上虞农村商业银行股份有限公司】</w:t>
              <w:br/>
              <w:t>住所：【浙江省百官街道德盛路55号】</w:t>
              <w:br/>
              <w:t>客户服务热线：【0571-96596】</w:t>
              <w:br/>
              <w:t>80.企业名称：【浙江绍兴恒信农村商业银行股份有限公司】</w:t>
              <w:br/>
              <w:t>住所：【浙江省绍兴市中兴中路159号】</w:t>
              <w:br/>
              <w:t>客户服务热线：【0571-96596】</w:t>
              <w:br/>
              <w:t>81.企业名称：【浙江绍兴瑞丰农村商业银行股份有限公司】</w:t>
              <w:br/>
              <w:t>住所：【浙江省绍兴市柯桥区柯桥笛扬路1363号】</w:t>
              <w:br/>
              <w:t>客户服务热线：【0571-96596】</w:t>
              <w:br/>
              <w:t>82.企业名称：【浙江舟山定海海洋农村商业银行股份有限公司】</w:t>
              <w:br/>
              <w:t>住所：【浙江省舟山市定海区环城东路81号】</w:t>
              <w:br/>
              <w:t>客户服务热线：【0571-96596】</w:t>
              <w:br/>
              <w:t>83.企业名称：【浙江岱山农村商业银行股份有限公司】</w:t>
              <w:br/>
              <w:t>住所：【浙江省舟山市岱山县高亭镇衢山大道1009号(自主申报)】</w:t>
              <w:br/>
              <w:t>客户服务热线：【0571-96596】</w:t>
              <w:br/>
              <w:t>84.企业名称：【浙江舟山普陀农村商业银行股份有限公司】</w:t>
              <w:br/>
              <w:t>住所：【浙江省舟山市普陀区东港街道麒麟街225号（自贸试验区内）】</w:t>
              <w:br/>
              <w:t>客户服务热线：【0571-96596】</w:t>
              <w:br/>
              <w:t>85.企业名称：【浙江苍南农村商业银行股份有限公司】</w:t>
              <w:br/>
              <w:t>住所：【浙江省苍南县灵溪镇人民大道425号】</w:t>
              <w:br/>
              <w:t>客户服务热线：【0571-96596】</w:t>
              <w:br/>
              <w:t>86.企业名称：【浙江常山农村商业银行股份有限公司】</w:t>
              <w:br/>
              <w:t>住所：【浙江省衢州市常山县天马街道人民路125号】</w:t>
              <w:br/>
              <w:t>客户服务热线：【0571-96596】</w:t>
              <w:br/>
              <w:t>87.企业名称：【浙江开化农村商业银行股份有限公司】</w:t>
              <w:br/>
              <w:t>住所：【浙江省衢州市开化县华埠镇永吉二路8号】</w:t>
              <w:br/>
              <w:t>客户服务热线：【0571-96596】</w:t>
              <w:br/>
              <w:t>88.企业名称：【浙江衢州衢江农村商业银行股份有限公司】</w:t>
              <w:br/>
              <w:t>住所：【浙江省衢州市衢江区樟潭街道信安东路37号】</w:t>
              <w:br/>
              <w:t>客户服务热线：【0571-96596】</w:t>
              <w:br/>
              <w:t>89.企业名称：【浙江龙游农村商业银行股份有限公司】</w:t>
              <w:br/>
              <w:t>住所：【浙江省衢州市龙游县龙洲街道荣昌大道683、685、687号】</w:t>
              <w:br/>
              <w:t>客户服务热线：【0571-96596】</w:t>
              <w:br/>
              <w:t>90.企业名称：【浙江诸暨农村商业银行股份有限公司】</w:t>
              <w:br/>
              <w:t>住所：【浙江省诸暨市暨阳街道大桥东路2号】</w:t>
              <w:br/>
              <w:t>客户服务热线：【0571-96596】</w:t>
              <w:br/>
              <w:t>91.企业名称：【浙江金华成泰农村商业银行股份有限公司】</w:t>
              <w:br/>
              <w:t>住所：【浙江省金华市八一南街123号】</w:t>
              <w:br/>
              <w:t>客户服务热线：【0571-96596】</w:t>
              <w:br/>
              <w:t>92.企业名称：【浙江永康农村商业银行股份有限公司】</w:t>
              <w:br/>
              <w:t>住所：【浙江省金华市永康市九铃东路3259号】</w:t>
              <w:br/>
              <w:t>客户服务热线：【0571-96596】</w:t>
              <w:br/>
              <w:t>93.企业名称：【浙江青田农村商业银行股份有限公司】</w:t>
              <w:br/>
              <w:t>住所：【浙江省青田县鹤城街道鹤城东路180号】</w:t>
              <w:br/>
              <w:t>客户服务热线：【0571-96596】</w:t>
              <w:br/>
              <w:t>94.企业名称：【浙江瑞安农村商业银行股份有限公司】</w:t>
              <w:br/>
              <w:t>住所：【瑞安市安阳街道万松东路148号】</w:t>
              <w:br/>
              <w:t>客户服务热线：【0571-96596】</w:t>
              <w:br/>
              <w:t>95.企业名称：【江苏响水农村商业银行股份有限公司】</w:t>
              <w:br/>
              <w:t>住所：【江苏省盐城市响水县双园路84号】</w:t>
              <w:br/>
              <w:t>客户服务热线：【96008】</w:t>
              <w:br/>
              <w:t xml:space="preserve">    </w:t>
              <w:br/>
              <w:t>【C】类份额（份额代码【AF265799C】）合作销售机构信息：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【D】类份额（份额代码【AF265799D】）合作销售机构信息：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【G】类份额（份额代码【AF265799G】）合作销售机构信息：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【M】类份额（份额代码【AF265799M】）合作销售机构信息：</w:t>
              <w:br/>
              <w:t>1.企业名称：【江苏句容农村商业银行股份有限公司】</w:t>
              <w:br/>
              <w:t>住所：【江苏省句容市福地东路66号】</w:t>
              <w:br/>
              <w:t>客户服务热线：【0511-96008】</w:t>
              <w:br/>
              <w:t>2.企业名称：【江苏大丰农村商业银行股份有限公司】</w:t>
              <w:br/>
              <w:t>住所：【江苏省盐城市大丰区常新中路9号】</w:t>
              <w:br/>
              <w:t>客户服务热线：【0515-96008】</w:t>
              <w:br/>
              <w:t>3.企业名称：【江苏阜宁农村商业银行股份有限公司】</w:t>
              <w:br/>
              <w:t>住所：【江苏省阜宁县城南新区上海路459号】</w:t>
              <w:br/>
              <w:t>客户服务热线：【0515-96008】</w:t>
              <w:br/>
              <w:t>4.企业名称：【江苏民丰农村商业银行股份有限公司】</w:t>
              <w:br/>
              <w:t>住所：【江苏省宿迁市宿城区高宝湖路1号】</w:t>
              <w:br/>
              <w:t>客户服务热线：【96008】</w:t>
              <w:br/>
              <w:t xml:space="preserve">    </w:t>
              <w:br/>
              <w:t>【N】类份额（份额代码【AF265799N】）合作销售机构信息：</w:t>
              <w:br/>
              <w:t>1.企业名称：【江苏高淳农村商业银行股份有限公司】</w:t>
              <w:br/>
              <w:t>住所：【江苏省南京市高淳区宝塔路123号】</w:t>
              <w:br/>
              <w:t>客户服务热线：【025-96008】</w:t>
              <w:br/>
              <w:t>2.企业名称：【内蒙古农村商业银行股份有限公司】</w:t>
              <w:br/>
              <w:t>住所：【内蒙古自治区呼和浩特市赛罕区陶利西街1号】</w:t>
              <w:br/>
              <w:t>客户服务热线：【0471-96688】</w:t>
              <w:br/>
              <w:t>3.企业名称：【江苏建湖农村商业银行股份有限公司】</w:t>
              <w:br/>
              <w:t>住所：【江苏省建湖县湖南中路958号】</w:t>
              <w:br/>
              <w:t>客户服务热线：【0515-96008】</w:t>
              <w:br/>
              <w:t>4.企业名称：【江苏泰州农村商业银行股份有限公司】</w:t>
              <w:br/>
              <w:t>住所：【江苏省泰州市海陵区西仓路36号】</w:t>
              <w:br/>
              <w:t>客户服务热线：【0523-96008】</w:t>
              <w:br/>
              <w:t>5.企业名称：【鄂尔多斯银行股份有限公司】</w:t>
              <w:br/>
              <w:t>住所：【内蒙古自治区鄂尔多斯市东胜区乌审西街6号】</w:t>
              <w:br/>
              <w:t>客户服务热线：【4000096622】</w:t>
              <w:br/>
              <w:t>6.企业名称：【江苏淮安农村商业银行股份有限公司】</w:t>
              <w:br/>
              <w:t>住所：【江苏省淮安市清江浦区水渡口大道20号金融中心B1号楼】</w:t>
              <w:br/>
              <w:t>客户服务热线：【96008】</w:t>
              <w:br/>
              <w:t xml:space="preserve">    </w:t>
              <w:br/>
              <w:t>【P】类份额（份额代码【AF265799P】）合作销售机构信息：</w:t>
              <w:br/>
              <w:t>1.企业名称：【江苏涟水农村商业银行股份有限公司】</w:t>
              <w:br/>
              <w:t>住所：【淮安市涟水县涟城镇涟州路５号】</w:t>
              <w:br/>
              <w:t>客户服务热线：【0517-96008】</w:t>
              <w:br/>
              <w:t xml:space="preserve">    </w:t>
              <w:br/>
              <w:t>【S】类份额（份额代码【AF265799S】）合作销售机构信息：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后续合作销售机构如有新增、减少和变更，信银理财将按照本说明书约定的方式告知投资者。</w:t>
            </w:r>
          </w:p>
        </w:tc>
      </w:tr>
      <w:tr w14:paraId="1F621D2B">
        <w:tblPrEx>
          <w:tblCellMar>
            <w:top w:type="dxa" w:w="0"/>
            <w:left w:type="dxa" w:w="108"/>
            <w:bottom w:type="dxa" w:w="0"/>
            <w:right w:type="dxa" w:w="108"/>
          </w:tblCellMar>
        </w:tblPrEx>
        <w:trPr>
          <w:trHeight w:hRule="atLeast" w:val="476"/>
        </w:trPr>
        <w:tc>
          <w:tcPr>
            <w:tcW w:type="dxa" w:w="2842"/>
            <w:tcBorders>
              <w:top w:color="auto" w:space="0" w:sz="4" w:val="single"/>
              <w:left w:color="000000" w:space="0" w:sz="8" w:val="single"/>
              <w:bottom w:color="auto" w:space="0" w:sz="4" w:val="single"/>
              <w:right w:color="auto" w:space="0" w:sz="4" w:val="single"/>
            </w:tcBorders>
            <w:vAlign w:val="center"/>
          </w:tcPr>
          <w:p w14:paraId="2CB23304">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境内托管机构名称</w:t>
            </w:r>
          </w:p>
        </w:tc>
        <w:tc>
          <w:tcPr>
            <w:tcW w:type="dxa" w:w="6762"/>
            <w:tcBorders>
              <w:top w:color="auto" w:space="0" w:sz="4" w:val="single"/>
              <w:left w:color="auto" w:space="0" w:sz="4" w:val="single"/>
              <w:bottom w:color="auto" w:space="0" w:sz="4" w:val="single"/>
              <w:right w:color="000000" w:space="0" w:sz="8" w:val="single"/>
            </w:tcBorders>
            <w:vAlign w:val="center"/>
          </w:tcPr>
          <w:p w14:paraId="4B5BE4B7">
            <w:pPr>
              <w:widowControl/>
              <w:spacing w:line="3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sz w:val="20"/>
                <w:szCs w:val="20"/>
                <w:highlight w:val="none"/>
              </w:rPr>
              <w:t/>
              <w:t>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r>
              <w:rPr>
                <w:rFonts w:ascii="楷体_GB2312" w:cs="楷体_GB2312" w:eastAsia="楷体_GB2312"/>
                <w:sz w:val="20"/>
                <w:szCs w:val="20"/>
                <w:highlight w:val="none"/>
              </w:rPr>
              <w:t/>
            </w:r>
          </w:p>
        </w:tc>
      </w:tr>
      <w:tr w14:paraId="3EEB386C">
        <w:tblPrEx>
          <w:tblCellMar>
            <w:top w:type="dxa" w:w="0"/>
            <w:left w:type="dxa" w:w="108"/>
            <w:bottom w:type="dxa" w:w="0"/>
            <w:right w:type="dxa" w:w="108"/>
          </w:tblCellMar>
        </w:tblPrEx>
        <w:trPr>
          <w:trHeight w:hRule="atLeast" w:val="540"/>
        </w:trPr>
        <w:tc>
          <w:tcPr>
            <w:tcW w:type="dxa" w:w="2842"/>
            <w:tcBorders>
              <w:top w:val="nil"/>
              <w:left w:color="000000" w:space="0" w:sz="8" w:val="single"/>
              <w:bottom w:val="nil"/>
              <w:right w:color="auto" w:space="0" w:sz="4" w:val="single"/>
            </w:tcBorders>
            <w:vAlign w:val="center"/>
          </w:tcPr>
          <w:p w14:paraId="5722C1AB">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销售对象</w:t>
            </w:r>
          </w:p>
        </w:tc>
        <w:tc>
          <w:tcPr>
            <w:tcW w:type="dxa" w:w="6762"/>
            <w:tcBorders>
              <w:top w:val="nil"/>
              <w:left w:color="auto" w:space="0" w:sz="4" w:val="single"/>
              <w:bottom w:val="nil"/>
              <w:right w:color="000000" w:space="0" w:sz="8" w:val="single"/>
            </w:tcBorders>
            <w:shd w:color="auto" w:fill="auto" w:val="clear"/>
            <w:vAlign w:val="center"/>
          </w:tcPr>
          <w:p w14:paraId="4B92DDA4">
            <w:pPr>
              <w:keepNext w:val="0"/>
              <w:keepLines w:val="0"/>
              <w:widowControl/>
              <w:suppressLineNumbers w:val="0"/>
              <w:jc w:val="left"/>
              <w:textAlignment w:val="center"/>
              <w:rPr>
                <w:rFonts w:hint="eastAsia"/>
                <w:highlight w:val="none"/>
                <w:lang w:eastAsia="zh-CN" w:val="en-US"/>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17C88C4E">
        <w:tblPrEx>
          <w:tblCellMar>
            <w:top w:type="dxa" w:w="0"/>
            <w:left w:type="dxa" w:w="108"/>
            <w:bottom w:type="dxa" w:w="0"/>
            <w:right w:type="dxa" w:w="108"/>
          </w:tblCellMar>
        </w:tblPrEx>
        <w:trPr>
          <w:trHeight w:hRule="atLeast" w:val="380"/>
        </w:trPr>
        <w:tc>
          <w:tcPr>
            <w:tcW w:type="dxa" w:w="9604"/>
            <w:gridSpan w:val="2"/>
            <w:tcBorders>
              <w:top w:color="000000" w:space="0" w:sz="4" w:val="single"/>
              <w:left w:color="000000" w:space="0" w:sz="8" w:val="single"/>
              <w:bottom w:color="000000" w:space="0" w:sz="4" w:val="single"/>
              <w:right w:color="000000" w:space="0" w:sz="4" w:val="single"/>
            </w:tcBorders>
            <w:vAlign w:val="center"/>
          </w:tcPr>
          <w:p w14:paraId="60E04BCB">
            <w:pPr>
              <w:widowControl/>
              <w:spacing w:line="400" w:lineRule="exact"/>
              <w:jc w:val="center"/>
              <w:textAlignment w:val="center"/>
              <w:rPr>
                <w:rFonts w:ascii="楷体_GB2312" w:cs="楷体_GB2312" w:eastAsia="楷体_GB2312" w:hAnsi="等线" w:hint="eastAsia"/>
                <w:b/>
                <w:bCs/>
                <w:color w:themeColor="text1" w:val="000000"/>
                <w:sz w:val="24"/>
                <w:highlight w:val="none"/>
                <w14:textFill>
                  <w14:solidFill>
                    <w14:schemeClr w14:val="tx1"/>
                  </w14:solidFill>
                </w14:textFill>
              </w:rPr>
            </w:pPr>
            <w:r>
              <w:rPr>
                <w:rFonts w:ascii="楷体_GB2312" w:cs="楷体_GB2312" w:eastAsia="楷体_GB2312" w:hAnsi="等线" w:hint="eastAsia"/>
                <w:b/>
                <w:bCs/>
                <w:color w:themeColor="text1" w:val="000000"/>
                <w:kern w:val="0"/>
                <w:sz w:val="24"/>
                <w:highlight w:val="none"/>
                <w:lang w:bidi="ar"/>
                <w14:textFill>
                  <w14:solidFill>
                    <w14:schemeClr w14:val="tx1"/>
                  </w14:solidFill>
                </w14:textFill>
              </w:rPr>
              <w:t>（二）交易规则</w:t>
            </w:r>
          </w:p>
        </w:tc>
      </w:tr>
      <w:tr w14:paraId="1803476B">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vAlign w:val="center"/>
          </w:tcPr>
          <w:p w14:paraId="03BB52D9">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募集币种</w:t>
            </w:r>
          </w:p>
        </w:tc>
        <w:tc>
          <w:tcPr>
            <w:tcW w:type="dxa" w:w="6762"/>
            <w:tcBorders>
              <w:top w:val="nil"/>
              <w:left w:color="auto" w:space="0" w:sz="4" w:val="single"/>
              <w:bottom w:color="auto" w:space="0" w:sz="4" w:val="single"/>
              <w:right w:color="000000" w:space="0" w:sz="8" w:val="single"/>
            </w:tcBorders>
            <w:vAlign w:val="center"/>
          </w:tcPr>
          <w:p w14:paraId="4465FF63">
            <w:pPr>
              <w:widowControl/>
              <w:spacing w:line="400" w:lineRule="exact"/>
              <w:jc w:val="center"/>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r>
              <w:rPr>
                <w:rFonts w:ascii="楷体_GB2312" w:cs="楷体_GB2312" w:eastAsia="楷体_GB2312"/>
                <w:color w:themeColor="text1" w:val="000000"/>
                <w:sz w:val="20"/>
                <w:szCs w:val="20"/>
                <w:highlight w:val="none"/>
                <w14:textFill>
                  <w14:solidFill>
                    <w14:schemeClr w14:val="tx1"/>
                  </w14:solidFill>
                </w14:textFill>
              </w:rPr>
              <w:t>】</w:t>
            </w:r>
          </w:p>
        </w:tc>
      </w:tr>
      <w:tr w14:paraId="59692ACD">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50D78E2A">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起点销售金额</w:t>
            </w:r>
          </w:p>
        </w:tc>
        <w:tc>
          <w:tcPr>
            <w:tcW w:type="dxa" w:w="6762"/>
            <w:tcBorders>
              <w:top w:color="auto" w:space="0" w:sz="4" w:val="single"/>
              <w:left w:color="auto" w:space="0" w:sz="4" w:val="single"/>
              <w:bottom w:color="auto" w:space="0" w:sz="4" w:val="single"/>
              <w:right w:color="000000" w:space="0" w:sz="8" w:val="single"/>
            </w:tcBorders>
            <w:vAlign w:val="center"/>
          </w:tcPr>
          <w:p w14:paraId="57F0E3B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【A】类份额初始认购金额不低于【人民币】【1】元，以【人民币】【0.01】元的整数倍增加。追加认购金额不低于【人民币】【0.01】元，以【人民币】【0.01】元的整数倍增加。</w:t>
              <w:br/>
              <w:t>【B】类份额初始认购金额不低于【人民币】【1】元，以【人民币】【0.01】元的整数倍增加。追加认购金额不低于【人民币】【0.01】元，以【人民币】【0.01】元的整数倍增加。</w:t>
              <w:br/>
              <w:t>【C】类份额初始认购金额不低于【人民币】【1】元，以【人民币】【0.01】元的整数倍增加。追加认购金额不低于【人民币】【0.01】元，以【人民币】【0.01】元的整数倍增加。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【M】类份额初始认购金额不低于【人民币】【1】元，以【人民币】【0.01】元的整数倍增加。追加认购金额不低于【人民币】【0.01】元，以【人民币】【0.01】元的整数倍增加。</w:t>
              <w:br/>
              <w:t>【N】类份额初始认购金额不低于【人民币】【1】元，以【人民币】【0.01】元的整数倍增加。追加认购金额不低于【人民币】【0.01】元，以【人民币】【0.01】元的整数倍增加。</w:t>
              <w:br/>
              <w:t>【P】类份额初始认购金额不低于【人民币】【1】元，以【人民币】【0.01】元的整数倍增加。追加认购金额不低于【人民币】【0.01】元，以【人民币】【0.01】元的整数倍增加。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r>
            <w:r>
              <w:rPr>
                <w:rFonts w:ascii="楷体_GB2312" w:cs="楷体_GB2312" w:eastAsia="楷体_GB2312"/>
                <w:sz w:val="20"/>
                <w:szCs w:val="20"/>
                <w:highlight w:val="none"/>
              </w:rPr>
              <w:t/>
            </w:r>
          </w:p>
          <w:p w14:paraId="08EA2943">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p>
          <w:p w14:paraId="632CDBBD">
            <w:pPr>
              <w:widowControl/>
              <w:spacing w:line="300" w:lineRule="exact"/>
              <w:ind w:left="-2" w:leftChars="-1" w:right="36" w:rightChars="15"/>
              <w:jc w:val="left"/>
              <w:textAlignment w:val="auto"/>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代销机构对产品的认购起点及追加认购金额的要求与信银理财不一致的，以代销机构为准，但不得低于上述对应金额。</w:t>
            </w:r>
          </w:p>
        </w:tc>
      </w:tr>
      <w:tr w14:paraId="1DC0AB00">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05206D93">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计划募集金额上限</w:t>
            </w:r>
          </w:p>
        </w:tc>
        <w:tc>
          <w:tcPr>
            <w:tcW w:type="dxa" w:w="6762"/>
            <w:tcBorders>
              <w:top w:color="auto" w:space="0" w:sz="4" w:val="single"/>
              <w:left w:color="auto" w:space="0" w:sz="4" w:val="single"/>
              <w:bottom w:color="auto" w:space="0" w:sz="4" w:val="single"/>
              <w:right w:color="000000" w:space="0" w:sz="8" w:val="single"/>
            </w:tcBorders>
            <w:vAlign w:val="center"/>
          </w:tcPr>
          <w:p w14:paraId="1A7536B6">
            <w:pPr>
              <w:spacing w:line="300" w:lineRule="exact"/>
              <w:ind w:right="36" w:rightChars="15"/>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无。</w:t>
            </w:r>
            <w:r>
              <w:rPr>
                <w:rFonts w:ascii="楷体_GB2312" w:cs="楷体_GB2312" w:eastAsia="楷体_GB2312"/>
                <w:color w:themeColor="text1" w:val="000000"/>
                <w:sz w:val="20"/>
                <w:szCs w:val="20"/>
                <w:highlight w:val="none"/>
                <w14:textFill>
                  <w14:solidFill>
                    <w14:schemeClr w14:val="tx1"/>
                  </w14:solidFill>
                </w14:textFill>
              </w:rPr>
              <w:t/>
            </w:r>
          </w:p>
        </w:tc>
      </w:tr>
      <w:tr w14:paraId="0F344F7F">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shd w:color="auto" w:fill="auto" w:val="clear"/>
            <w:vAlign w:val="center"/>
          </w:tcPr>
          <w:p w14:paraId="0B967A70">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计划募集金额下限</w:t>
            </w:r>
          </w:p>
        </w:tc>
        <w:tc>
          <w:tcPr>
            <w:tcW w:type="dxa" w:w="6762"/>
            <w:tcBorders>
              <w:top w:color="auto" w:space="0" w:sz="4" w:val="single"/>
              <w:left w:color="auto" w:space="0" w:sz="4" w:val="single"/>
              <w:bottom w:color="auto" w:space="0" w:sz="4" w:val="single"/>
              <w:right w:color="000000" w:space="0" w:sz="8" w:val="single"/>
            </w:tcBorders>
            <w:vAlign w:val="center"/>
          </w:tcPr>
          <w:p w14:paraId="14C735E6">
            <w:pPr>
              <w:spacing w:line="300" w:lineRule="exact"/>
              <w:ind w:left="-2" w:leftChars="-1" w:right="36" w:rightChars="15"/>
              <w:rPr>
                <w:rFonts w:ascii="仿宋" w:cs="宋体" w:eastAsia="仿宋" w:hAnsi="仿宋" w:hint="eastAsia"/>
                <w:bCs/>
                <w:color w:themeColor="text1" w:val="000000"/>
                <w:kern w:val="0"/>
                <w:sz w:val="24"/>
                <w:highlight w:val="none"/>
                <w:lang w:bidi="ar"/>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43B54B43">
        <w:tblPrEx>
          <w:tblCellMar>
            <w:top w:type="dxa" w:w="0"/>
            <w:left w:type="dxa" w:w="108"/>
            <w:bottom w:type="dxa" w:w="0"/>
            <w:right w:type="dxa" w:w="108"/>
          </w:tblCellMar>
        </w:tblPrEx>
        <w:trPr>
          <w:trHeight w:hRule="atLeast" w:val="1140"/>
        </w:trPr>
        <w:tc>
          <w:tcPr>
            <w:tcW w:type="dxa" w:w="2842"/>
            <w:tcBorders>
              <w:top w:color="auto" w:space="0" w:sz="4" w:val="single"/>
              <w:left w:color="000000" w:space="0" w:sz="8" w:val="single"/>
              <w:bottom w:val="nil"/>
              <w:right w:color="auto" w:space="0" w:sz="4" w:val="single"/>
            </w:tcBorders>
            <w:vAlign w:val="center"/>
          </w:tcPr>
          <w:p w14:paraId="77C8957C">
            <w:pPr>
              <w:widowControl/>
              <w:spacing w:line="40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认购、申购、赎回安排</w:t>
            </w:r>
          </w:p>
        </w:tc>
        <w:tc>
          <w:tcPr>
            <w:tcW w:type="dxa" w:w="6762"/>
            <w:tcBorders>
              <w:top w:color="auto" w:space="0" w:sz="4" w:val="single"/>
              <w:left w:color="auto" w:space="0" w:sz="4" w:val="single"/>
              <w:bottom w:val="nil"/>
              <w:right w:color="000000" w:space="0" w:sz="8" w:val="single"/>
            </w:tcBorders>
            <w:vAlign w:val="center"/>
          </w:tcPr>
          <w:p w14:paraId="01C180B9">
            <w:pPr>
              <w:ind w:right="96" w:rightChars="40"/>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1.本产品募集期为</w:t>
            </w:r>
            <w:r>
              <w:rPr>
                <w:rFonts w:ascii="楷体_GB2312" w:cs="楷体_GB2312" w:eastAsia="楷体_GB2312" w:hint="eastAsia"/>
                <w:color w:themeColor="text1" w:val="000000"/>
                <w:sz w:val="20"/>
                <w:szCs w:val="20"/>
                <w:highlight w:val="none"/>
                <w14:textFill>
                  <w14:solidFill>
                    <w14:schemeClr w14:val="tx1"/>
                  </w14:solidFill>
                </w14:textFill>
              </w:rPr>
              <w:t>【2026】年【8】月【18】日至【2026】年【8】月【24】日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信银理财有权提前结束募集期并提前成立产品或者延长募集期。</w:t>
            </w:r>
          </w:p>
          <w:p w14:paraId="12DC9547">
            <w:pPr>
              <w:keepNext w:val="0"/>
              <w:keepLines w:val="0"/>
              <w:pageBreakBefore w:val="0"/>
              <w:widowControl/>
              <w:kinsoku/>
              <w:wordWrap/>
              <w:overflowPunct/>
              <w:topLinePunct w:val="0"/>
              <w:autoSpaceDE/>
              <w:autoSpaceDN/>
              <w:bidi w:val="0"/>
              <w:adjustRightInd/>
              <w:snapToGrid/>
              <w:spacing w:line="300" w:lineRule="exact"/>
              <w:ind w:left="0" w:leftChars="0" w:right="96" w:rightChars="40"/>
              <w:textAlignment w:val="auto"/>
              <w:rPr>
                <w:rFonts w:ascii="楷体_GB2312" w:cs="楷体_GB2312" w:eastAsia="楷体_GB2312" w:hAnsi="宋体" w:hint="default"/>
                <w:bCs w:val="0"/>
                <w:color w:themeColor="text1" w:val="000000"/>
                <w:kern w:val="0"/>
                <w:sz w:val="20"/>
                <w:szCs w:val="20"/>
                <w:highlight w:val="none"/>
                <w:lang w:bidi="ar"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本产品不开放申购和赎回。</w:t>
            </w:r>
          </w:p>
        </w:tc>
      </w:tr>
      <w:tr w14:paraId="641558E5">
        <w:tblPrEx>
          <w:tblCellMar>
            <w:top w:type="dxa" w:w="0"/>
            <w:left w:type="dxa" w:w="108"/>
            <w:bottom w:type="dxa" w:w="0"/>
            <w:right w:type="dxa" w:w="108"/>
          </w:tblCellMar>
        </w:tblPrEx>
        <w:trPr>
          <w:trHeight w:hRule="atLeast" w:val="1140"/>
        </w:trPr>
        <w:tc>
          <w:tcPr>
            <w:tcW w:type="dxa" w:w="2842"/>
            <w:tcBorders>
              <w:top w:color="auto" w:space="0" w:sz="4" w:val="single"/>
              <w:left w:color="000000" w:space="0" w:sz="8" w:val="single"/>
              <w:bottom w:val="nil"/>
              <w:right w:color="auto" w:space="0" w:sz="4" w:val="single"/>
            </w:tcBorders>
            <w:vAlign w:val="center"/>
          </w:tcPr>
          <w:p w14:paraId="4E6077F5">
            <w:pPr>
              <w:widowControl/>
              <w:spacing w:line="400" w:lineRule="exact"/>
              <w:jc w:val="center"/>
              <w:textAlignment w:val="center"/>
              <w:rPr>
                <w:rFonts w:ascii="仿宋_GB2312" w:cs="仿宋_GB2312" w:eastAsia="仿宋_GB2312" w:hAnsi="等线" w:hint="eastAsia"/>
                <w:color w:themeColor="text1" w:val="000000"/>
                <w:sz w:val="24"/>
                <w:highlight w:val="none"/>
                <w:lang w:bidi="ar"/>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收益分配方式</w:t>
            </w:r>
          </w:p>
        </w:tc>
        <w:tc>
          <w:tcPr>
            <w:tcW w:type="dxa" w:w="6762"/>
            <w:tcBorders>
              <w:top w:color="auto" w:space="0" w:sz="4" w:val="single"/>
              <w:left w:color="auto" w:space="0" w:sz="4" w:val="single"/>
              <w:bottom w:val="nil"/>
              <w:right w:color="000000" w:space="0" w:sz="8" w:val="single"/>
            </w:tcBorders>
            <w:vAlign w:val="center"/>
          </w:tcPr>
          <w:p w14:paraId="5295EEB5">
            <w:pPr>
              <w:pStyle w:val="20"/>
              <w:numPr>
                <w:ilvl w:val="0"/>
                <w:numId w:val="0"/>
              </w:numPr>
              <w:spacing w:line="300" w:lineRule="exact"/>
              <w:ind w:firstLine="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7221626F">
            <w:pPr>
              <w:spacing w:line="400" w:lineRule="exact"/>
              <w:ind w:firstLine="0" w:firstLineChars="0" w:right="0" w:rightChars="0"/>
              <w:textAlignment w:val="center"/>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default"/>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00E441A4">
            <w:pPr>
              <w:pStyle w:val="20"/>
              <w:numPr>
                <w:ilvl w:val="0"/>
                <w:numId w:val="0"/>
              </w:numPr>
              <w:spacing w:line="300" w:lineRule="exact"/>
              <w:ind w:firstLine="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C47B9BA">
            <w:pPr>
              <w:keepNext w:val="0"/>
              <w:keepLines w:val="0"/>
              <w:pageBreakBefore w:val="0"/>
              <w:widowControl/>
              <w:kinsoku/>
              <w:wordWrap/>
              <w:overflowPunct/>
              <w:topLinePunct w:val="0"/>
              <w:autoSpaceDE/>
              <w:autoSpaceDN/>
              <w:bidi w:val="0"/>
              <w:adjustRightInd/>
              <w:snapToGrid/>
              <w:spacing w:line="300" w:lineRule="exact"/>
              <w:ind w:firstLine="0" w:firstLineChars="0" w:right="0" w:rightChars="0"/>
              <w:textAlignment w:val="center"/>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default"/>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default"/>
                <w:color w:themeColor="text1" w:val="000000"/>
                <w:sz w:val="20"/>
                <w:szCs w:val="20"/>
                <w:highlight w:val="none"/>
                <w14:textFill>
                  <w14:solidFill>
                    <w14:schemeClr w14:val="tx1"/>
                  </w14:solidFill>
                </w14:textFill>
              </w:rPr>
              <w:t>及其他应由产品承担的税费后的投资损益全部归属投资者。</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0D0CD04D">
            <w:pPr>
              <w:keepNext w:val="0"/>
              <w:keepLines w:val="0"/>
              <w:pageBreakBefore w:val="0"/>
              <w:widowControl/>
              <w:kinsoku/>
              <w:wordWrap/>
              <w:overflowPunct/>
              <w:topLinePunct w:val="0"/>
              <w:autoSpaceDE/>
              <w:autoSpaceDN/>
              <w:bidi w:val="0"/>
              <w:adjustRightInd/>
              <w:snapToGrid/>
              <w:spacing w:line="300" w:lineRule="exact"/>
              <w:ind w:firstLine="0" w:firstLineChars="0" w:right="0" w:rightChars="0"/>
              <w:textAlignment w:val="center"/>
              <w:rPr>
                <w:rFonts w:ascii="楷体_GB2312" w:cs="楷体_GB2312" w:eastAsia="楷体_GB2312" w:hint="eastAsia"/>
                <w:color w:themeColor="text1" w:val="000000"/>
                <w:sz w:val="20"/>
                <w:szCs w:val="20"/>
                <w:highlight w:val="none"/>
                <w:lang w:eastAsia="zh-CN"/>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p>
          <w:p w14:paraId="65E6D8B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仿宋_GB2312" w:cs="仿宋_GB2312" w:eastAsia="仿宋_GB2312" w:hAnsi="等线" w:hint="eastAsia"/>
                <w:bCs w:val="0"/>
                <w:color w:themeColor="text1" w:val="000000"/>
                <w:sz w:val="24"/>
                <w:highlight w:val="none"/>
                <w:lang w:bidi="ar"/>
                <w14:textFill>
                  <w14:solidFill>
                    <w14:schemeClr w14:val="tx1"/>
                  </w14:solidFill>
                </w14:textFill>
              </w:rPr>
            </w:pPr>
            <w:r>
              <w:rPr>
                <w:rFonts w:ascii="楷体_GB2312" w:cs="楷体_GB2312" w:eastAsia="楷体_GB2312" w:hAnsi="宋体" w:hint="default"/>
                <w:bCs w:val="0"/>
                <w:color w:themeColor="text1" w:val="000000"/>
                <w:kern w:val="0"/>
                <w:sz w:val="20"/>
                <w:szCs w:val="20"/>
                <w:highlight w:val="none"/>
                <w:lang w:bidi="ar" w:eastAsia="zh-CN" w:val="en-US"/>
                <w14:textFill>
                  <w14:solidFill>
                    <w14:schemeClr w14:val="tx1"/>
                  </w14:solidFill>
                </w14:textFill>
              </w:rPr>
              <w:t>详见《产品说明书》之“理财资金分配”</w:t>
            </w:r>
            <w:r>
              <w:rPr>
                <w:rFonts w:ascii="楷体_GB2312" w:cs="楷体_GB2312" w:eastAsia="楷体_GB2312" w:hint="eastAsia"/>
                <w:bCs w:val="0"/>
                <w:color w:themeColor="text1" w:val="000000"/>
                <w:kern w:val="0"/>
                <w:sz w:val="20"/>
                <w:szCs w:val="20"/>
                <w:highlight w:val="none"/>
                <w:lang w:bidi="ar" w:eastAsia="zh-CN" w:val="en-US"/>
                <w14:textFill>
                  <w14:solidFill>
                    <w14:schemeClr w14:val="tx1"/>
                  </w14:solidFill>
                </w14:textFill>
              </w:rPr>
              <w:t>。</w:t>
            </w:r>
          </w:p>
        </w:tc>
      </w:tr>
      <w:tr w14:paraId="7D3DD9B1">
        <w:tblPrEx>
          <w:tblCellMar>
            <w:top w:type="dxa" w:w="0"/>
            <w:left w:type="dxa" w:w="108"/>
            <w:bottom w:type="dxa" w:w="0"/>
            <w:right w:type="dxa" w:w="108"/>
          </w:tblCellMar>
        </w:tblPrEx>
        <w:trPr>
          <w:trHeight w:hRule="atLeast" w:val="270"/>
        </w:trPr>
        <w:tc>
          <w:tcPr>
            <w:tcW w:type="dxa" w:w="9604"/>
            <w:gridSpan w:val="2"/>
            <w:tcBorders>
              <w:top w:color="000000" w:space="0" w:sz="4" w:val="single"/>
              <w:left w:color="000000" w:space="0" w:sz="8" w:val="single"/>
              <w:bottom w:val="nil"/>
              <w:right w:color="000000" w:space="0" w:sz="8" w:val="single"/>
            </w:tcBorders>
            <w:vAlign w:val="center"/>
          </w:tcPr>
          <w:p w14:paraId="220036AA">
            <w:pPr>
              <w:widowControl/>
              <w:spacing w:line="400" w:lineRule="exact"/>
              <w:jc w:val="center"/>
              <w:textAlignment w:val="center"/>
              <w:rPr>
                <w:rFonts w:ascii="楷体_GB2312" w:cs="楷体_GB2312" w:eastAsia="楷体_GB2312" w:hAnsi="等线" w:hint="eastAsia"/>
                <w:b/>
                <w:bCs/>
                <w:color w:themeColor="text1" w:val="000000"/>
                <w:sz w:val="24"/>
                <w:highlight w:val="none"/>
                <w14:textFill>
                  <w14:solidFill>
                    <w14:schemeClr w14:val="tx1"/>
                  </w14:solidFill>
                </w14:textFill>
              </w:rPr>
            </w:pPr>
            <w:r>
              <w:rPr>
                <w:rFonts w:ascii="楷体_GB2312" w:cs="楷体_GB2312" w:eastAsia="楷体_GB2312" w:hAnsi="等线" w:hint="eastAsia"/>
                <w:b/>
                <w:bCs/>
                <w:color w:themeColor="text1" w:val="000000"/>
                <w:kern w:val="0"/>
                <w:sz w:val="24"/>
                <w:highlight w:val="none"/>
                <w:lang w:bidi="ar"/>
                <w14:textFill>
                  <w14:solidFill>
                    <w14:schemeClr w14:val="tx1"/>
                  </w14:solidFill>
                </w14:textFill>
              </w:rPr>
              <w:t>（三）产品性质与类型</w:t>
            </w:r>
          </w:p>
        </w:tc>
      </w:tr>
      <w:tr w14:paraId="5E286AC6">
        <w:tblPrEx>
          <w:tblCellMar>
            <w:top w:type="dxa" w:w="0"/>
            <w:left w:type="dxa" w:w="108"/>
            <w:bottom w:type="dxa" w:w="0"/>
            <w:right w:type="dxa" w:w="108"/>
          </w:tblCellMar>
        </w:tblPrEx>
        <w:trPr>
          <w:trHeight w:hRule="atLeast" w:val="540"/>
        </w:trPr>
        <w:tc>
          <w:tcPr>
            <w:tcW w:type="dxa" w:w="2842"/>
            <w:tcBorders>
              <w:top w:color="000000" w:space="0" w:sz="4" w:val="single"/>
              <w:left w:color="000000" w:space="0" w:sz="8" w:val="single"/>
              <w:bottom w:color="auto" w:space="0" w:sz="4" w:val="single"/>
              <w:right w:color="auto" w:space="0" w:sz="4" w:val="single"/>
            </w:tcBorders>
            <w:vAlign w:val="center"/>
          </w:tcPr>
          <w:p w14:paraId="48D55582">
            <w:pPr>
              <w:widowControl/>
              <w:spacing w:line="400" w:lineRule="exact"/>
              <w:jc w:val="center"/>
              <w:textAlignment w:val="center"/>
              <w:rPr>
                <w:rFonts w:ascii="仿宋_GB2312" w:cs="仿宋_GB2312" w:eastAsia="仿宋_GB2312" w:hAnsi="等线" w:hint="default"/>
                <w:color w:themeColor="text1" w:val="000000"/>
                <w:sz w:val="24"/>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募集方式、投资性质、运作模式</w:t>
            </w:r>
          </w:p>
        </w:tc>
        <w:tc>
          <w:tcPr>
            <w:tcW w:type="dxa" w:w="6762"/>
            <w:tcBorders>
              <w:top w:color="000000" w:space="0" w:sz="4" w:val="single"/>
              <w:left w:color="auto" w:space="0" w:sz="4" w:val="single"/>
              <w:bottom w:color="auto" w:space="0" w:sz="4" w:val="single"/>
              <w:right w:color="000000" w:space="0" w:sz="8" w:val="single"/>
            </w:tcBorders>
            <w:vAlign w:val="center"/>
          </w:tcPr>
          <w:p w14:paraId="3B3E3FF5">
            <w:pPr>
              <w:widowControl/>
              <w:spacing w:line="400" w:lineRule="exact"/>
              <w:jc w:val="center"/>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eastAsia="楷体_GB2312"/>
                <w:color w:themeColor="text1" w:val="000000"/>
                <w:sz w:val="20"/>
                <w:szCs w:val="20"/>
                <w:highlight w:val="none"/>
                <w14:textFill>
                  <w14:solidFill>
                    <w14:schemeClr w14:val="tx1"/>
                  </w14:solidFill>
                </w14:textFill>
              </w:rPr>
              <w:t/>
            </w:r>
          </w:p>
        </w:tc>
      </w:tr>
      <w:tr w14:paraId="5267432C">
        <w:tblPrEx>
          <w:tblCellMar>
            <w:top w:type="dxa" w:w="0"/>
            <w:left w:type="dxa" w:w="108"/>
            <w:bottom w:type="dxa" w:w="0"/>
            <w:right w:type="dxa" w:w="108"/>
          </w:tblCellMar>
        </w:tblPrEx>
        <w:trPr>
          <w:trHeight w:hRule="atLeast" w:val="810"/>
        </w:trPr>
        <w:tc>
          <w:tcPr>
            <w:tcW w:type="dxa" w:w="2842"/>
            <w:tcBorders>
              <w:top w:color="auto" w:space="0" w:sz="4" w:val="single"/>
              <w:left w:color="000000" w:space="0" w:sz="8" w:val="single"/>
              <w:bottom w:color="auto" w:space="0" w:sz="4" w:val="single"/>
              <w:right w:color="auto" w:space="0" w:sz="4" w:val="single"/>
            </w:tcBorders>
            <w:vAlign w:val="center"/>
          </w:tcPr>
          <w:p w14:paraId="0A2BC4B1">
            <w:pPr>
              <w:widowControl/>
              <w:spacing w:line="400" w:lineRule="exact"/>
              <w:jc w:val="center"/>
              <w:textAlignment w:val="center"/>
              <w:rPr>
                <w:rFonts w:ascii="仿宋_GB2312" w:cs="仿宋_GB2312" w:eastAsia="仿宋_GB2312" w:hAnsi="等线" w:hint="eastAsia"/>
                <w:color w:themeColor="text1" w:val="000000"/>
                <w:sz w:val="24"/>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风险等级</w:t>
            </w:r>
          </w:p>
        </w:tc>
        <w:tc>
          <w:tcPr>
            <w:tcW w:type="dxa" w:w="6762"/>
            <w:tcBorders>
              <w:top w:color="auto" w:space="0" w:sz="4" w:val="single"/>
              <w:left w:color="auto" w:space="0" w:sz="4" w:val="single"/>
              <w:bottom w:color="auto" w:space="0" w:sz="4" w:val="single"/>
              <w:right w:color="000000" w:space="0" w:sz="8" w:val="single"/>
            </w:tcBorders>
            <w:vAlign w:val="center"/>
          </w:tcPr>
          <w:p w14:paraId="3A372E3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【2</w:t>
            </w:r>
            <w:r>
              <w:rPr>
                <w:rFonts w:ascii="楷体_GB2312" w:cs="楷体_GB2312" w:eastAsia="楷体_GB2312"/>
                <w:sz w:val="20"/>
                <w:szCs w:val="20"/>
                <w:highlight w:val="none"/>
              </w:rPr>
              <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。本风险分级为信银理财自行评定，仅供参考。</w:t>
            </w:r>
          </w:p>
          <w:p w14:paraId="6122E30E">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4C256A2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r>
              <w:rPr>
                <w:rFonts w:ascii="仿宋_GB2312" w:cs="仿宋_GB2312" w:eastAsia="仿宋_GB2312" w:hAnsi="等线" w:hint="eastAsia"/>
                <w:bCs/>
                <w:color w:themeColor="text1" w:val="000000"/>
                <w:kern w:val="0"/>
                <w:sz w:val="24"/>
                <w:highlight w:val="none"/>
                <w:lang w:bidi="ar"/>
                <w14:textFill>
                  <w14:solidFill>
                    <w14:schemeClr w14:val="tx1"/>
                  </w14:solidFill>
                </w14:textFill>
              </w:rPr>
              <w:br w:type="textWrapping"/>
            </w:r>
            <w:r>
              <w:rPr>
                <w:rFonts w:ascii="楷体_GB2312" w:cs="楷体_GB2312" w:eastAsia="楷体_GB2312" w:hAnsi="宋体" w:hint="default"/>
                <w:b/>
                <w:bCs/>
                <w:color w:themeColor="text1" w:val="000000"/>
                <w:kern w:val="0"/>
                <w:sz w:val="20"/>
                <w:szCs w:val="20"/>
                <w:highlight w:val="none"/>
                <w:lang w:bidi="ar"/>
                <w14:textFill>
                  <w14:solidFill>
                    <w14:schemeClr w14:val="tx1"/>
                  </w14:solidFill>
                </w14:textFill>
              </w:rPr>
              <w:t>（重要提示：该等级为理财产品发行机构评定结果，该产品通过代理销售机构渠道销售的，理财产品评级应当以代理销售机构最终披露的评级结果为准。）</w:t>
            </w:r>
          </w:p>
        </w:tc>
      </w:tr>
      <w:tr w14:paraId="60459D73">
        <w:tblPrEx>
          <w:tblCellMar>
            <w:top w:type="dxa" w:w="0"/>
            <w:left w:type="dxa" w:w="108"/>
            <w:bottom w:type="dxa" w:w="0"/>
            <w:right w:type="dxa" w:w="108"/>
          </w:tblCellMar>
        </w:tblPrEx>
        <w:trPr>
          <w:trHeight w:hRule="atLeast" w:val="90"/>
        </w:trPr>
        <w:tc>
          <w:tcPr>
            <w:tcW w:type="dxa" w:w="2842"/>
            <w:tcBorders>
              <w:top w:color="auto" w:space="0" w:sz="4" w:val="single"/>
              <w:left w:color="auto" w:space="0" w:sz="4" w:val="single"/>
              <w:bottom w:val="nil"/>
              <w:right w:color="auto" w:space="0" w:sz="4" w:val="single"/>
            </w:tcBorders>
            <w:vAlign w:val="center"/>
          </w:tcPr>
          <w:p w14:paraId="5E88CE5E">
            <w:pPr>
              <w:widowControl/>
              <w:spacing w:line="400" w:lineRule="exact"/>
              <w:jc w:val="center"/>
              <w:textAlignment w:val="center"/>
              <w:rPr>
                <w:rFonts w:ascii="仿宋_GB2312" w:cs="仿宋_GB2312" w:eastAsia="仿宋_GB2312" w:hAnsi="等线" w:hint="eastAsia"/>
                <w:color w:themeColor="text1" w:val="000000"/>
                <w:kern w:val="0"/>
                <w:sz w:val="24"/>
                <w:highlight w:val="none"/>
                <w:lang w:bidi="ar"/>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是否为现金管理类产品</w:t>
            </w:r>
          </w:p>
        </w:tc>
        <w:tc>
          <w:tcPr>
            <w:tcW w:type="dxa" w:w="6762"/>
            <w:tcBorders>
              <w:top w:color="auto" w:space="0" w:sz="4" w:val="single"/>
              <w:left w:color="auto" w:space="0" w:sz="4" w:val="single"/>
              <w:bottom w:val="nil"/>
              <w:right w:color="auto" w:space="0" w:sz="4" w:val="single"/>
            </w:tcBorders>
            <w:shd w:color="auto" w:fill="auto" w:val="clear"/>
            <w:vAlign w:val="center"/>
          </w:tcPr>
          <w:p w14:paraId="4161CEC1">
            <w:pPr>
              <w:keepNext w:val="0"/>
              <w:keepLines w:val="0"/>
              <w:widowControl/>
              <w:suppressLineNumbers w:val="0"/>
              <w:jc w:val="center"/>
              <w:textAlignment w:val="center"/>
              <w:rPr>
                <w:rFonts w:hint="eastAsia"/>
                <w:highlight w:val="none"/>
                <w:lang w:eastAsia="zh-CN" w:val="en-US"/>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否</w:t>
            </w:r>
          </w:p>
        </w:tc>
      </w:tr>
      <w:tr w14:paraId="0D2B6945">
        <w:tblPrEx>
          <w:tblCellMar>
            <w:top w:type="dxa" w:w="0"/>
            <w:left w:type="dxa" w:w="108"/>
            <w:bottom w:type="dxa" w:w="0"/>
            <w:right w:type="dxa" w:w="108"/>
          </w:tblCellMar>
        </w:tblPrEx>
        <w:trPr>
          <w:trHeight w:hRule="atLeast" w:val="270"/>
        </w:trPr>
        <w:tc>
          <w:tcPr>
            <w:tcW w:type="dxa" w:w="9604"/>
            <w:gridSpan w:val="2"/>
            <w:tcBorders>
              <w:top w:color="auto" w:space="0" w:sz="4" w:val="single"/>
              <w:left w:color="auto" w:space="0" w:sz="4" w:val="single"/>
              <w:bottom w:color="auto" w:space="0" w:sz="4" w:val="single"/>
              <w:right w:color="auto" w:space="0" w:sz="4" w:val="single"/>
            </w:tcBorders>
            <w:vAlign w:val="center"/>
          </w:tcPr>
          <w:p w14:paraId="69B62EB9">
            <w:pPr>
              <w:widowControl/>
              <w:spacing w:line="400" w:lineRule="exact"/>
              <w:jc w:val="center"/>
              <w:textAlignment w:val="center"/>
              <w:rPr>
                <w:rFonts w:ascii="楷体_GB2312" w:cs="楷体_GB2312" w:eastAsia="楷体_GB2312" w:hAnsi="等线" w:hint="eastAsia"/>
                <w:bCs/>
                <w:color w:themeColor="text1" w:val="000000"/>
                <w:sz w:val="24"/>
                <w:highlight w:val="none"/>
                <w14:textFill>
                  <w14:solidFill>
                    <w14:schemeClr w14:val="tx1"/>
                  </w14:solidFill>
                </w14:textFill>
              </w:rPr>
            </w:pPr>
            <w:r>
              <w:rPr>
                <w:rFonts w:ascii="楷体_GB2312" w:cs="楷体_GB2312" w:eastAsia="楷体_GB2312" w:hAnsi="等线" w:hint="eastAsia"/>
                <w:b/>
                <w:color w:themeColor="text1" w:val="000000"/>
                <w:kern w:val="0"/>
                <w:sz w:val="24"/>
                <w:highlight w:val="none"/>
                <w:lang w:bidi="ar"/>
                <w14:textFill>
                  <w14:solidFill>
                    <w14:schemeClr w14:val="tx1"/>
                  </w14:solidFill>
                </w14:textFill>
              </w:rPr>
              <w:t>（四）产品期限</w:t>
            </w:r>
          </w:p>
        </w:tc>
      </w:tr>
      <w:tr w14:paraId="3829C006">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vAlign w:val="center"/>
          </w:tcPr>
          <w:p w14:paraId="55722B6C">
            <w:pPr>
              <w:widowControl/>
              <w:spacing w:line="560" w:lineRule="exact"/>
              <w:jc w:val="center"/>
              <w:textAlignment w:val="center"/>
              <w:rPr>
                <w:rFonts w:ascii="Times New Roman" w:cs="楷体_GB2312" w:eastAsia="楷体_GB2312" w:hint="eastAsia"/>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w:t>
            </w: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期</w:t>
            </w:r>
          </w:p>
        </w:tc>
        <w:tc>
          <w:tcPr>
            <w:tcW w:type="dxa" w:w="6762"/>
            <w:tcBorders>
              <w:top w:val="nil"/>
              <w:left w:color="auto" w:space="0" w:sz="4" w:val="single"/>
              <w:bottom w:color="auto" w:space="0" w:sz="4" w:val="single"/>
              <w:right w:color="000000" w:space="0" w:sz="8" w:val="single"/>
            </w:tcBorders>
            <w:vAlign w:val="center"/>
          </w:tcPr>
          <w:p w14:paraId="17F8A049">
            <w:pPr>
              <w:widowControl/>
              <w:spacing w:line="4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【2026】年【8】月【18】日至【2026】年【8】月【24】日</w:t>
            </w:r>
            <w:r>
              <w:rPr>
                <w:rFonts w:ascii="楷体_GB2312" w:cs="楷体_GB2312" w:eastAsia="楷体_GB2312"/>
                <w:color w:themeColor="text1" w:val="000000"/>
                <w:sz w:val="20"/>
                <w:szCs w:val="20"/>
                <w:highlight w:val="none"/>
                <w14:textFill>
                  <w14:solidFill>
                    <w14:schemeClr w14:val="tx1"/>
                  </w14:solidFill>
                </w14:textFill>
              </w:rPr>
              <w:t/>
            </w:r>
          </w:p>
        </w:tc>
      </w:tr>
      <w:tr w14:paraId="235593F7">
        <w:tblPrEx>
          <w:tblCellMar>
            <w:top w:type="dxa" w:w="0"/>
            <w:left w:type="dxa" w:w="108"/>
            <w:bottom w:type="dxa" w:w="0"/>
            <w:right w:type="dxa" w:w="108"/>
          </w:tblCellMar>
        </w:tblPrEx>
        <w:trPr>
          <w:trHeight w:hRule="atLeast" w:val="90"/>
        </w:trPr>
        <w:tc>
          <w:tcPr>
            <w:tcW w:type="dxa" w:w="2842"/>
            <w:tcBorders>
              <w:top w:color="auto" w:space="0" w:sz="4" w:val="single"/>
              <w:left w:color="000000" w:space="0" w:sz="8" w:val="single"/>
              <w:bottom w:color="auto" w:space="0" w:sz="4" w:val="single"/>
              <w:right w:color="auto" w:space="0" w:sz="4" w:val="single"/>
            </w:tcBorders>
            <w:vAlign w:val="center"/>
          </w:tcPr>
          <w:p w14:paraId="505C5453">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产品成立日期</w:t>
            </w:r>
          </w:p>
        </w:tc>
        <w:tc>
          <w:tcPr>
            <w:tcW w:type="dxa" w:w="6762"/>
            <w:tcBorders>
              <w:top w:color="auto" w:space="0" w:sz="4" w:val="single"/>
              <w:left w:color="auto" w:space="0" w:sz="4" w:val="single"/>
              <w:bottom w:color="auto" w:space="0" w:sz="4" w:val="single"/>
              <w:right w:color="000000" w:space="0" w:sz="8" w:val="single"/>
            </w:tcBorders>
            <w:vAlign w:val="center"/>
          </w:tcPr>
          <w:p w14:paraId="011BD20B">
            <w:pPr>
              <w:widowControl/>
              <w:spacing w:line="4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【2026】年【8】月【25】日</w:t>
            </w:r>
            <w:r>
              <w:rPr>
                <w:rFonts w:ascii="Times New Roman" w:cs="Times New Roman" w:eastAsia="楷体_GB2312"/>
                <w:color w:themeColor="text1" w:val="000000"/>
                <w:sz w:val="20"/>
                <w:szCs w:val="20"/>
                <w:highlight w:val="none"/>
                <w14:textFill>
                  <w14:solidFill>
                    <w14:schemeClr w14:val="tx1"/>
                  </w14:solidFill>
                </w14:textFill>
              </w:rPr>
              <w:t/>
            </w:r>
          </w:p>
        </w:tc>
      </w:tr>
      <w:tr w14:paraId="2E4F5724">
        <w:tblPrEx>
          <w:tblCellMar>
            <w:top w:type="dxa" w:w="0"/>
            <w:left w:type="dxa" w:w="108"/>
            <w:bottom w:type="dxa" w:w="0"/>
            <w:right w:type="dxa" w:w="108"/>
          </w:tblCellMar>
        </w:tblPrEx>
        <w:trPr>
          <w:trHeight w:hRule="atLeast" w:val="540"/>
        </w:trPr>
        <w:tc>
          <w:tcPr>
            <w:tcW w:type="dxa" w:w="2842"/>
            <w:tcBorders>
              <w:top w:color="auto" w:space="0" w:sz="4" w:val="single"/>
              <w:left w:color="000000" w:space="0" w:sz="8" w:val="single"/>
              <w:bottom w:color="auto" w:space="0" w:sz="4" w:val="single"/>
              <w:right w:color="auto" w:space="0" w:sz="4" w:val="single"/>
            </w:tcBorders>
            <w:vAlign w:val="center"/>
          </w:tcPr>
          <w:p w14:paraId="251A2567">
            <w:pPr>
              <w:widowControl/>
              <w:spacing w:line="560" w:lineRule="exact"/>
              <w:jc w:val="center"/>
              <w:textAlignment w:val="center"/>
              <w:rPr>
                <w:rFonts w:ascii="Times New Roman" w:cs="楷体_GB2312" w:eastAsia="楷体_GB2312" w:hint="default"/>
                <w:color w:themeColor="text1" w:val="000000"/>
                <w:sz w:val="20"/>
                <w:szCs w:val="20"/>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产品到期日期</w:t>
            </w: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/产品终止日期</w:t>
            </w:r>
          </w:p>
        </w:tc>
        <w:tc>
          <w:tcPr>
            <w:tcW w:type="dxa" w:w="6762"/>
            <w:tcBorders>
              <w:top w:color="auto" w:space="0" w:sz="4" w:val="single"/>
              <w:left w:color="auto" w:space="0" w:sz="4" w:val="single"/>
              <w:bottom w:color="auto" w:space="0" w:sz="4" w:val="single"/>
              <w:right w:color="000000" w:space="0" w:sz="8" w:val="single"/>
            </w:tcBorders>
            <w:vAlign w:val="center"/>
          </w:tcPr>
          <w:p w14:paraId="7719A802">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【2026】年【11】月【25】日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26F2B111">
        <w:tblPrEx>
          <w:tblCellMar>
            <w:top w:type="dxa" w:w="0"/>
            <w:left w:type="dxa" w:w="108"/>
            <w:bottom w:type="dxa" w:w="0"/>
            <w:right w:type="dxa" w:w="108"/>
          </w:tblCellMar>
        </w:tblPrEx>
        <w:trPr>
          <w:trHeight w:hRule="atLeast" w:val="473"/>
        </w:trPr>
        <w:tc>
          <w:tcPr>
            <w:tcW w:type="dxa" w:w="2842"/>
            <w:tcBorders>
              <w:top w:color="auto" w:space="0" w:sz="4" w:val="single"/>
              <w:left w:color="000000" w:space="0" w:sz="8" w:val="single"/>
              <w:bottom w:color="auto" w:space="0" w:sz="4" w:val="single"/>
              <w:right w:color="auto" w:space="0" w:sz="4" w:val="single"/>
            </w:tcBorders>
            <w:vAlign w:val="center"/>
          </w:tcPr>
          <w:p w14:paraId="34CECC6E">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资金到账日</w:t>
            </w:r>
          </w:p>
        </w:tc>
        <w:tc>
          <w:tcPr>
            <w:tcW w:type="dxa" w:w="6762"/>
            <w:tcBorders>
              <w:top w:color="auto" w:space="0" w:sz="4" w:val="single"/>
              <w:left w:color="auto" w:space="0" w:sz="4" w:val="single"/>
              <w:bottom w:color="auto" w:space="0" w:sz="4" w:val="single"/>
              <w:right w:color="auto" w:space="0" w:sz="4" w:val="single"/>
            </w:tcBorders>
            <w:vAlign w:val="center"/>
          </w:tcPr>
          <w:p w14:paraId="7C857551">
            <w:pPr>
              <w:widowControl/>
              <w:spacing w:line="4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到期日</w:t>
            </w:r>
            <w:r>
              <w:rPr>
                <w:rFonts w:ascii="楷体_GB2312" w:cs="楷体_GB2312" w:eastAsia="楷体_GB2312" w:hint="eastAsia"/>
                <w:color w:themeColor="text1" w:val="000000"/>
                <w:sz w:val="20"/>
                <w:szCs w:val="20"/>
                <w:highlight w:val="none"/>
                <w14:textFill>
                  <w14:solidFill>
                    <w14:schemeClr w14:val="tx1"/>
                  </w14:solidFill>
                </w14:textFill>
              </w:rPr>
              <w:t>后【5】个工作日内</w:t>
            </w:r>
          </w:p>
        </w:tc>
      </w:tr>
      <w:tr w14:paraId="0F287ABF">
        <w:tblPrEx>
          <w:tblCellMar>
            <w:top w:type="dxa" w:w="0"/>
            <w:left w:type="dxa" w:w="108"/>
            <w:bottom w:type="dxa" w:w="0"/>
            <w:right w:type="dxa" w:w="108"/>
          </w:tblCellMar>
        </w:tblPrEx>
        <w:trPr>
          <w:trHeight w:hRule="atLeast" w:val="165"/>
        </w:trPr>
        <w:tc>
          <w:tcPr>
            <w:tcW w:type="dxa" w:w="2842"/>
            <w:tcBorders>
              <w:top w:color="auto" w:space="0" w:sz="4" w:val="single"/>
              <w:left w:color="000000" w:space="0" w:sz="8" w:val="single"/>
              <w:bottom w:val="nil"/>
              <w:right w:color="auto" w:space="0" w:sz="4" w:val="single"/>
            </w:tcBorders>
            <w:vAlign w:val="center"/>
          </w:tcPr>
          <w:p w14:paraId="09F112CA">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投资周期</w:t>
            </w:r>
          </w:p>
        </w:tc>
        <w:tc>
          <w:tcPr>
            <w:tcW w:type="dxa" w:w="6762"/>
            <w:tcBorders>
              <w:top w:color="auto" w:space="0" w:sz="4" w:val="single"/>
              <w:left w:color="auto" w:space="0" w:sz="4" w:val="single"/>
              <w:bottom w:val="nil"/>
              <w:right w:color="000000" w:space="0" w:sz="8" w:val="single"/>
            </w:tcBorders>
            <w:vAlign w:val="center"/>
          </w:tcPr>
          <w:p w14:paraId="006A7573">
            <w:pPr>
              <w:widowControl/>
              <w:spacing w:line="400" w:lineRule="exact"/>
              <w:jc w:val="left"/>
              <w:textAlignment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本理财产品的产品期限为【92】天，到期日为【2026】年【11】月【25】日（受运作起始日、提前终止条款等约束，遇非工作日则顺延至下一工作日）。</w:t>
            </w:r>
          </w:p>
        </w:tc>
      </w:tr>
      <w:tr w14:paraId="6B75A11A">
        <w:tblPrEx>
          <w:tblCellMar>
            <w:top w:type="dxa" w:w="0"/>
            <w:left w:type="dxa" w:w="108"/>
            <w:bottom w:type="dxa" w:w="0"/>
            <w:right w:type="dxa" w:w="108"/>
          </w:tblCellMar>
        </w:tblPrEx>
        <w:trPr>
          <w:trHeight w:hRule="atLeast" w:val="270"/>
        </w:trPr>
        <w:tc>
          <w:tcPr>
            <w:tcW w:type="dxa" w:w="9604"/>
            <w:gridSpan w:val="2"/>
            <w:tcBorders>
              <w:top w:color="000000" w:space="0" w:sz="4" w:val="single"/>
              <w:left w:color="000000" w:space="0" w:sz="8" w:val="single"/>
              <w:bottom w:color="000000" w:space="0" w:sz="4" w:val="single"/>
              <w:right w:color="000000" w:space="0" w:sz="4" w:val="single"/>
            </w:tcBorders>
            <w:vAlign w:val="center"/>
          </w:tcPr>
          <w:p w14:paraId="1EF9AD2F">
            <w:pPr>
              <w:widowControl/>
              <w:spacing w:line="400" w:lineRule="exact"/>
              <w:jc w:val="center"/>
              <w:textAlignment w:val="center"/>
              <w:rPr>
                <w:rFonts w:ascii="楷体_GB2312" w:cs="楷体_GB2312" w:eastAsia="楷体_GB2312" w:hAnsi="等线" w:hint="eastAsia"/>
                <w:b/>
                <w:bCs/>
                <w:color w:themeColor="text1" w:val="000000"/>
                <w:sz w:val="24"/>
                <w:highlight w:val="none"/>
                <w14:textFill>
                  <w14:solidFill>
                    <w14:schemeClr w14:val="tx1"/>
                  </w14:solidFill>
                </w14:textFill>
              </w:rPr>
            </w:pPr>
            <w:r>
              <w:rPr>
                <w:rFonts w:ascii="楷体_GB2312" w:cs="楷体_GB2312" w:eastAsia="楷体_GB2312" w:hAnsi="等线" w:hint="eastAsia"/>
                <w:b/>
                <w:bCs/>
                <w:color w:themeColor="text1" w:val="000000"/>
                <w:kern w:val="0"/>
                <w:sz w:val="24"/>
                <w:highlight w:val="none"/>
                <w:lang w:bidi="ar"/>
                <w14:textFill>
                  <w14:solidFill>
                    <w14:schemeClr w14:val="tx1"/>
                  </w14:solidFill>
                </w14:textFill>
              </w:rPr>
              <w:t>（五）产品费用</w:t>
            </w:r>
          </w:p>
        </w:tc>
      </w:tr>
      <w:tr w14:paraId="39F23E1A">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shd w:color="auto" w:fill="auto" w:val="clear"/>
            <w:vAlign w:val="center"/>
          </w:tcPr>
          <w:p w14:paraId="72FC4293">
            <w:pPr>
              <w:widowControl/>
              <w:spacing w:line="400" w:lineRule="exact"/>
              <w:jc w:val="center"/>
              <w:textAlignment w:val="center"/>
              <w:rPr>
                <w:rFonts w:ascii="Times New Roman" w:cs="楷体_GB2312" w:eastAsia="楷体_GB2312" w:hAnsi="宋体" w:hint="eastAsia"/>
                <w:color w:themeColor="text1" w:val="000000"/>
                <w:sz w:val="20"/>
                <w:szCs w:val="20"/>
                <w:highlight w:val="none"/>
                <w:lang w:bidi="ar-SA"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销售服务费率（年化）</w:t>
            </w:r>
          </w:p>
        </w:tc>
        <w:tc>
          <w:tcPr>
            <w:tcW w:type="dxa" w:w="6762"/>
            <w:tcBorders>
              <w:top w:val="nil"/>
              <w:left w:color="auto" w:space="0" w:sz="4" w:val="single"/>
              <w:bottom w:color="auto" w:space="0" w:sz="4" w:val="single"/>
              <w:right w:color="000000" w:space="0" w:sz="8" w:val="single"/>
            </w:tcBorders>
            <w:shd w:color="auto" w:fill="auto" w:val="clear"/>
            <w:vAlign w:val="center"/>
          </w:tcPr>
          <w:p w14:paraId="3A8C407E">
            <w:pPr>
              <w:widowControl/>
              <w:spacing w:line="400" w:lineRule="exact"/>
              <w:jc w:val="left"/>
              <w:textAlignment w:val="cente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t>【A】类份额费率【0.10%】/年，【B】类份额费率【0.10%】/年，【C】类份额费率【0.05%】/年，【D】类份额费率【0.05%】/年，【G】类份额费率【0.05%】/年，【M】类份额费率【0.15%】/年，【N】类份额费率【0.20%】/年，【P】类份额费率【0.30%】/年，【S】类份额费率【0.05%】/年。</w:t>
            </w:r>
          </w:p>
        </w:tc>
      </w:tr>
      <w:tr w14:paraId="5AEE31BA">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shd w:color="auto" w:fill="auto" w:val="clear"/>
            <w:vAlign w:val="center"/>
          </w:tcPr>
          <w:p w14:paraId="52EBD4AB">
            <w:pPr>
              <w:widowControl/>
              <w:spacing w:line="400" w:lineRule="exact"/>
              <w:jc w:val="center"/>
              <w:textAlignment w:val="center"/>
              <w:rPr>
                <w:rFonts w:ascii="Times New Roman" w:cs="楷体_GB2312" w:eastAsia="楷体_GB2312" w:hAnsi="宋体" w:hint="eastAsia"/>
                <w:color w:themeColor="text1" w:val="000000"/>
                <w:sz w:val="20"/>
                <w:szCs w:val="20"/>
                <w:highlight w:val="none"/>
                <w:lang w:bidi="ar-SA"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托管费率（年化）</w:t>
            </w:r>
          </w:p>
        </w:tc>
        <w:tc>
          <w:tcPr>
            <w:tcW w:type="dxa" w:w="6762"/>
            <w:tcBorders>
              <w:top w:val="nil"/>
              <w:left w:color="auto" w:space="0" w:sz="4" w:val="single"/>
              <w:bottom w:color="auto" w:space="0" w:sz="4" w:val="single"/>
              <w:right w:color="000000" w:space="0" w:sz="8" w:val="single"/>
            </w:tcBorders>
            <w:shd w:color="auto" w:fill="auto" w:val="clear"/>
            <w:vAlign w:val="center"/>
          </w:tcPr>
          <w:p w14:paraId="57F79624">
            <w:pPr>
              <w:widowControl/>
              <w:spacing w:line="400" w:lineRule="exact"/>
              <w:jc w:val="left"/>
              <w:textAlignment w:val="cente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t>费率【0.05%】/年。</w:t>
            </w:r>
          </w:p>
        </w:tc>
      </w:tr>
      <w:tr w14:paraId="06251F24">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shd w:color="auto" w:fill="auto" w:val="clear"/>
            <w:vAlign w:val="center"/>
          </w:tcPr>
          <w:p w14:paraId="1378A5B0">
            <w:pPr>
              <w:widowControl/>
              <w:spacing w:line="400" w:lineRule="exact"/>
              <w:jc w:val="center"/>
              <w:textAlignment w:val="center"/>
              <w:rPr>
                <w:rFonts w:ascii="Times New Roman" w:cs="楷体_GB2312" w:eastAsia="楷体_GB2312" w:hAnsi="宋体" w:hint="eastAsia"/>
                <w:color w:themeColor="text1" w:val="000000"/>
                <w:sz w:val="20"/>
                <w:szCs w:val="20"/>
                <w:highlight w:val="none"/>
                <w:lang w:bidi="ar-SA"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固定管理费率（年化）</w:t>
            </w:r>
          </w:p>
        </w:tc>
        <w:tc>
          <w:tcPr>
            <w:tcW w:type="dxa" w:w="6762"/>
            <w:tcBorders>
              <w:top w:val="nil"/>
              <w:left w:color="auto" w:space="0" w:sz="4" w:val="single"/>
              <w:bottom w:color="auto" w:space="0" w:sz="4" w:val="single"/>
              <w:right w:color="000000" w:space="0" w:sz="8" w:val="single"/>
            </w:tcBorders>
            <w:shd w:color="auto" w:fill="auto" w:val="clear"/>
            <w:vAlign w:val="center"/>
          </w:tcPr>
          <w:p w14:paraId="55E9E06E">
            <w:pPr>
              <w:widowControl/>
              <w:spacing w:line="400" w:lineRule="exact"/>
              <w:jc w:val="left"/>
              <w:textAlignment w:val="cente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t>费率【0.10%】/年。</w:t>
            </w:r>
          </w:p>
        </w:tc>
      </w:tr>
      <w:tr w14:paraId="43E44467">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shd w:color="auto" w:fill="auto" w:val="clear"/>
            <w:vAlign w:val="center"/>
          </w:tcPr>
          <w:p w14:paraId="082A026E">
            <w:pPr>
              <w:widowControl/>
              <w:spacing w:line="400" w:lineRule="exact"/>
              <w:jc w:val="center"/>
              <w:textAlignment w:val="center"/>
              <w:rPr>
                <w:rFonts w:ascii="Times New Roman" w:cs="楷体_GB2312" w:eastAsia="楷体_GB2312" w:hAnsi="宋体" w:hint="eastAsia"/>
                <w:color w:themeColor="text1" w:val="000000"/>
                <w:sz w:val="20"/>
                <w:szCs w:val="20"/>
                <w:highlight w:val="none"/>
                <w:lang w:bidi="ar-SA"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浮动管理费</w:t>
            </w:r>
          </w:p>
        </w:tc>
        <w:tc>
          <w:tcPr>
            <w:tcW w:type="dxa" w:w="6762"/>
            <w:tcBorders>
              <w:top w:val="nil"/>
              <w:left w:color="auto" w:space="0" w:sz="4" w:val="single"/>
              <w:bottom w:color="auto" w:space="0" w:sz="4" w:val="single"/>
              <w:right w:color="000000" w:space="0" w:sz="8" w:val="single"/>
            </w:tcBorders>
            <w:shd w:color="auto" w:fill="auto" w:val="clear"/>
            <w:vAlign w:val="center"/>
          </w:tcPr>
          <w:p w14:paraId="662F2615">
            <w:pPr>
              <w:widowControl/>
              <w:spacing w:line="400" w:lineRule="exact"/>
              <w:jc w:val="left"/>
              <w:textAlignment w:val="cente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t/>
              <w:t>【A】类份额设立业绩比较基准，在产品到期日或提前终止日时，如计提浮动管理费前年化收益率超过【2.05%】的，管理人将收取超额部分的【50%】作为浮动管理费。</w:t>
              <w:br/>
              <w:t>【B】类份额设立业绩比较基准，在产品到期日或提前终止日时，如计提浮动管理费前年化收益率超过【2.05%】的，管理人将收取超额部分的【50%】作为浮动管理费。</w:t>
              <w:br/>
              <w:t>【C】类份额设立业绩比较基准，在产品到期日或提前终止日时，如计提浮动管理费前年化收益率超过【2.10%】的，管理人将收取超额部分的【50%】作为浮动管理费。</w:t>
              <w:br/>
              <w:t>【D】类份额设立业绩比较基准，在产品到期日或提前终止日时，如计提浮动管理费前年化收益率超过【2.10%】的，管理人将收取超额部分的【50%】作为浮动管理费。</w:t>
              <w:br/>
              <w:t>【G】类份额设立业绩比较基准，在产品到期日或提前终止日时，如计提浮动管理费前年化收益率超过【2.10%】的，管理人将收取超额部分的【50%】作为浮动管理费。</w:t>
              <w:br/>
              <w:t>【M】类份额设立业绩比较基准，在产品到期日或提前终止日时，如计提浮动管理费前年化收益率超过【2.00%】的，管理人将收取超额部分的【50%】作为浮动管理费。</w:t>
              <w:br/>
              <w:t>【N】类份额设立业绩比较基准，在产品到期日或提前终止日时，如计提浮动管理费前年化收益率超过【1.95%】的，管理人将收取超额部分的【50%】作为浮动管理费。</w:t>
              <w:br/>
              <w:t>【P】类份额设立业绩比较基准，在产品到期日或提前终止日时，如计提浮动管理费前年化收益率超过【1.85%】的，管理人将收取超额部分的【50%】作为浮动管理费。</w:t>
              <w:br/>
              <w:t>【S】类份额设立业绩比较基准，在产品到期日或提前终止日时，如计提浮动管理费前年化收益率超过【2.10%】的，管理人将收取超额部分的【50%】作为浮动管理费。</w:t>
            </w:r>
          </w:p>
        </w:tc>
      </w:tr>
      <w:tr w14:paraId="7EDFBBEE">
        <w:tblPrEx>
          <w:tblCellMar>
            <w:top w:type="dxa" w:w="0"/>
            <w:left w:type="dxa" w:w="108"/>
            <w:bottom w:type="dxa" w:w="0"/>
            <w:right w:type="dxa" w:w="108"/>
          </w:tblCellMar>
        </w:tblPrEx>
        <w:trPr>
          <w:trHeight w:hRule="atLeast" w:val="540"/>
        </w:trPr>
        <w:tc>
          <w:tcPr>
            <w:tcW w:type="dxa" w:w="2842"/>
            <w:tcBorders>
              <w:top w:val="nil"/>
              <w:left w:color="000000" w:space="0" w:sz="8" w:val="single"/>
              <w:bottom w:color="auto" w:space="0" w:sz="4" w:val="single"/>
              <w:right w:color="auto" w:space="0" w:sz="4" w:val="single"/>
            </w:tcBorders>
            <w:shd w:color="auto" w:fill="auto" w:val="clear"/>
            <w:vAlign w:val="center"/>
          </w:tcPr>
          <w:p w14:paraId="5B780C6C">
            <w:pPr>
              <w:widowControl/>
              <w:spacing w:line="400" w:lineRule="exact"/>
              <w:jc w:val="center"/>
              <w:textAlignment w:val="center"/>
              <w:rPr>
                <w:rFonts w:ascii="Times New Roman" w:cs="楷体_GB2312" w:eastAsia="楷体_GB2312" w:hAnsi="宋体" w:hint="default"/>
                <w:color w:themeColor="text1" w:val="000000"/>
                <w:sz w:val="20"/>
                <w:szCs w:val="20"/>
                <w:highlight w:val="none"/>
                <w:lang w:bidi="ar-SA"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认购费率</w:t>
            </w:r>
          </w:p>
        </w:tc>
        <w:tc>
          <w:tcPr>
            <w:tcW w:type="dxa" w:w="6762"/>
            <w:tcBorders>
              <w:top w:val="nil"/>
              <w:left w:color="auto" w:space="0" w:sz="4" w:val="single"/>
              <w:bottom w:color="auto" w:space="0" w:sz="4" w:val="single"/>
              <w:right w:color="000000" w:space="0" w:sz="8" w:val="single"/>
            </w:tcBorders>
            <w:shd w:color="auto" w:fill="auto" w:val="clear"/>
            <w:vAlign w:val="center"/>
          </w:tcPr>
          <w:p w14:paraId="3DE19F23">
            <w:pPr>
              <w:widowControl/>
              <w:spacing w:line="400" w:lineRule="exact"/>
              <w:jc w:val="left"/>
              <w:textAlignment w:val="cente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b/>
                <w:bCs/>
                <w:color w:themeColor="text1" w:val="000000"/>
                <w:sz w:val="20"/>
                <w:szCs w:val="20"/>
                <w:highlight w:val="none"/>
                <w:lang w:eastAsia="zh-CN" w:val="en-US"/>
                <w14:textFill>
                  <w14:solidFill>
                    <w14:schemeClr w14:val="tx1"/>
                  </w14:solidFill>
                </w14:textFill>
              </w:rPr>
              <w:t>【A】类份额不收取认购费，【B】类份额不收取认购费，【C】类份额不收取认购费，【D】类份额不收取认购费，【G】类份额不收取认购费，【M】类份额不收取认购费，【N】类份额不收取认购费，【P】类份额不收取认购费，【S】类份额不收取认购费。</w:t>
            </w:r>
            <w:bookmarkStart w:id="1" w:name="_GoBack"/>
            <w:bookmarkEnd w:id="1"/>
          </w:p>
        </w:tc>
      </w:tr>
      <w:tr w14:paraId="3799BB25">
        <w:tblPrEx>
          <w:tblCellMar>
            <w:top w:type="dxa" w:w="0"/>
            <w:left w:type="dxa" w:w="108"/>
            <w:bottom w:type="dxa" w:w="0"/>
            <w:right w:type="dxa" w:w="108"/>
          </w:tblCellMar>
        </w:tblPrEx>
        <w:trPr>
          <w:trHeight w:hRule="atLeast" w:val="540"/>
        </w:trPr>
        <w:tc>
          <w:tcPr>
            <w:tcW w:type="dxa" w:w="2842"/>
            <w:tcBorders>
              <w:top w:val="nil"/>
              <w:left w:color="000000" w:space="0" w:sz="8" w:val="single"/>
              <w:bottom w:val="nil"/>
              <w:right w:color="auto" w:space="0" w:sz="4" w:val="single"/>
            </w:tcBorders>
            <w:vAlign w:val="center"/>
          </w:tcPr>
          <w:p w14:paraId="1AB24D68">
            <w:pPr>
              <w:widowControl/>
              <w:spacing w:line="400" w:lineRule="exact"/>
              <w:jc w:val="center"/>
              <w:textAlignment w:val="center"/>
              <w:rPr>
                <w:rFonts w:ascii="仿宋_GB2312" w:cs="仿宋_GB2312" w:eastAsia="楷体_GB2312" w:hAnsi="等线" w:hint="default"/>
                <w:color w:themeColor="text1" w:val="000000"/>
                <w:sz w:val="24"/>
                <w:highlight w:val="none"/>
                <w:lang w:eastAsia="zh-CN" w:val="en-US"/>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其他费用说明</w:t>
            </w:r>
          </w:p>
        </w:tc>
        <w:tc>
          <w:tcPr>
            <w:tcW w:type="dxa" w:w="6762"/>
            <w:tcBorders>
              <w:top w:val="nil"/>
              <w:left w:color="auto" w:space="0" w:sz="4" w:val="single"/>
              <w:bottom w:val="nil"/>
              <w:right w:color="000000" w:space="0" w:sz="8" w:val="single"/>
            </w:tcBorders>
            <w:vAlign w:val="center"/>
          </w:tcPr>
          <w:p w14:paraId="4B51C8CF">
            <w:pPr>
              <w:snapToGrid w:val="0"/>
              <w:spacing w:line="300" w:lineRule="exact"/>
              <w:ind w:left="0" w:leftChars="0" w:right="53" w:rightChars="22"/>
              <w:jc w:val="left"/>
              <w:outlineLvl w:val="0"/>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0812BFCA">
            <w:pPr>
              <w:snapToGrid w:val="0"/>
              <w:spacing w:line="300" w:lineRule="exact"/>
              <w:ind w:right="53" w:rightChars="22"/>
              <w:jc w:val="left"/>
              <w:outlineLvl w:val="0"/>
              <w:rPr>
                <w:rFonts w:ascii="楷体_GB2312" w:cs="楷体_GB2312" w:eastAsia="楷体_GB2312"/>
                <w:b/>
                <w:color w:themeColor="text1" w:val="000000"/>
                <w:sz w:val="20"/>
                <w:szCs w:val="20"/>
                <w:highlight w:val="none"/>
                <w14:textFill>
                  <w14:solidFill>
                    <w14:schemeClr w14:val="tx1"/>
                  </w14:solidFill>
                </w14:textFill>
              </w:rPr>
            </w:pPr>
          </w:p>
          <w:p w14:paraId="73C0B242">
            <w:pPr>
              <w:snapToGrid w:val="0"/>
              <w:spacing w:line="300" w:lineRule="exact"/>
              <w:ind w:right="53" w:rightChars="22"/>
              <w:jc w:val="left"/>
              <w:outlineLvl w:val="0"/>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以上项费用</w:t>
            </w:r>
            <w:r>
              <w:rPr>
                <w:rFonts w:ascii="楷体_GB2312" w:cs="楷体_GB2312" w:eastAsia="楷体_GB2312"/>
                <w:b/>
                <w:color w:themeColor="text1" w:val="000000"/>
                <w:sz w:val="20"/>
                <w:szCs w:val="20"/>
                <w:highlight w:val="none"/>
                <w14:textFill>
                  <w14:solidFill>
                    <w14:schemeClr w14:val="tx1"/>
                  </w14:solidFill>
                </w14:textFill>
              </w:rPr>
              <w:t>金额均</w:t>
            </w:r>
            <w:r>
              <w:rPr>
                <w:rFonts w:ascii="楷体_GB2312" w:cs="楷体_GB2312" w:eastAsia="楷体_GB2312" w:hint="eastAsia"/>
                <w:b/>
                <w:color w:themeColor="text1" w:val="000000"/>
                <w:sz w:val="20"/>
                <w:szCs w:val="20"/>
                <w:highlight w:val="none"/>
                <w14:textFill>
                  <w14:solidFill>
                    <w14:schemeClr w14:val="tx1"/>
                  </w14:solidFill>
                </w14:textFill>
              </w:rPr>
              <w:t>四舍五入</w:t>
            </w:r>
            <w:r>
              <w:rPr>
                <w:rFonts w:ascii="楷体_GB2312" w:cs="楷体_GB2312" w:eastAsia="楷体_GB2312"/>
                <w:b/>
                <w:color w:themeColor="text1" w:val="000000"/>
                <w:sz w:val="20"/>
                <w:szCs w:val="20"/>
                <w:highlight w:val="none"/>
                <w14:textFill>
                  <w14:solidFill>
                    <w14:schemeClr w14:val="tx1"/>
                  </w14:solidFill>
                </w14:textFill>
              </w:rPr>
              <w:t>保留小数点后</w:t>
            </w:r>
            <w:r>
              <w:rPr>
                <w:rFonts w:ascii="楷体_GB2312" w:cs="楷体_GB2312" w:eastAsia="楷体_GB2312" w:hint="eastAsia"/>
                <w:b/>
                <w:color w:themeColor="text1" w:val="000000"/>
                <w:sz w:val="20"/>
                <w:szCs w:val="20"/>
                <w:highlight w:val="none"/>
                <w14:textFill>
                  <w14:solidFill>
                    <w14:schemeClr w14:val="tx1"/>
                  </w14:solidFill>
                </w14:textFill>
              </w:rPr>
              <w:t>【</w:t>
            </w:r>
            <w:r>
              <w:rPr>
                <w:rFonts w:ascii="楷体_GB2312" w:cs="楷体_GB2312" w:eastAsia="楷体_GB2312"/>
                <w:b/>
                <w:color w:themeColor="text1" w:val="000000"/>
                <w:sz w:val="20"/>
                <w:szCs w:val="20"/>
                <w:highlight w:val="none"/>
                <w14:textFill>
                  <w14:solidFill>
                    <w14:schemeClr w14:val="tx1"/>
                  </w14:solidFill>
                </w14:textFill>
              </w:rPr>
              <w:t>2】位。</w:t>
            </w:r>
          </w:p>
          <w:p w14:paraId="2D3C1839">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tc>
      </w:tr>
      <w:tr w14:paraId="2B3B7A05">
        <w:tblPrEx>
          <w:tblCellMar>
            <w:top w:type="dxa" w:w="0"/>
            <w:left w:type="dxa" w:w="108"/>
            <w:bottom w:type="dxa" w:w="0"/>
            <w:right w:type="dxa" w:w="108"/>
          </w:tblCellMar>
        </w:tblPrEx>
        <w:trPr>
          <w:trHeight w:hRule="atLeast" w:val="270"/>
        </w:trPr>
        <w:tc>
          <w:tcPr>
            <w:tcW w:type="dxa" w:w="9604"/>
            <w:gridSpan w:val="2"/>
            <w:tcBorders>
              <w:top w:color="000000" w:space="0" w:sz="4" w:val="single"/>
              <w:left w:color="000000" w:space="0" w:sz="8" w:val="single"/>
              <w:bottom w:color="auto" w:space="0" w:sz="4" w:val="single"/>
              <w:right w:color="000000" w:space="0" w:sz="8" w:val="single"/>
            </w:tcBorders>
            <w:vAlign w:val="center"/>
          </w:tcPr>
          <w:p w14:paraId="26627BFE">
            <w:pPr>
              <w:widowControl/>
              <w:spacing w:line="400" w:lineRule="exact"/>
              <w:jc w:val="center"/>
              <w:textAlignment w:val="center"/>
              <w:rPr>
                <w:rFonts w:ascii="楷体_GB2312" w:cs="楷体_GB2312" w:eastAsia="楷体_GB2312" w:hAnsi="等线" w:hint="eastAsia"/>
                <w:b/>
                <w:bCs/>
                <w:color w:themeColor="text1" w:val="000000"/>
                <w:sz w:val="24"/>
                <w:highlight w:val="none"/>
                <w14:textFill>
                  <w14:solidFill>
                    <w14:schemeClr w14:val="tx1"/>
                  </w14:solidFill>
                </w14:textFill>
              </w:rPr>
            </w:pPr>
            <w:r>
              <w:rPr>
                <w:rFonts w:ascii="楷体_GB2312" w:cs="楷体_GB2312" w:eastAsia="楷体_GB2312" w:hAnsi="等线" w:hint="eastAsia"/>
                <w:b/>
                <w:bCs/>
                <w:color w:themeColor="text1" w:val="000000"/>
                <w:kern w:val="0"/>
                <w:sz w:val="24"/>
                <w:highlight w:val="none"/>
                <w:lang w:bidi="ar"/>
                <w14:textFill>
                  <w14:solidFill>
                    <w14:schemeClr w14:val="tx1"/>
                  </w14:solidFill>
                </w14:textFill>
              </w:rPr>
              <w:t>（六）业绩比较基准</w:t>
            </w:r>
          </w:p>
        </w:tc>
      </w:tr>
      <w:tr w14:paraId="7426DD04">
        <w:tblPrEx>
          <w:tblCellMar>
            <w:top w:type="dxa" w:w="0"/>
            <w:left w:type="dxa" w:w="108"/>
            <w:bottom w:type="dxa" w:w="0"/>
            <w:right w:type="dxa" w:w="108"/>
          </w:tblCellMar>
        </w:tblPrEx>
        <w:trPr>
          <w:trHeight w:hRule="atLeast" w:val="1180"/>
        </w:trPr>
        <w:tc>
          <w:tcPr>
            <w:tcW w:type="dxa" w:w="2842"/>
            <w:tcBorders>
              <w:top w:color="auto" w:space="0" w:sz="4" w:val="single"/>
              <w:left w:color="auto" w:space="0" w:sz="4" w:val="single"/>
              <w:bottom w:val="nil"/>
              <w:right w:color="auto" w:space="0" w:sz="4" w:val="single"/>
            </w:tcBorders>
            <w:vAlign w:val="center"/>
          </w:tcPr>
          <w:p w14:paraId="23C4D4E1">
            <w:pPr>
              <w:widowControl/>
              <w:spacing w:line="400" w:lineRule="exact"/>
              <w:jc w:val="center"/>
              <w:textAlignment w:val="center"/>
              <w:rPr>
                <w:rFonts w:ascii="仿宋_GB2312" w:cs="仿宋_GB2312" w:eastAsia="仿宋_GB2312" w:hAnsi="等线" w:hint="eastAsia"/>
                <w:color w:themeColor="text1" w:val="000000"/>
                <w:sz w:val="24"/>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业绩比较基准</w:t>
            </w:r>
          </w:p>
        </w:tc>
        <w:tc>
          <w:tcPr>
            <w:tcW w:type="dxa" w:w="6762"/>
            <w:tcBorders>
              <w:top w:color="auto" w:space="0" w:sz="4" w:val="single"/>
              <w:left w:color="auto" w:space="0" w:sz="4" w:val="single"/>
              <w:bottom w:val="nil"/>
              <w:right w:color="auto" w:space="0" w:sz="4" w:val="single"/>
            </w:tcBorders>
            <w:vAlign w:val="center"/>
          </w:tcPr>
          <w:p w14:paraId="53BCA0C7">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
              <w:t>【A】类份额：【1.90%】</w:t>
              <w:br/>
              <w:t>【B】类份额：【1.90%】</w:t>
              <w:br/>
              <w:t>【C】类份额：【1.95%】</w:t>
              <w:br/>
              <w:t>【D】类份额：【1.95%】</w:t>
              <w:br/>
              <w:t>【G】类份额：【1.95%】</w:t>
              <w:br/>
              <w:t>【M】类份额：【1.85%】</w:t>
              <w:br/>
              <w:t>【N】类份额：【1.80%】</w:t>
              <w:br/>
              <w:t>【P】类份额：【1.70%】</w:t>
              <w:br/>
              <w:t>【S】类份额：【1.95%】</w:t>
            </w:r>
            <w:r>
              <w:rPr>
                <w:rFonts w:ascii="楷体_GB2312" w:cs="楷体_GB2312" w:eastAsia="楷体_GB2312"/>
                <w:color w:themeColor="text1" w:val="000000"/>
                <w:sz w:val="20"/>
                <w:szCs w:val="20"/>
                <w:highlight w:val="none"/>
                <w14:textFill>
                  <w14:solidFill>
                    <w14:schemeClr w14:val="tx1"/>
                  </w14:solidFill>
                </w14:textFill>
              </w:rPr>
              <w:t/>
            </w:r>
          </w:p>
          <w:p w14:paraId="1A727316">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359EB349">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业绩</w:t>
            </w:r>
            <w:r>
              <w:rPr>
                <w:rFonts w:ascii="Times New Roman" w:cs="楷体_GB2312" w:eastAsia="楷体_GB2312" w:hint="eastAsia"/>
                <w:b/>
                <w:bCs/>
                <w:color w:themeColor="text1" w:val="000000"/>
                <w:sz w:val="20"/>
                <w:szCs w:val="20"/>
                <w:highlight w:val="none"/>
                <w14:textFill>
                  <w14:solidFill>
                    <w14:schemeClr w14:val="tx1"/>
                  </w14:solidFill>
                </w14:textFill>
              </w:rPr>
              <w:t>比较</w:t>
            </w:r>
            <w:r>
              <w:rPr>
                <w:rFonts w:ascii="楷体_GB2312" w:cs="楷体_GB2312" w:eastAsia="楷体_GB2312" w:hint="eastAsia"/>
                <w:b/>
                <w:bCs/>
                <w:color w:themeColor="text1" w:val="000000"/>
                <w:sz w:val="20"/>
                <w:szCs w:val="20"/>
                <w:highlight w:val="none"/>
                <w14:textFill>
                  <w14:solidFill>
                    <w14:schemeClr w14:val="tx1"/>
                  </w14:solidFill>
                </w14:textFill>
              </w:rPr>
              <w:t>基准测算依据：【本理财产品为固定收益类产品，主要投向为同业存单、短融、中票、PPN、公司债、资产支持证券等标准化债权类资产以及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b/>
                <w:bCs/>
                <w:color w:themeColor="text1" w:val="000000"/>
                <w:sz w:val="20"/>
                <w:szCs w:val="20"/>
                <w:highlight w:val="none"/>
                <w14:textFill>
                  <w14:solidFill>
                    <w14:schemeClr w14:val="tx1"/>
                  </w14:solidFill>
                </w14:textFill>
              </w:rPr>
              <w:t/>
            </w:r>
            <w:r>
              <w:rPr>
                <w:rFonts w:ascii="楷体_GB2312" w:cs="楷体_GB2312" w:eastAsia="楷体_GB2312" w:hint="eastAsia"/>
                <w:b/>
                <w:bCs/>
                <w:color w:themeColor="text1" w:val="000000"/>
                <w:sz w:val="20"/>
                <w:szCs w:val="20"/>
                <w:highlight w:val="none"/>
                <w14:textFill>
                  <w14:solidFill>
                    <w14:schemeClr w14:val="tx1"/>
                  </w14:solidFill>
                </w14:textFill>
              </w:rPr>
              <w:t>】</w:t>
            </w:r>
          </w:p>
          <w:p w14:paraId="17119C7B">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ascii="楷体_GB2312" w:cs="楷体_GB2312" w:eastAsia="楷体_GB2312" w:hAnsi="宋体" w:hint="default"/>
                <w:b/>
                <w:bCs w:val="0"/>
                <w:color w:themeColor="text1" w:val="000000"/>
                <w:sz w:val="20"/>
                <w:szCs w:val="20"/>
                <w:highlight w:val="none"/>
                <w14:textFill>
                  <w14:solidFill>
                    <w14:schemeClr w14:val="tx1"/>
                  </w14:solidFill>
                </w14:textFill>
              </w:rPr>
            </w:pPr>
            <w:r>
              <w:rPr>
                <w:rFonts w:ascii="楷体_GB2312" w:cs="楷体_GB2312" w:eastAsia="楷体_GB2312" w:hAnsi="宋体" w:hint="default"/>
                <w:b/>
                <w:bCs w:val="0"/>
                <w:color w:themeColor="text1" w:val="000000"/>
                <w:sz w:val="20"/>
                <w:szCs w:val="20"/>
                <w:highlight w:val="none"/>
                <w14:textFill>
                  <w14:solidFill>
                    <w14:schemeClr w14:val="tx1"/>
                  </w14:solidFill>
                </w14:textFill>
              </w:rPr>
              <w:t>本产品收取的销售服务费可能因销售机构不同有所差异，从而导致测算的业绩比较基准有所差异，请投资者关注管理人及销售机构相关信息披露。</w:t>
            </w:r>
          </w:p>
          <w:p w14:paraId="2C4B3768">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cs="楷体_GB2312" w:eastAsia="楷体_GB2312" w:hAnsi="宋体" w:hint="default"/>
                <w:b w:val="0"/>
                <w:bCs/>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38E98AAE">
        <w:tblPrEx>
          <w:tblCellMar>
            <w:top w:type="dxa" w:w="0"/>
            <w:left w:type="dxa" w:w="108"/>
            <w:bottom w:type="dxa" w:w="0"/>
            <w:right w:type="dxa" w:w="108"/>
          </w:tblCellMar>
        </w:tblPrEx>
        <w:trPr>
          <w:trHeight w:hRule="atLeast" w:val="270"/>
        </w:trPr>
        <w:tc>
          <w:tcPr>
            <w:tcW w:type="dxa" w:w="9604"/>
            <w:gridSpan w:val="2"/>
            <w:tcBorders>
              <w:top w:color="auto" w:space="0" w:sz="4" w:val="single"/>
              <w:left w:color="000000" w:space="0" w:sz="8" w:val="single"/>
              <w:bottom w:color="000000" w:space="0" w:sz="4" w:val="single"/>
              <w:right w:color="000000" w:space="0" w:sz="8" w:val="single"/>
            </w:tcBorders>
            <w:vAlign w:val="center"/>
          </w:tcPr>
          <w:p w14:paraId="11F9D83E">
            <w:pPr>
              <w:widowControl/>
              <w:spacing w:line="400" w:lineRule="exact"/>
              <w:jc w:val="center"/>
              <w:textAlignment w:val="center"/>
              <w:rPr>
                <w:rFonts w:ascii="楷体_GB2312" w:cs="楷体_GB2312" w:eastAsia="楷体_GB2312" w:hAnsi="等线" w:hint="eastAsia"/>
                <w:bCs/>
                <w:color w:themeColor="text1" w:val="000000"/>
                <w:sz w:val="24"/>
                <w:highlight w:val="none"/>
                <w14:textFill>
                  <w14:solidFill>
                    <w14:schemeClr w14:val="tx1"/>
                  </w14:solidFill>
                </w14:textFill>
              </w:rPr>
            </w:pPr>
            <w:r>
              <w:rPr>
                <w:rFonts w:ascii="楷体_GB2312" w:cs="楷体_GB2312" w:eastAsia="楷体_GB2312" w:hAnsi="等线" w:hint="eastAsia"/>
                <w:b/>
                <w:color w:themeColor="text1" w:val="000000"/>
                <w:kern w:val="0"/>
                <w:sz w:val="24"/>
                <w:highlight w:val="none"/>
                <w:lang w:bidi="ar"/>
                <w14:textFill>
                  <w14:solidFill>
                    <w14:schemeClr w14:val="tx1"/>
                  </w14:solidFill>
                </w14:textFill>
              </w:rPr>
              <w:t>（七）投资范围与策略</w:t>
            </w:r>
          </w:p>
        </w:tc>
      </w:tr>
      <w:tr w14:paraId="273301A4">
        <w:tblPrEx>
          <w:tblCellMar>
            <w:top w:type="dxa" w:w="0"/>
            <w:left w:type="dxa" w:w="108"/>
            <w:bottom w:type="dxa" w:w="0"/>
            <w:right w:type="dxa" w:w="108"/>
          </w:tblCellMar>
        </w:tblPrEx>
        <w:trPr>
          <w:trHeight w:hRule="atLeast" w:val="1420"/>
        </w:trPr>
        <w:tc>
          <w:tcPr>
            <w:tcW w:type="dxa" w:w="2842"/>
            <w:tcBorders>
              <w:top w:val="nil"/>
              <w:left w:color="000000" w:space="0" w:sz="8" w:val="single"/>
              <w:bottom w:color="auto" w:space="0" w:sz="4" w:val="single"/>
              <w:right w:color="auto" w:space="0" w:sz="4" w:val="single"/>
            </w:tcBorders>
            <w:vAlign w:val="center"/>
          </w:tcPr>
          <w:p w14:paraId="727A0BFA">
            <w:pPr>
              <w:widowControl/>
              <w:spacing w:line="560" w:lineRule="exact"/>
              <w:jc w:val="center"/>
              <w:textAlignment w:val="center"/>
              <w:rPr>
                <w:rFonts w:ascii="仿宋_GB2312" w:cs="仿宋_GB2312" w:eastAsia="仿宋_GB2312" w:hAnsi="等线" w:hint="eastAsia"/>
                <w:color w:themeColor="text1" w:val="000000"/>
                <w:sz w:val="24"/>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投资范围</w:t>
            </w:r>
          </w:p>
        </w:tc>
        <w:tc>
          <w:tcPr>
            <w:tcW w:type="dxa" w:w="6762"/>
            <w:tcBorders>
              <w:top w:val="nil"/>
              <w:left w:color="auto" w:space="0" w:sz="4" w:val="single"/>
              <w:bottom w:color="auto" w:space="0" w:sz="4" w:val="single"/>
              <w:right w:color="000000" w:space="0" w:sz="8" w:val="single"/>
            </w:tcBorders>
            <w:vAlign w:val="center"/>
          </w:tcPr>
          <w:p w14:paraId="0AB26FB1">
            <w:pPr>
              <w:spacing w:line="300" w:lineRule="exact"/>
              <w:ind w:firstLine="400" w:firstLineChars="200" w:right="36" w:rightChars="15"/>
              <w:jc w:val="left"/>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0212952">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5BB96F7B">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43E9815C">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4FC5486A">
            <w:pPr>
              <w:spacing w:line="300" w:lineRule="exact"/>
              <w:ind w:firstLine="422" w:left="-2" w:leftChars="-1" w:right="36" w:rightChars="15"/>
              <w:jc w:val="both"/>
              <w:rPr>
                <w:rFonts w:ascii="仿宋_GB2312" w:cs="仿宋_GB2312" w:eastAsia="仿宋_GB2312" w:hAnsi="等线" w:hint="eastAsia"/>
                <w:bCs/>
                <w:color w:themeColor="text1" w:val="000000"/>
                <w:sz w:val="24"/>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tc>
      </w:tr>
      <w:tr w14:paraId="6E2B0927">
        <w:tblPrEx>
          <w:tblCellMar>
            <w:top w:type="dxa" w:w="0"/>
            <w:left w:type="dxa" w:w="108"/>
            <w:bottom w:type="dxa" w:w="0"/>
            <w:right w:type="dxa" w:w="108"/>
          </w:tblCellMar>
        </w:tblPrEx>
        <w:trPr>
          <w:trHeight w:hRule="atLeast" w:val="780"/>
        </w:trPr>
        <w:tc>
          <w:tcPr>
            <w:tcW w:type="dxa" w:w="2842"/>
            <w:tcBorders>
              <w:top w:color="auto" w:space="0" w:sz="4" w:val="single"/>
              <w:left w:color="000000" w:space="0" w:sz="8" w:val="single"/>
              <w:bottom w:color="auto" w:space="0" w:sz="4" w:val="single"/>
              <w:right w:color="auto" w:space="0" w:sz="4" w:val="single"/>
            </w:tcBorders>
            <w:vAlign w:val="center"/>
          </w:tcPr>
          <w:p w14:paraId="6AD2B669">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投资策略</w:t>
            </w:r>
          </w:p>
        </w:tc>
        <w:tc>
          <w:tcPr>
            <w:tcW w:type="dxa" w:w="6762"/>
            <w:tcBorders>
              <w:top w:color="auto" w:space="0" w:sz="4" w:val="single"/>
              <w:left w:color="auto" w:space="0" w:sz="4" w:val="single"/>
              <w:bottom w:color="auto" w:space="0" w:sz="4" w:val="single"/>
              <w:right w:color="000000" w:space="0" w:sz="8" w:val="single"/>
            </w:tcBorders>
            <w:vAlign w:val="center"/>
          </w:tcPr>
          <w:p w14:paraId="22987BDA">
            <w:pPr>
              <w:spacing w:line="300" w:lineRule="exact"/>
              <w:ind w:firstLine="400"/>
              <w:jc w:val="both"/>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_GB2312" w:eastAsia="楷体_GB2312" w:hAnsi="楷体_GB2312" w:hint="eastAsia"/>
                <w:color w:themeColor="text1" w:val="000000"/>
                <w:sz w:val="20"/>
                <w:szCs w:val="20"/>
                <w:highlight w:val="none"/>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p>
        </w:tc>
      </w:tr>
      <w:tr w14:paraId="4F8C35FD">
        <w:tblPrEx>
          <w:tblCellMar>
            <w:top w:type="dxa" w:w="0"/>
            <w:left w:type="dxa" w:w="108"/>
            <w:bottom w:type="dxa" w:w="0"/>
            <w:right w:type="dxa" w:w="108"/>
          </w:tblCellMar>
        </w:tblPrEx>
        <w:trPr>
          <w:trHeight w:hRule="atLeast" w:val="555"/>
        </w:trPr>
        <w:tc>
          <w:tcPr>
            <w:tcW w:type="dxa" w:w="2842"/>
            <w:tcBorders>
              <w:top w:color="auto" w:space="0" w:sz="4" w:val="single"/>
              <w:left w:color="000000" w:space="0" w:sz="8" w:val="single"/>
              <w:bottom w:color="auto" w:space="0" w:sz="4" w:val="single"/>
              <w:right w:color="auto" w:space="0" w:sz="4" w:val="single"/>
            </w:tcBorders>
            <w:vAlign w:val="center"/>
          </w:tcPr>
          <w:p w14:paraId="040B016D">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资产种类</w:t>
            </w:r>
          </w:p>
        </w:tc>
        <w:tc>
          <w:tcPr>
            <w:tcW w:type="dxa" w:w="6762"/>
            <w:tcBorders>
              <w:top w:color="auto" w:space="0" w:sz="4" w:val="single"/>
              <w:left w:color="auto" w:space="0" w:sz="4" w:val="single"/>
              <w:bottom w:color="auto" w:space="0" w:sz="4" w:val="single"/>
              <w:right w:color="000000" w:space="0" w:sz="8" w:val="single"/>
            </w:tcBorders>
            <w:vAlign w:val="center"/>
          </w:tcPr>
          <w:p w14:paraId="35426793">
            <w:pPr>
              <w:ind w:right="29" w:rightChars="12"/>
              <w:jc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 w:eastAsia="楷体" w:hAnsi="楷体" w:hint="eastAsia"/>
                <w:b/>
                <w:bCs/>
                <w:color w:val="000000"/>
                <w:sz w:val="20"/>
                <w:szCs w:val="20"/>
                <w:highlight w:val="none"/>
              </w:rPr>
              <w:t>投资比例</w:t>
            </w:r>
          </w:p>
        </w:tc>
      </w:tr>
      <w:tr w14:paraId="27A1AC2B">
        <w:tblPrEx>
          <w:tblCellMar>
            <w:top w:type="dxa" w:w="0"/>
            <w:left w:type="dxa" w:w="108"/>
            <w:bottom w:type="dxa" w:w="0"/>
            <w:right w:type="dxa" w:w="108"/>
          </w:tblCellMar>
        </w:tblPrEx>
        <w:trPr>
          <w:trHeight w:hRule="atLeast" w:val="555"/>
        </w:trPr>
        <w:tc>
          <w:tcPr>
            <w:tcW w:type="dxa" w:w="2842"/>
            <w:tcBorders>
              <w:top w:color="auto" w:space="0" w:sz="4" w:val="single"/>
              <w:left w:color="000000" w:space="0" w:sz="8" w:val="single"/>
              <w:bottom w:color="auto" w:space="0" w:sz="4" w:val="single"/>
              <w:right w:color="auto" w:space="0" w:sz="4" w:val="single"/>
            </w:tcBorders>
            <w:vAlign w:val="center"/>
          </w:tcPr>
          <w:p w14:paraId="4AB1A2B9">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债权类资产</w:t>
            </w:r>
          </w:p>
        </w:tc>
        <w:tc>
          <w:tcPr>
            <w:tcW w:type="dxa" w:w="6762"/>
            <w:tcBorders>
              <w:top w:color="auto" w:space="0" w:sz="4" w:val="single"/>
              <w:left w:color="auto" w:space="0" w:sz="4" w:val="single"/>
              <w:bottom w:color="auto" w:space="0" w:sz="4" w:val="single"/>
              <w:right w:color="000000" w:space="0" w:sz="8" w:val="single"/>
            </w:tcBorders>
            <w:vAlign w:val="center"/>
          </w:tcPr>
          <w:p w14:paraId="1BBC7358">
            <w:pPr>
              <w:ind w:right="29" w:rightChars="12"/>
              <w:jc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301D6BAD">
        <w:tblPrEx>
          <w:tblCellMar>
            <w:top w:type="dxa" w:w="0"/>
            <w:left w:type="dxa" w:w="108"/>
            <w:bottom w:type="dxa" w:w="0"/>
            <w:right w:type="dxa" w:w="108"/>
          </w:tblCellMar>
        </w:tblPrEx>
        <w:trPr>
          <w:trHeight w:hRule="atLeast" w:val="555"/>
        </w:trPr>
        <w:tc>
          <w:tcPr>
            <w:tcW w:type="dxa" w:w="2842"/>
            <w:tcBorders>
              <w:top w:color="auto" w:space="0" w:sz="4" w:val="single"/>
              <w:left w:color="000000" w:space="0" w:sz="8" w:val="single"/>
              <w:bottom w:color="auto" w:space="0" w:sz="4" w:val="single"/>
              <w:right w:color="auto" w:space="0" w:sz="4" w:val="single"/>
            </w:tcBorders>
            <w:vAlign w:val="center"/>
          </w:tcPr>
          <w:p w14:paraId="5B65B9AB">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其中，非标准化债权类资产</w:t>
            </w:r>
          </w:p>
        </w:tc>
        <w:tc>
          <w:tcPr>
            <w:tcW w:type="dxa" w:w="6762"/>
            <w:tcBorders>
              <w:top w:color="auto" w:space="0" w:sz="4" w:val="single"/>
              <w:left w:color="auto" w:space="0" w:sz="4" w:val="single"/>
              <w:bottom w:color="auto" w:space="0" w:sz="4" w:val="single"/>
              <w:right w:color="000000" w:space="0" w:sz="8" w:val="single"/>
            </w:tcBorders>
            <w:vAlign w:val="center"/>
          </w:tcPr>
          <w:p w14:paraId="3B193294">
            <w:pPr>
              <w:ind w:right="29" w:rightChars="12"/>
              <w:jc w:val="center"/>
              <w:rPr>
                <w:rFonts w:ascii="仿宋" w:cs="宋体" w:eastAsia="仿宋" w:hAnsi="仿宋" w:hint="eastAsia"/>
                <w:bCs/>
                <w:color w:themeColor="text1" w:val="000000"/>
                <w:kern w:val="0"/>
                <w:sz w:val="24"/>
                <w:highlight w:val="none"/>
                <w:lang w:bidi="ar"/>
                <w14:textFill>
                  <w14:solidFill>
                    <w14:schemeClr w14:val="tx1"/>
                  </w14:solidFill>
                </w14:textFill>
              </w:rPr>
            </w:pPr>
            <w:r>
              <w:rPr>
                <w:rFonts w:ascii="楷体" w:eastAsia="楷体" w:hAnsi="楷体" w:hint="eastAsia"/>
                <w:sz w:val="20"/>
                <w:szCs w:val="20"/>
                <w:highlight w:val="none"/>
              </w:rPr>
              <w:t>【0%-49%</w:t>
            </w:r>
            <w:r>
              <w:rPr>
                <w:rFonts w:ascii="楷体" w:eastAsia="楷体" w:hAnsi="楷体"/>
                <w:sz w:val="20"/>
                <w:szCs w:val="20"/>
                <w:highlight w:val="none"/>
              </w:rPr>
              <w:t>】</w:t>
            </w:r>
          </w:p>
        </w:tc>
      </w:tr>
      <w:tr w14:paraId="4F43549D">
        <w:tblPrEx>
          <w:tblCellMar>
            <w:top w:type="dxa" w:w="0"/>
            <w:left w:type="dxa" w:w="108"/>
            <w:bottom w:type="dxa" w:w="0"/>
            <w:right w:type="dxa" w:w="108"/>
          </w:tblCellMar>
        </w:tblPrEx>
        <w:trPr>
          <w:trHeight w:hRule="atLeast" w:val="406"/>
        </w:trPr>
        <w:tc>
          <w:tcPr>
            <w:tcW w:type="dxa" w:w="2842"/>
            <w:tcBorders>
              <w:top w:color="auto" w:space="0" w:sz="4" w:val="single"/>
              <w:left w:color="000000" w:space="0" w:sz="8" w:val="single"/>
              <w:bottom w:color="auto" w:space="0" w:sz="4" w:val="single"/>
              <w:right w:color="auto" w:space="0" w:sz="4" w:val="single"/>
            </w:tcBorders>
            <w:vAlign w:val="center"/>
          </w:tcPr>
          <w:p w14:paraId="05D558DF">
            <w:pPr>
              <w:widowControl/>
              <w:spacing w:line="560" w:lineRule="exact"/>
              <w:jc w:val="center"/>
              <w:textAlignment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权益类资产</w:t>
            </w:r>
          </w:p>
        </w:tc>
        <w:tc>
          <w:tcPr>
            <w:tcW w:type="dxa" w:w="6762"/>
            <w:tcBorders>
              <w:top w:color="auto" w:space="0" w:sz="4" w:val="single"/>
              <w:left w:color="auto" w:space="0" w:sz="4" w:val="single"/>
              <w:bottom w:color="auto" w:space="0" w:sz="4" w:val="single"/>
              <w:right w:color="000000" w:space="0" w:sz="8" w:val="single"/>
            </w:tcBorders>
            <w:vAlign w:val="center"/>
          </w:tcPr>
          <w:p w14:paraId="51CC628B">
            <w:pPr>
              <w:ind w:right="29" w:rightChars="12"/>
              <w:jc w:val="center"/>
              <w:rPr>
                <w:rFonts w:ascii="仿宋" w:cs="宋体" w:eastAsia="仿宋" w:hAnsi="仿宋" w:hint="eastAsia"/>
                <w:bCs/>
                <w:color w:themeColor="text1" w:val="000000"/>
                <w:kern w:val="0"/>
                <w:sz w:val="24"/>
                <w:highlight w:val="none"/>
                <w:lang w:bidi="ar"/>
                <w14:textFill>
                  <w14:solidFill>
                    <w14:schemeClr w14:val="tx1"/>
                  </w14:solidFill>
                </w14:textFill>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3E987F1">
        <w:tblPrEx>
          <w:tblCellMar>
            <w:top w:type="dxa" w:w="0"/>
            <w:left w:type="dxa" w:w="108"/>
            <w:bottom w:type="dxa" w:w="0"/>
            <w:right w:type="dxa" w:w="108"/>
          </w:tblCellMar>
        </w:tblPrEx>
        <w:trPr>
          <w:trHeight w:hRule="atLeast" w:val="555"/>
        </w:trPr>
        <w:tc>
          <w:tcPr>
            <w:tcW w:type="dxa" w:w="2842"/>
            <w:tcBorders>
              <w:top w:val="nil"/>
              <w:left w:color="000000" w:space="0" w:sz="8" w:val="single"/>
              <w:bottom w:color="auto" w:space="0" w:sz="4" w:val="single"/>
              <w:right w:color="auto" w:space="0" w:sz="4" w:val="single"/>
            </w:tcBorders>
            <w:vAlign w:val="center"/>
          </w:tcPr>
          <w:p w14:paraId="4B6F1CB5">
            <w:pPr>
              <w:spacing w:line="300" w:lineRule="exact"/>
              <w:ind w:left="-2" w:leftChars="-1" w:right="36" w:rightChars="15"/>
              <w:jc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商品及金融衍生品类资产：持仓合约价值</w:t>
            </w:r>
          </w:p>
        </w:tc>
        <w:tc>
          <w:tcPr>
            <w:tcW w:type="dxa" w:w="6762"/>
            <w:tcBorders>
              <w:top w:val="nil"/>
              <w:left w:color="auto" w:space="0" w:sz="4" w:val="single"/>
              <w:bottom w:color="auto" w:space="0" w:sz="4" w:val="single"/>
              <w:right w:color="000000" w:space="0" w:sz="8" w:val="single"/>
            </w:tcBorders>
            <w:vAlign w:val="center"/>
          </w:tcPr>
          <w:p w14:paraId="1158FB9E">
            <w:pPr>
              <w:ind w:right="29" w:rightChars="12"/>
              <w:jc w:val="center"/>
              <w:rPr>
                <w:rFonts w:ascii="仿宋" w:cs="宋体" w:eastAsia="仿宋" w:hAnsi="仿宋" w:hint="eastAsia"/>
                <w:bCs/>
                <w:color w:themeColor="text1" w:val="000000"/>
                <w:kern w:val="0"/>
                <w:sz w:val="24"/>
                <w:highlight w:val="none"/>
                <w:lang w:bidi="ar"/>
                <w14:textFill>
                  <w14:solidFill>
                    <w14:schemeClr w14:val="tx1"/>
                  </w14:solidFill>
                </w14:textFill>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DFFFBF1">
        <w:tblPrEx>
          <w:tblCellMar>
            <w:top w:type="dxa" w:w="0"/>
            <w:left w:type="dxa" w:w="108"/>
            <w:bottom w:type="dxa" w:w="0"/>
            <w:right w:type="dxa" w:w="108"/>
          </w:tblCellMar>
        </w:tblPrEx>
        <w:trPr>
          <w:trHeight w:hRule="atLeast" w:val="555"/>
        </w:trPr>
        <w:tc>
          <w:tcPr>
            <w:tcW w:type="dxa" w:w="2842"/>
            <w:tcBorders>
              <w:top w:color="auto" w:space="0" w:sz="4" w:val="single"/>
              <w:left w:color="000000" w:space="0" w:sz="8" w:val="single"/>
              <w:bottom w:val="nil"/>
              <w:right w:color="auto" w:space="0" w:sz="4" w:val="single"/>
            </w:tcBorders>
            <w:vAlign w:val="center"/>
          </w:tcPr>
          <w:p w14:paraId="5697BBA4">
            <w:pPr>
              <w:spacing w:line="300" w:lineRule="exact"/>
              <w:ind w:left="-2" w:leftChars="-1" w:right="36" w:rightChars="15"/>
              <w:jc w:val="center"/>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商品及金融衍生品类资产：衍生品账户权益</w:t>
            </w:r>
          </w:p>
        </w:tc>
        <w:tc>
          <w:tcPr>
            <w:tcW w:type="dxa" w:w="6762"/>
            <w:tcBorders>
              <w:top w:color="auto" w:space="0" w:sz="4" w:val="single"/>
              <w:left w:color="auto" w:space="0" w:sz="4" w:val="single"/>
              <w:bottom w:val="nil"/>
              <w:right w:color="000000" w:space="0" w:sz="8" w:val="single"/>
            </w:tcBorders>
            <w:vAlign w:val="center"/>
          </w:tcPr>
          <w:p w14:paraId="16066290">
            <w:pPr>
              <w:ind w:right="29" w:rightChars="12"/>
              <w:jc w:val="center"/>
              <w:rPr>
                <w:rFonts w:ascii="仿宋_GB2312" w:cs="仿宋_GB2312" w:eastAsia="仿宋_GB2312" w:hAnsi="等线" w:hint="eastAsia"/>
                <w:bCs/>
                <w:color w:themeColor="text1" w:val="000000"/>
                <w:sz w:val="24"/>
                <w:highlight w:val="none"/>
                <w14:textFill>
                  <w14:solidFill>
                    <w14:schemeClr w14:val="tx1"/>
                  </w14:solidFill>
                </w14:textFill>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31C86B3B">
        <w:tblPrEx>
          <w:tblCellMar>
            <w:top w:type="dxa" w:w="0"/>
            <w:left w:type="dxa" w:w="108"/>
            <w:bottom w:type="dxa" w:w="0"/>
            <w:right w:type="dxa" w:w="108"/>
          </w:tblCellMar>
        </w:tblPrEx>
        <w:trPr>
          <w:trHeight w:hRule="atLeast" w:val="270"/>
        </w:trPr>
        <w:tc>
          <w:tcPr>
            <w:tcW w:type="dxa" w:w="9604"/>
            <w:gridSpan w:val="2"/>
            <w:tcBorders>
              <w:top w:color="000000" w:space="0" w:sz="4" w:val="single"/>
              <w:left w:color="000000" w:space="0" w:sz="8" w:val="single"/>
              <w:bottom w:color="000000" w:space="0" w:sz="4" w:val="single"/>
              <w:right w:color="000000" w:space="0" w:sz="4" w:val="single"/>
            </w:tcBorders>
            <w:vAlign w:val="center"/>
          </w:tcPr>
          <w:p w14:paraId="19998678">
            <w:pPr>
              <w:widowControl/>
              <w:spacing w:line="560" w:lineRule="exact"/>
              <w:jc w:val="center"/>
              <w:textAlignment w:val="center"/>
              <w:rPr>
                <w:rFonts w:ascii="楷体_GB2312" w:cs="楷体_GB2312" w:eastAsia="楷体_GB2312" w:hAnsi="等线" w:hint="eastAsia"/>
                <w:bCs/>
                <w:color w:themeColor="text1" w:val="000000"/>
                <w:sz w:val="24"/>
                <w:highlight w:val="none"/>
                <w14:textFill>
                  <w14:solidFill>
                    <w14:schemeClr w14:val="tx1"/>
                  </w14:solidFill>
                </w14:textFill>
              </w:rPr>
            </w:pPr>
            <w:r>
              <w:rPr>
                <w:rFonts w:ascii="楷体_GB2312" w:cs="楷体_GB2312" w:eastAsia="楷体_GB2312" w:hAnsi="等线" w:hint="eastAsia"/>
                <w:b/>
                <w:color w:themeColor="text1" w:val="000000"/>
                <w:kern w:val="0"/>
                <w:sz w:val="24"/>
                <w:highlight w:val="none"/>
                <w:lang w:bidi="ar"/>
                <w14:textFill>
                  <w14:solidFill>
                    <w14:schemeClr w14:val="tx1"/>
                  </w14:solidFill>
                </w14:textFill>
              </w:rPr>
              <w:t>（八）其他约定</w:t>
            </w:r>
          </w:p>
        </w:tc>
      </w:tr>
      <w:tr w14:paraId="54FA536C">
        <w:tblPrEx>
          <w:tblCellMar>
            <w:top w:type="dxa" w:w="0"/>
            <w:left w:type="dxa" w:w="108"/>
            <w:bottom w:type="dxa" w:w="0"/>
            <w:right w:type="dxa" w:w="108"/>
          </w:tblCellMar>
        </w:tblPrEx>
        <w:trPr>
          <w:trHeight w:hRule="atLeast" w:val="334"/>
        </w:trPr>
        <w:tc>
          <w:tcPr>
            <w:tcW w:type="dxa" w:w="2842"/>
            <w:tcBorders>
              <w:top w:color="000000" w:space="0" w:sz="4" w:val="single"/>
              <w:left w:color="000000" w:space="0" w:sz="8" w:val="single"/>
              <w:bottom w:color="000000" w:space="0" w:sz="8" w:val="single"/>
              <w:right w:color="auto" w:space="0" w:sz="4" w:val="single"/>
            </w:tcBorders>
            <w:vAlign w:val="center"/>
          </w:tcPr>
          <w:p w14:paraId="70C694C4">
            <w:pPr>
              <w:widowControl/>
              <w:spacing w:line="560" w:lineRule="exact"/>
              <w:jc w:val="center"/>
              <w:textAlignment w:val="center"/>
              <w:rPr>
                <w:rFonts w:ascii="仿宋_GB2312" w:cs="仿宋_GB2312" w:eastAsia="仿宋_GB2312" w:hAnsi="等线" w:hint="eastAsia"/>
                <w:color w:themeColor="text1" w:val="000000"/>
                <w:sz w:val="24"/>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其他约定</w:t>
            </w:r>
          </w:p>
        </w:tc>
        <w:tc>
          <w:tcPr>
            <w:tcW w:type="dxa" w:w="6762"/>
            <w:tcBorders>
              <w:top w:color="000000" w:space="0" w:sz="4" w:val="single"/>
              <w:left w:color="auto" w:space="0" w:sz="4" w:val="single"/>
              <w:bottom w:color="000000" w:space="0" w:sz="8" w:val="single"/>
              <w:right w:color="000000" w:space="0" w:sz="8" w:val="single"/>
            </w:tcBorders>
            <w:shd w:color="auto" w:fill="auto" w:val="clear"/>
            <w:vAlign w:val="center"/>
          </w:tcPr>
          <w:p w14:paraId="0D461758">
            <w:pPr>
              <w:keepNext w:val="0"/>
              <w:keepLines w:val="0"/>
              <w:widowControl/>
              <w:suppressLineNumbers w:val="0"/>
              <w:jc w:val="center"/>
              <w:textAlignment w:val="center"/>
              <w:rPr>
                <w:rFonts w:ascii="宋体" w:cs="宋体" w:eastAsia="宋体" w:hAnsi="宋体" w:hint="eastAsia"/>
                <w:i w:val="0"/>
                <w:iCs w:val="0"/>
                <w:color w:val="000000"/>
                <w:sz w:val="22"/>
                <w:szCs w:val="22"/>
                <w:highlight w:val="none"/>
                <w:u w:val="none"/>
                <w:lang w:bidi="ar-SA" w:eastAsia="zh-CN" w:val="en-US"/>
              </w:rPr>
            </w:pPr>
            <w:r>
              <w:rPr>
                <w:rFonts w:ascii="Times New Roman" w:cs="楷体_GB2312" w:eastAsia="楷体_GB2312" w:hint="eastAsia"/>
                <w:i w:val="0"/>
                <w:iCs w:val="0"/>
                <w:color w:themeColor="text1" w:val="000000"/>
                <w:kern w:val="0"/>
                <w:sz w:val="20"/>
                <w:szCs w:val="20"/>
                <w:highlight w:val="none"/>
                <w:u w:val="none"/>
                <w:lang w:bidi="ar" w:eastAsia="zh-CN" w:val="en-US"/>
                <w14:textFill>
                  <w14:solidFill>
                    <w14:schemeClr w14:val="tx1"/>
                  </w14:solidFill>
                </w14:textFill>
              </w:rPr>
              <w:t>详见产品说明书。</w:t>
            </w:r>
          </w:p>
        </w:tc>
      </w:tr>
    </w:tbl>
    <w:p w14:paraId="01E33576">
      <w:pPr>
        <w:spacing w:line="300" w:lineRule="exact"/>
        <w:ind w:right="-792" w:rightChars="-330"/>
        <w:rPr>
          <w:color w:themeColor="text1" w:val="000000"/>
          <w:highlight w:val="none"/>
          <w14:textFill>
            <w14:solidFill>
              <w14:schemeClr w14:val="tx1"/>
            </w14:solidFill>
          </w14:textFill>
        </w:rPr>
      </w:pPr>
    </w:p>
    <w:p w14:paraId="0D4AD127">
      <w:pPr>
        <w:spacing w:line="300" w:lineRule="exact"/>
        <w:ind w:right="-792" w:rightChars="-330"/>
        <w:rPr>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重要须知</w:t>
      </w:r>
      <w:r>
        <w:rPr>
          <w:rFonts w:ascii="黑体" w:cs="黑体" w:eastAsia="黑体" w:hAnsi="Times New Roman" w:hint="eastAsia"/>
          <w:color w:themeColor="text1" w:val="000000"/>
          <w:sz w:val="20"/>
          <w:szCs w:val="20"/>
          <w:highlight w:val="none"/>
          <w14:textFill>
            <w14:solidFill>
              <w14:schemeClr w14:val="tx1"/>
            </w14:solidFill>
          </w14:textFill>
        </w:rPr>
        <w:t>：</w:t>
      </w:r>
    </w:p>
    <w:p w14:paraId="575147D5">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1</w:t>
      </w:r>
      <w:r>
        <w:rPr>
          <w:rFonts w:ascii="黑体" w:cs="黑体" w:eastAsia="黑体" w:hAnsi="Times New Roman" w:hint="eastAsia"/>
          <w:b/>
          <w:color w:themeColor="text1" w:val="000000"/>
          <w:sz w:val="20"/>
          <w:szCs w:val="20"/>
          <w:highlight w:val="none"/>
          <w14:textFill>
            <w14:solidFill>
              <w14:schemeClr w14:val="tx1"/>
            </w14:solidFill>
          </w14:textFill>
        </w:rPr>
        <w:t>．本理财产品的产品期限为【</w:t>
      </w:r>
      <w:r>
        <w:rPr>
          <w:rFonts w:ascii="黑体" w:cs="黑体" w:eastAsia="黑体" w:hAnsi="Times New Roman"/>
          <w:b/>
          <w:color w:themeColor="text1" w:val="000000"/>
          <w:sz w:val="20"/>
          <w:szCs w:val="20"/>
          <w:highlight w:val="none"/>
          <w14:textFill>
            <w14:solidFill>
              <w14:schemeClr w14:val="tx1"/>
            </w14:solidFill>
          </w14:textFill>
        </w:rPr>
        <w:t>92</w:t>
      </w:r>
      <w:r>
        <w:rPr>
          <w:rFonts w:ascii="黑体" w:cs="黑体" w:eastAsia="黑体" w:hAnsi="Times New Roman" w:hint="eastAsia"/>
          <w:b/>
          <w:color w:themeColor="text1" w:val="000000"/>
          <w:sz w:val="20"/>
          <w:szCs w:val="20"/>
          <w:highlight w:val="none"/>
          <w14:textFill>
            <w14:solidFill>
              <w14:schemeClr w14:val="tx1"/>
            </w14:solidFill>
          </w14:textFill>
        </w:rPr>
        <w:t>】天，到期日为</w:t>
      </w:r>
      <w:r>
        <w:rPr>
          <w:rFonts w:ascii="黑体" w:cs="黑体" w:eastAsia="黑体" w:hAnsi="Times New Roman"/>
          <w:b/>
          <w:color w:themeColor="text1" w:val="000000"/>
          <w:sz w:val="20"/>
          <w:szCs w:val="20"/>
          <w:highlight w:val="none"/>
          <w14:textFill>
            <w14:solidFill>
              <w14:schemeClr w14:val="tx1"/>
            </w14:solidFill>
          </w14:textFill>
        </w:rPr>
        <w:t>【2026】年【11】月【25】日</w:t>
      </w:r>
      <w:r>
        <w:rPr>
          <w:rFonts w:ascii="黑体" w:cs="黑体" w:eastAsia="黑体" w:hAnsi="Times New Roman" w:hint="eastAsia"/>
          <w:b/>
          <w:color w:themeColor="text1" w:val="000000"/>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2</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本</w:t>
      </w:r>
      <w:r>
        <w:rPr>
          <w:rFonts w:ascii="黑体" w:cs="黑体" w:eastAsia="黑体" w:hAnsi="Times New Roman" w:hint="eastAsia"/>
          <w:color w:themeColor="text1" w:val="000000"/>
          <w:sz w:val="20"/>
          <w:szCs w:val="20"/>
          <w:highlight w:val="none"/>
          <w14:textFill>
            <w14:solidFill>
              <w14:schemeClr w14:val="tx1"/>
            </w14:solidFill>
          </w14:textFill>
        </w:rPr>
        <w:t>理财产品的《信银理财理财</w:t>
      </w:r>
      <w:r>
        <w:rPr>
          <w:rFonts w:ascii="黑体" w:cs="黑体" w:eastAsia="黑体" w:hAnsi="Times New Roman"/>
          <w:color w:themeColor="text1" w:val="000000"/>
          <w:sz w:val="20"/>
          <w:szCs w:val="20"/>
          <w:highlight w:val="none"/>
          <w14:textFill>
            <w14:solidFill>
              <w14:schemeClr w14:val="tx1"/>
            </w14:solidFill>
          </w14:textFill>
        </w:rPr>
        <w:t>产品说明书</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信银</w:t>
      </w:r>
      <w:r>
        <w:rPr>
          <w:rFonts w:ascii="黑体" w:cs="黑体" w:eastAsia="黑体" w:hAnsi="Times New Roman"/>
          <w:color w:themeColor="text1" w:val="000000"/>
          <w:sz w:val="20"/>
          <w:szCs w:val="20"/>
          <w:highlight w:val="none"/>
          <w14:textFill>
            <w14:solidFill>
              <w14:schemeClr w14:val="tx1"/>
            </w14:solidFill>
          </w14:textFill>
        </w:rPr>
        <w:t>理财理财产品风险揭示书》</w:t>
      </w:r>
      <w:r>
        <w:rPr>
          <w:rFonts w:ascii="黑体" w:cs="黑体" w:eastAsia="黑体" w:hAnsi="Times New Roman" w:hint="eastAsia"/>
          <w:color w:themeColor="text1" w:val="000000"/>
          <w:sz w:val="20"/>
          <w:szCs w:val="20"/>
          <w:highlight w:val="none"/>
          <w14:textFill>
            <w14:solidFill>
              <w14:schemeClr w14:val="tx1"/>
            </w14:solidFill>
          </w14:textFill>
        </w:rPr>
        <w:t>、《信银理财理财产品投资协议书》</w:t>
      </w:r>
      <w:r>
        <w:rPr>
          <w:rFonts w:ascii="黑体" w:cs="黑体" w:eastAsia="黑体" w:hAnsi="Times New Roman"/>
          <w:color w:themeColor="text1" w:val="000000"/>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highlight w:val="none"/>
          <w14:textFill>
            <w14:solidFill>
              <w14:schemeClr w14:val="tx1"/>
            </w14:solidFill>
          </w14:textFill>
        </w:rPr>
        <w:t>等文件及其不时有效修订与补充</w:t>
      </w:r>
      <w:r>
        <w:rPr>
          <w:rFonts w:ascii="黑体" w:cs="黑体" w:eastAsia="黑体" w:hAnsi="Times New Roman"/>
          <w:color w:themeColor="text1" w:val="000000"/>
          <w:sz w:val="20"/>
          <w:szCs w:val="20"/>
          <w:highlight w:val="none"/>
          <w14:textFill>
            <w14:solidFill>
              <w14:schemeClr w14:val="tx1"/>
            </w14:solidFill>
          </w14:textFill>
        </w:rPr>
        <w:t>共同构成</w:t>
      </w:r>
      <w:r>
        <w:rPr>
          <w:rFonts w:ascii="黑体" w:cs="黑体" w:eastAsia="黑体" w:hAnsi="Times New Roman" w:hint="eastAsia"/>
          <w:color w:themeColor="text1" w:val="000000"/>
          <w:sz w:val="20"/>
          <w:szCs w:val="20"/>
          <w:highlight w:val="none"/>
          <w14:textFill>
            <w14:solidFill>
              <w14:schemeClr w14:val="tx1"/>
            </w14:solidFill>
          </w14:textFill>
        </w:rPr>
        <w:t>理财产品销售文件</w:t>
      </w:r>
      <w:r>
        <w:rPr>
          <w:rFonts w:ascii="黑体" w:cs="黑体" w:eastAsia="黑体" w:hAnsi="Times New Roman"/>
          <w:color w:themeColor="text1" w:val="000000"/>
          <w:sz w:val="20"/>
          <w:szCs w:val="20"/>
          <w:highlight w:val="none"/>
          <w14:textFill>
            <w14:solidFill>
              <w14:schemeClr w14:val="tx1"/>
            </w14:solidFill>
          </w14:textFill>
        </w:rPr>
        <w:t>。</w:t>
      </w:r>
    </w:p>
    <w:p w14:paraId="3297E99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3</w:t>
      </w:r>
      <w:r>
        <w:rPr>
          <w:rFonts w:ascii="黑体" w:cs="黑体" w:eastAsia="黑体" w:hAnsi="Times New Roman" w:hint="eastAsia"/>
          <w:color w:themeColor="text1" w:val="000000"/>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4</w:t>
      </w:r>
      <w:r>
        <w:rPr>
          <w:rFonts w:ascii="黑体" w:cs="黑体" w:eastAsia="黑体" w:hAnsi="Times New Roman" w:hint="eastAsia"/>
          <w:color w:themeColor="text1" w:val="000000"/>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highlight w:val="none"/>
          <w14:textFill>
            <w14:solidFill>
              <w14:schemeClr w14:val="tx1"/>
            </w14:solidFill>
          </w14:textFill>
        </w:rPr>
        <w:t>机构</w:t>
      </w:r>
      <w:r>
        <w:rPr>
          <w:rFonts w:ascii="黑体" w:cs="黑体" w:eastAsia="黑体" w:hAnsi="Times New Roman" w:hint="eastAsia"/>
          <w:color w:themeColor="text1" w:val="000000"/>
          <w:sz w:val="20"/>
          <w:szCs w:val="20"/>
          <w:highlight w:val="none"/>
          <w14:textFill>
            <w14:solidFill>
              <w14:schemeClr w14:val="tx1"/>
            </w14:solidFill>
          </w14:textFill>
        </w:rPr>
        <w:t>各营业场所或营业</w:t>
      </w:r>
      <w:r>
        <w:rPr>
          <w:rFonts w:ascii="黑体" w:cs="黑体" w:eastAsia="黑体" w:hAnsi="Times New Roman"/>
          <w:color w:themeColor="text1" w:val="000000"/>
          <w:sz w:val="20"/>
          <w:szCs w:val="20"/>
          <w:highlight w:val="none"/>
          <w14:textFill>
            <w14:solidFill>
              <w14:schemeClr w14:val="tx1"/>
            </w14:solidFill>
          </w14:textFill>
        </w:rPr>
        <w:t>网点</w:t>
      </w:r>
      <w:r>
        <w:rPr>
          <w:rFonts w:ascii="黑体" w:cs="黑体" w:eastAsia="黑体" w:hAnsi="Times New Roman" w:hint="eastAsia"/>
          <w:color w:themeColor="text1" w:val="000000"/>
          <w:sz w:val="20"/>
          <w:szCs w:val="20"/>
          <w:highlight w:val="none"/>
          <w14:textFill>
            <w14:solidFill>
              <w14:schemeClr w14:val="tx1"/>
            </w14:solidFill>
          </w14:textFill>
        </w:rPr>
        <w:t>咨询。</w:t>
      </w:r>
    </w:p>
    <w:p w14:paraId="422532DF">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5</w:t>
      </w:r>
      <w:r>
        <w:rPr>
          <w:rFonts w:ascii="黑体" w:cs="黑体" w:eastAsia="黑体" w:hAnsi="Times New Roman" w:hint="eastAsia"/>
          <w:color w:themeColor="text1" w:val="000000"/>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6</w:t>
      </w:r>
      <w:r>
        <w:rPr>
          <w:rFonts w:ascii="黑体" w:cs="黑体" w:eastAsia="黑体" w:hAnsi="Times New Roman" w:hint="eastAsia"/>
          <w:b/>
          <w:color w:themeColor="text1" w:val="000000"/>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highlight w:val="none"/>
          <w14:textFill>
            <w14:solidFill>
              <w14:schemeClr w14:val="tx1"/>
            </w14:solidFill>
          </w14:textFill>
        </w:rPr>
      </w:pPr>
      <w:r>
        <w:rPr>
          <w:rFonts w:ascii="黑体" w:eastAsia="黑体" w:hAnsi="Times New Roman"/>
          <w:color w:themeColor="text1" w:val="000000"/>
          <w:sz w:val="20"/>
          <w:szCs w:val="20"/>
          <w:highlight w:val="none"/>
          <w14:textFill>
            <w14:solidFill>
              <w14:schemeClr w14:val="tx1"/>
            </w14:solidFill>
          </w14:textFill>
        </w:rPr>
        <w:t> </w:t>
      </w:r>
    </w:p>
    <w:p w14:paraId="25097462">
      <w:pPr>
        <w:snapToGrid w:val="0"/>
        <w:ind w:firstLine="200"/>
        <w:jc w:val="both"/>
        <w:rPr>
          <w:b/>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6．</w:t>
      </w:r>
      <w:r>
        <w:rPr>
          <w:rFonts w:ascii="黑体" w:eastAsia="黑体" w:hAnsi="Times New Roman" w:hint="eastAsia"/>
          <w:b/>
          <w:color w:themeColor="text1" w:val="000000"/>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的有效联系方式变更的，应及时通知信银理财或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。如投资者未及时告知信银理财或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联系方式变更的，或因投资者其他原因导致信银理财或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8．延期清算风险：</w:t>
      </w:r>
      <w:r>
        <w:rPr>
          <w:rFonts w:ascii="黑体" w:eastAsia="黑体" w:hint="eastAsia"/>
          <w:b/>
          <w:color w:themeColor="text1" w:val="000000"/>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eastAsia="黑体"/>
          <w:b/>
          <w:color w:themeColor="text1" w:val="000000"/>
          <w:sz w:val="20"/>
          <w:szCs w:val="20"/>
          <w:highlight w:val="none"/>
          <w14:textFill>
            <w14:solidFill>
              <w14:schemeClr w14:val="tx1"/>
            </w14:solidFill>
          </w14:textFill>
        </w:rPr>
        <w:t>9</w:t>
      </w:r>
      <w:r>
        <w:rPr>
          <w:rFonts w:ascii="黑体" w:eastAsia="黑体" w:hint="eastAsia"/>
          <w:b/>
          <w:color w:themeColor="text1" w:val="000000"/>
          <w:sz w:val="20"/>
          <w:szCs w:val="20"/>
          <w:highlight w:val="none"/>
          <w14:textFill>
            <w14:solidFill>
              <w14:schemeClr w14:val="tx1"/>
            </w14:solidFill>
          </w14:textFill>
        </w:rPr>
        <w:t>．</w:t>
      </w:r>
      <w:r>
        <w:rPr>
          <w:rFonts w:ascii="黑体" w:eastAsia="黑体"/>
          <w:b/>
          <w:color w:themeColor="text1" w:val="000000"/>
          <w:sz w:val="20"/>
          <w:szCs w:val="20"/>
          <w:highlight w:val="none"/>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highlight w:val="none"/>
          <w14:textFill>
            <w14:solidFill>
              <w14:schemeClr w14:val="tx1"/>
            </w14:solidFill>
          </w14:textFill>
        </w:rPr>
        <w:t>（或</w:t>
      </w:r>
      <w:r>
        <w:rPr>
          <w:rFonts w:ascii="黑体" w:eastAsia="黑体"/>
          <w:b/>
          <w:color w:themeColor="text1" w:val="000000"/>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7D69E70">
      <w:pPr>
        <w:snapToGrid w:val="0"/>
        <w:ind w:firstLine="402" w:firstLineChars="200"/>
        <w:jc w:val="both"/>
        <w:rPr>
          <w:rFonts w:ascii="黑体" w:cs="黑体" w:eastAsia="黑体" w:hAnsi="Times New Roman" w:hint="eastAsia"/>
          <w:b/>
          <w:color w:themeColor="text1" w:val="000000"/>
          <w:sz w:val="20"/>
          <w:szCs w:val="20"/>
          <w:highlight w:val="none"/>
          <w:lang w:eastAsia="zh-CN" w:val="en-US"/>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11．</w:t>
      </w:r>
      <w:r>
        <w:rPr>
          <w:rFonts w:ascii="黑体" w:cs="黑体" w:eastAsia="黑体" w:hAnsi="Times New Roman" w:hint="eastAsia"/>
          <w:b/>
          <w:color w:themeColor="text1" w:val="000000"/>
          <w:sz w:val="20"/>
          <w:szCs w:val="20"/>
          <w:highlight w:val="none"/>
          <w:lang w:eastAsia="zh-CN" w:val="en-US"/>
          <w14:textFill>
            <w14:solidFill>
              <w14:schemeClr w14:val="tx1"/>
            </w14:solidFill>
          </w14:textFill>
        </w:rPr>
        <w:t>理财本金全部损失风险（</w:t>
      </w:r>
      <w:r>
        <w:rPr>
          <w:rFonts w:ascii="黑体" w:eastAsia="黑体" w:hint="eastAsia"/>
          <w:b/>
          <w:color w:themeColor="text1" w:val="000000"/>
          <w:sz w:val="20"/>
          <w:szCs w:val="20"/>
          <w:highlight w:val="none"/>
          <w:lang w:eastAsia="zh-CN" w:val="en-US"/>
          <w14:textFill>
            <w14:solidFill>
              <w14:schemeClr w14:val="tx1"/>
            </w14:solidFill>
          </w14:textFill>
        </w:rPr>
        <w:t>最不利投资情形下的投资结果）</w:t>
      </w:r>
      <w:r>
        <w:rPr>
          <w:rFonts w:ascii="黑体" w:eastAsia="黑体"/>
          <w:b/>
          <w:color w:themeColor="text1" w:val="000000"/>
          <w:sz w:val="20"/>
          <w:szCs w:val="20"/>
          <w:highlight w:val="none"/>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lang w:eastAsia="zh-CN" w:val="en-US"/>
          <w14:textFill>
            <w14:solidFill>
              <w14:schemeClr w14:val="tx1"/>
            </w14:solidFill>
          </w14:textFill>
        </w:rPr>
        <w:t>最不利情形下投资者将可能损失全部本金及收益（如有）。</w:t>
      </w:r>
    </w:p>
    <w:p w14:paraId="4281B1B8">
      <w:pPr>
        <w:snapToGrid w:val="0"/>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12</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合作销售机构</w:t>
      </w:r>
      <w:r>
        <w:rPr>
          <w:rFonts w:ascii="黑体" w:eastAsia="黑体" w:hAnsi="黑体" w:hint="eastAsia"/>
          <w:b/>
          <w:color w:themeColor="text1" w:val="000000"/>
          <w:sz w:val="20"/>
          <w:szCs w:val="20"/>
          <w:highlight w:val="none"/>
          <w14:textFill>
            <w14:solidFill>
              <w14:schemeClr w14:val="tx1"/>
            </w14:solidFill>
          </w14:textFill>
        </w:rPr>
        <w:t>（代销</w:t>
      </w:r>
      <w:r>
        <w:rPr>
          <w:rFonts w:ascii="黑体" w:eastAsia="黑体" w:hAnsi="黑体"/>
          <w:b/>
          <w:color w:themeColor="text1" w:val="000000"/>
          <w:sz w:val="20"/>
          <w:szCs w:val="20"/>
          <w:highlight w:val="none"/>
          <w14:textFill>
            <w14:solidFill>
              <w14:schemeClr w14:val="tx1"/>
            </w14:solidFill>
          </w14:textFill>
        </w:rPr>
        <w:t>机构）风险：投资者</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合作销售机构购买本理财产品</w:t>
      </w:r>
      <w:r>
        <w:rPr>
          <w:rFonts w:ascii="黑体" w:eastAsia="黑体" w:hAnsi="黑体" w:hint="eastAsia"/>
          <w:b/>
          <w:color w:themeColor="text1" w:val="000000"/>
          <w:sz w:val="20"/>
          <w:szCs w:val="20"/>
          <w:highlight w:val="none"/>
          <w14:textFill>
            <w14:solidFill>
              <w14:schemeClr w14:val="tx1"/>
            </w14:solidFill>
          </w14:textFill>
        </w:rPr>
        <w:t>的</w:t>
      </w:r>
      <w:r>
        <w:rPr>
          <w:rFonts w:ascii="黑体" w:eastAsia="黑体" w:hAnsi="黑体"/>
          <w:b/>
          <w:color w:themeColor="text1" w:val="000000"/>
          <w:sz w:val="20"/>
          <w:szCs w:val="20"/>
          <w:highlight w:val="none"/>
          <w14:textFill>
            <w14:solidFill>
              <w14:schemeClr w14:val="tx1"/>
            </w14:solidFill>
          </w14:textFill>
        </w:rPr>
        <w:t>，资金清算将通过合作销售机构进行</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如因合作销售机构</w:t>
      </w:r>
      <w:r>
        <w:rPr>
          <w:rFonts w:ascii="黑体" w:eastAsia="黑体" w:hAnsi="黑体" w:hint="eastAsia"/>
          <w:b/>
          <w:color w:themeColor="text1" w:val="000000"/>
          <w:sz w:val="20"/>
          <w:szCs w:val="20"/>
          <w:highlight w:val="none"/>
          <w14:textFill>
            <w14:solidFill>
              <w14:schemeClr w14:val="tx1"/>
            </w14:solidFill>
          </w14:textFill>
        </w:rPr>
        <w:t>资金清算</w:t>
      </w:r>
      <w:r>
        <w:rPr>
          <w:rFonts w:ascii="黑体" w:eastAsia="黑体" w:hAnsi="黑体"/>
          <w:b/>
          <w:color w:themeColor="text1" w:val="000000"/>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highlight w:val="none"/>
          <w14:textFill>
            <w14:solidFill>
              <w14:schemeClr w14:val="tx1"/>
            </w14:solidFill>
          </w14:textFill>
        </w:rPr>
        <w:t>投资者</w:t>
      </w:r>
      <w:r>
        <w:rPr>
          <w:rFonts w:ascii="黑体" w:eastAsia="黑体" w:hAnsi="黑体"/>
          <w:b/>
          <w:color w:themeColor="text1" w:val="000000"/>
          <w:sz w:val="20"/>
          <w:szCs w:val="20"/>
          <w:highlight w:val="none"/>
          <w14:textFill>
            <w14:solidFill>
              <w14:schemeClr w14:val="tx1"/>
            </w14:solidFill>
          </w14:textFill>
        </w:rPr>
        <w:t>认购失败或</w:t>
      </w:r>
      <w:r>
        <w:rPr>
          <w:rFonts w:ascii="黑体" w:eastAsia="黑体" w:hAnsi="黑体" w:hint="eastAsia"/>
          <w:b/>
          <w:color w:themeColor="text1" w:val="000000"/>
          <w:sz w:val="20"/>
          <w:szCs w:val="20"/>
          <w:highlight w:val="none"/>
          <w14:textFill>
            <w14:solidFill>
              <w14:schemeClr w14:val="tx1"/>
            </w14:solidFill>
          </w14:textFill>
        </w:rPr>
        <w:t>理财</w:t>
      </w:r>
      <w:r>
        <w:rPr>
          <w:rFonts w:ascii="黑体" w:eastAsia="黑体" w:hAnsi="黑体"/>
          <w:b/>
          <w:color w:themeColor="text1" w:val="000000"/>
          <w:sz w:val="20"/>
          <w:szCs w:val="20"/>
          <w:highlight w:val="none"/>
          <w14:textFill>
            <w14:solidFill>
              <w14:schemeClr w14:val="tx1"/>
            </w14:solidFill>
          </w14:textFill>
        </w:rPr>
        <w:t>资金遭受损失。</w:t>
      </w:r>
      <w:r>
        <w:rPr>
          <w:rFonts w:ascii="黑体" w:eastAsia="黑体" w:hAnsi="黑体" w:hint="eastAsia"/>
          <w:b/>
          <w:color w:themeColor="text1" w:val="000000"/>
          <w:sz w:val="20"/>
          <w:szCs w:val="20"/>
          <w:highlight w:val="none"/>
          <w14:textFill>
            <w14:solidFill>
              <w14:schemeClr w14:val="tx1"/>
            </w14:solidFill>
          </w14:textFill>
        </w:rPr>
        <w:t>在</w:t>
      </w:r>
      <w:r>
        <w:rPr>
          <w:rFonts w:ascii="黑体" w:eastAsia="黑体" w:hAnsi="黑体"/>
          <w:b/>
          <w:color w:themeColor="text1" w:val="000000"/>
          <w:sz w:val="20"/>
          <w:szCs w:val="20"/>
          <w:highlight w:val="none"/>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highlight w:val="none"/>
          <w14:textFill>
            <w14:solidFill>
              <w14:schemeClr w14:val="tx1"/>
            </w14:solidFill>
          </w14:textFill>
        </w:rPr>
        <w:t>不足</w:t>
      </w:r>
      <w:r>
        <w:rPr>
          <w:rFonts w:ascii="黑体" w:eastAsia="黑体" w:hAnsi="黑体"/>
          <w:b/>
          <w:color w:themeColor="text1" w:val="000000"/>
          <w:sz w:val="20"/>
          <w:szCs w:val="20"/>
          <w:highlight w:val="none"/>
          <w14:textFill>
            <w14:solidFill>
              <w14:schemeClr w14:val="tx1"/>
            </w14:solidFill>
          </w14:textFill>
        </w:rPr>
        <w:t>，或合作销售机构</w:t>
      </w:r>
      <w:r>
        <w:rPr>
          <w:rFonts w:ascii="黑体" w:eastAsia="黑体" w:hAnsi="黑体" w:hint="eastAsia"/>
          <w:b/>
          <w:color w:themeColor="text1" w:val="000000"/>
          <w:sz w:val="20"/>
          <w:szCs w:val="20"/>
          <w:highlight w:val="none"/>
          <w14:textFill>
            <w14:solidFill>
              <w14:schemeClr w14:val="tx1"/>
            </w14:solidFill>
          </w14:textFill>
        </w:rPr>
        <w:t>未及时将投资者认购</w:t>
      </w:r>
      <w:r>
        <w:rPr>
          <w:rFonts w:ascii="黑体" w:eastAsia="黑体" w:hAnsi="黑体"/>
          <w:b/>
          <w:color w:themeColor="text1" w:val="000000"/>
          <w:sz w:val="20"/>
          <w:szCs w:val="20"/>
          <w:highlight w:val="none"/>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highlight w:val="none"/>
          <w14:textFill>
            <w14:solidFill>
              <w14:schemeClr w14:val="tx1"/>
            </w14:solidFill>
          </w14:textFill>
        </w:rPr>
        <w:t>赎回和</w:t>
      </w:r>
      <w:r>
        <w:rPr>
          <w:rFonts w:ascii="黑体" w:eastAsia="黑体" w:hAnsi="黑体"/>
          <w:b/>
          <w:color w:themeColor="text1" w:val="000000"/>
          <w:sz w:val="20"/>
          <w:szCs w:val="20"/>
          <w:highlight w:val="none"/>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b/>
          <w:color w:themeColor="text1" w:val="000000"/>
          <w:sz w:val="20"/>
          <w:szCs w:val="20"/>
          <w:highlight w:val="none"/>
          <w14:textFill>
            <w14:solidFill>
              <w14:schemeClr w14:val="tx1"/>
            </w14:solidFill>
          </w14:textFill>
        </w:rPr>
        <w:t>机构</w:t>
      </w:r>
      <w:r>
        <w:rPr>
          <w:rFonts w:ascii="黑体" w:eastAsia="黑体" w:hAnsi="黑体" w:hint="eastAsia"/>
          <w:b/>
          <w:color w:themeColor="text1" w:val="000000"/>
          <w:sz w:val="20"/>
          <w:szCs w:val="20"/>
          <w:highlight w:val="none"/>
          <w14:textFill>
            <w14:solidFill>
              <w14:schemeClr w14:val="tx1"/>
            </w14:solidFill>
          </w14:textFill>
        </w:rPr>
        <w:t>指定账户</w:t>
      </w:r>
      <w:r>
        <w:rPr>
          <w:rFonts w:ascii="黑体" w:eastAsia="黑体" w:hAnsi="黑体"/>
          <w:b/>
          <w:color w:themeColor="text1" w:val="000000"/>
          <w:sz w:val="20"/>
          <w:szCs w:val="20"/>
          <w:highlight w:val="none"/>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若</w:t>
      </w:r>
      <w:r>
        <w:rPr>
          <w:rFonts w:ascii="黑体" w:eastAsia="黑体" w:hAnsi="黑体" w:hint="eastAsia"/>
          <w:b/>
          <w:color w:themeColor="text1" w:val="000000"/>
          <w:sz w:val="20"/>
          <w:szCs w:val="20"/>
          <w:highlight w:val="none"/>
          <w14:textFill>
            <w14:solidFill>
              <w14:schemeClr w14:val="tx1"/>
            </w14:solidFill>
          </w14:textFill>
        </w:rPr>
        <w:t>合作</w:t>
      </w:r>
      <w:r>
        <w:rPr>
          <w:rFonts w:ascii="黑体" w:eastAsia="黑体" w:hAnsi="黑体"/>
          <w:b/>
          <w:color w:themeColor="text1" w:val="000000"/>
          <w:sz w:val="20"/>
          <w:szCs w:val="20"/>
          <w:highlight w:val="none"/>
          <w14:textFill>
            <w14:solidFill>
              <w14:schemeClr w14:val="tx1"/>
            </w14:solidFill>
          </w14:textFill>
        </w:rPr>
        <w:t>销售机构未及时进行划付，因此造成的</w:t>
      </w:r>
      <w:r>
        <w:rPr>
          <w:rFonts w:ascii="黑体" w:eastAsia="黑体" w:hAnsi="黑体" w:hint="eastAsia"/>
          <w:b/>
          <w:color w:themeColor="text1" w:val="000000"/>
          <w:sz w:val="20"/>
          <w:szCs w:val="20"/>
          <w:highlight w:val="none"/>
          <w14:textFill>
            <w14:solidFill>
              <w14:schemeClr w14:val="tx1"/>
            </w14:solidFill>
          </w14:textFill>
        </w:rPr>
        <w:t>损失</w:t>
      </w:r>
      <w:r>
        <w:rPr>
          <w:rFonts w:ascii="黑体" w:eastAsia="黑体" w:hAnsi="黑体"/>
          <w:b/>
          <w:color w:themeColor="text1" w:val="000000"/>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13</w:t>
      </w:r>
      <w:r>
        <w:rPr>
          <w:rFonts w:ascii="黑体" w:eastAsia="黑体" w:hAnsi="黑体" w:hint="eastAsia"/>
          <w:b/>
          <w:color w:themeColor="text1" w:val="000000"/>
          <w:sz w:val="20"/>
          <w:szCs w:val="20"/>
          <w:highlight w:val="none"/>
          <w14:textFill>
            <w14:solidFill>
              <w14:schemeClr w14:val="tx1"/>
            </w14:solidFill>
          </w14:textFill>
        </w:rPr>
        <w:t>．操作风险：如本理财产品管理人、</w:t>
      </w:r>
      <w:r>
        <w:rPr>
          <w:rFonts w:ascii="黑体" w:eastAsia="黑体" w:hAnsi="黑体"/>
          <w:b/>
          <w:color w:themeColor="text1" w:val="000000"/>
          <w:sz w:val="20"/>
          <w:szCs w:val="20"/>
          <w:highlight w:val="none"/>
          <w14:textFill>
            <w14:solidFill>
              <w14:schemeClr w14:val="tx1"/>
            </w14:solidFill>
          </w14:textFill>
        </w:rPr>
        <w:t>代销机构</w:t>
      </w:r>
      <w:r>
        <w:rPr>
          <w:rFonts w:ascii="黑体" w:eastAsia="黑体" w:hAnsi="黑体" w:hint="eastAsia"/>
          <w:b/>
          <w:color w:themeColor="text1" w:val="000000"/>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hint="eastAsia"/>
          <w:b/>
          <w:color w:themeColor="text1" w:val="000000"/>
          <w:sz w:val="20"/>
          <w:szCs w:val="20"/>
          <w:highlight w:val="none"/>
          <w:lang w:eastAsia="zh-CN"/>
          <w14:textFill>
            <w14:solidFill>
              <w14:schemeClr w14:val="tx1"/>
            </w14:solidFill>
          </w14:textFill>
        </w:rPr>
      </w:pPr>
      <w:r>
        <w:rPr>
          <w:rFonts w:ascii="黑体" w:eastAsia="黑体" w:hAnsi="黑体" w:hint="eastAsia"/>
          <w:b/>
          <w:color w:themeColor="text1" w:val="000000"/>
          <w:sz w:val="20"/>
          <w:szCs w:val="20"/>
          <w:highlight w:val="none"/>
          <w:lang w:eastAsia="zh-CN"/>
          <w14:textFill>
            <w14:solidFill>
              <w14:schemeClr w14:val="tx1"/>
            </w14:solidFill>
          </w14:textFill>
        </w:rPr>
        <w:t>14.关联交易风险：在合法合规且履行应履行的内外部程序后，理财产品可能与管理人及其控股股东、实际控制人等发生关联交易。本理财产品可能通过管理人的关联方进行托管、销售或作为投资顾问（如有），本理财产品的销售机构、托管人及投资顾问（如有）以说明书披露为准。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7E3557">
      <w:pPr>
        <w:spacing w:line="300" w:lineRule="atLeast"/>
        <w:ind w:firstLine="402" w:firstLineChars="200"/>
        <w:jc w:val="both"/>
        <w:rPr>
          <w:rFonts w:ascii="黑体" w:eastAsia="黑体" w:hAnsi="黑体" w:hint="eastAsia"/>
          <w:b/>
          <w:color w:themeColor="text1" w:val="000000"/>
          <w:sz w:val="20"/>
          <w:szCs w:val="20"/>
          <w:highlight w:val="none"/>
          <w14:textFill>
            <w14:solidFill>
              <w14:schemeClr w14:val="tx1"/>
            </w14:solidFill>
          </w14:textFill>
        </w:rPr>
      </w:pPr>
      <w:r>
        <w:rPr>
          <w:rFonts w:ascii="黑体" w:eastAsia="黑体" w:hAnsi="黑体" w:hint="eastAsia"/>
          <w:b/>
          <w:color w:themeColor="text1" w:val="000000"/>
          <w:sz w:val="20"/>
          <w:szCs w:val="20"/>
          <w:highlight w:val="none"/>
          <w14:textFill>
            <w14:solidFill>
              <w14:schemeClr w14:val="tx1"/>
            </w14:solidFill>
          </w14:textFill>
        </w:rPr>
        <w:t>以上风险事项仅为列举性质，未能详尽列明投资本产品可能面临的全部风险和可能导致投资者投资本金及收益损失的所有因素，请投资者充分评估投资风险。理财产品管理人承诺以诚实守信、勤勉尽职的原则管理和运用理财产品资金，在理财产品募集、存续、终止各环节实施全面风险管理，对产品面临的上述风险持续进行识别、评估、监测、报告，对不同风险特性采用分散、对冲、转移、规避、补偿或缓释等手段对风险进行控制。管理人上述风险管控措施为管理人基于正常市场环境及合理预期而设，不构成管理人对理财产品风险的完全消除或对理财产品本金安全和理财产品收益的任何承诺与保证。理财产品在实际运作中仍可能因市场、政策、不可抗力等各类因素而遭受超出管理人风险控制措施覆盖范围的风险事件，从而导致理财产品净值波动乃至本金损失。</w:t>
      </w:r>
    </w:p>
    <w:p w14:paraId="3115A60B">
      <w:pPr>
        <w:spacing w:line="300" w:lineRule="atLeast"/>
        <w:ind w:right="36"/>
        <w:rPr>
          <w:rFonts w:ascii="黑体" w:eastAsia="黑体" w:hAnsi="黑体"/>
          <w:color w:themeColor="text1" w:val="000000"/>
          <w:sz w:val="20"/>
          <w:szCs w:val="20"/>
          <w:highlight w:val="none"/>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释义与</w:t>
      </w:r>
      <w:r>
        <w:rPr>
          <w:rFonts w:ascii="黑体" w:cs="黑体" w:eastAsia="黑体" w:hAnsi="Times New Roman"/>
          <w:b/>
          <w:bCs/>
          <w:color w:themeColor="text1" w:val="000000"/>
          <w:sz w:val="20"/>
          <w:szCs w:val="20"/>
          <w:highlight w:val="none"/>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5．理财产品资产净值</w:t>
      </w:r>
      <w:r>
        <w:rPr>
          <w:rFonts w:ascii="黑体" w:eastAsia="黑体" w:hAnsi="黑体"/>
          <w:color w:themeColor="text1" w:val="000000"/>
          <w:sz w:val="20"/>
          <w:szCs w:val="20"/>
          <w:highlight w:val="none"/>
          <w14:textFill>
            <w14:solidFill>
              <w14:schemeClr w14:val="tx1"/>
            </w14:solidFill>
          </w14:textFill>
        </w:rPr>
        <w:t>/资产净值</w:t>
      </w:r>
      <w:r>
        <w:rPr>
          <w:rFonts w:ascii="黑体" w:eastAsia="黑体" w:hAnsi="黑体" w:hint="eastAsia"/>
          <w:color w:themeColor="text1" w:val="000000"/>
          <w:sz w:val="20"/>
          <w:szCs w:val="20"/>
          <w:highlight w:val="none"/>
          <w14:textFill>
            <w14:solidFill>
              <w14:schemeClr w14:val="tx1"/>
            </w14:solidFill>
          </w14:textFill>
        </w:rPr>
        <w:t>/净资产</w:t>
      </w:r>
      <w:r>
        <w:rPr>
          <w:rFonts w:ascii="黑体" w:eastAsia="黑体" w:hAnsi="黑体"/>
          <w:color w:themeColor="text1" w:val="000000"/>
          <w:sz w:val="20"/>
          <w:szCs w:val="20"/>
          <w:highlight w:val="none"/>
          <w14:textFill>
            <w14:solidFill>
              <w14:schemeClr w14:val="tx1"/>
            </w14:solidFill>
          </w14:textFill>
        </w:rPr>
        <w:t>：资产净值=产品资产总值-产品负</w:t>
      </w:r>
      <w:r>
        <w:rPr>
          <w:rFonts w:ascii="黑体" w:eastAsia="黑体" w:hAnsi="黑体" w:hint="eastAsia"/>
          <w:color w:themeColor="text1" w:val="000000"/>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6．</w:t>
      </w:r>
      <w:r>
        <w:rPr>
          <w:rFonts w:ascii="黑体" w:eastAsia="黑体" w:hAnsi="黑体"/>
          <w:color w:themeColor="text1" w:val="000000"/>
          <w:sz w:val="20"/>
          <w:szCs w:val="20"/>
          <w:highlight w:val="none"/>
          <w14:textFill>
            <w14:solidFill>
              <w14:schemeClr w14:val="tx1"/>
            </w14:solidFill>
          </w14:textFill>
        </w:rPr>
        <w:t>理财产品单位净值/单位净值/</w:t>
      </w:r>
      <w:r>
        <w:rPr>
          <w:rFonts w:ascii="黑体" w:eastAsia="黑体" w:hAnsi="黑体" w:hint="eastAsia"/>
          <w:color w:themeColor="text1" w:val="000000"/>
          <w:sz w:val="20"/>
          <w:szCs w:val="20"/>
          <w:highlight w:val="none"/>
          <w14:textFill>
            <w14:solidFill>
              <w14:schemeClr w14:val="tx1"/>
            </w14:solidFill>
          </w14:textFill>
        </w:rPr>
        <w:t>份额净值</w:t>
      </w:r>
      <w:r>
        <w:rPr>
          <w:rFonts w:ascii="黑体" w:eastAsia="黑体" w:hAnsi="黑体"/>
          <w:color w:themeColor="text1" w:val="000000"/>
          <w:sz w:val="20"/>
          <w:szCs w:val="20"/>
          <w:highlight w:val="none"/>
          <w14:textFill>
            <w14:solidFill>
              <w14:schemeClr w14:val="tx1"/>
            </w14:solidFill>
          </w14:textFill>
        </w:rPr>
        <w:t>：指理财产品份额的单位净值，即每1</w:t>
      </w:r>
      <w:r>
        <w:rPr>
          <w:rFonts w:ascii="黑体" w:eastAsia="黑体" w:hAnsi="黑体" w:hint="eastAsia"/>
          <w:color w:themeColor="text1" w:val="000000"/>
          <w:sz w:val="20"/>
          <w:szCs w:val="20"/>
          <w:highlight w:val="none"/>
          <w14:textFill>
            <w14:solidFill>
              <w14:schemeClr w14:val="tx1"/>
            </w14:solidFill>
          </w14:textFill>
        </w:rPr>
        <w:t>份理财产品份额以人民币计价的价格。理财产品单位净值</w:t>
      </w:r>
      <w:r>
        <w:rPr>
          <w:rFonts w:ascii="黑体" w:eastAsia="黑体" w:hAnsi="黑体"/>
          <w:color w:themeColor="text1" w:val="000000"/>
          <w:sz w:val="20"/>
          <w:szCs w:val="20"/>
          <w:highlight w:val="none"/>
          <w14:textFill>
            <w14:solidFill>
              <w14:schemeClr w14:val="tx1"/>
            </w14:solidFill>
          </w14:textFill>
        </w:rPr>
        <w:t>=当日理财产品资产净值/当日理财产品存续份额</w:t>
      </w:r>
      <w:r>
        <w:rPr>
          <w:rFonts w:ascii="黑体" w:eastAsia="黑体" w:hAnsi="黑体" w:hint="eastAsia"/>
          <w:color w:themeColor="text1" w:val="000000"/>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7．理财</w:t>
      </w:r>
      <w:r>
        <w:rPr>
          <w:rFonts w:ascii="黑体" w:eastAsia="黑体" w:hAnsi="黑体"/>
          <w:color w:themeColor="text1" w:val="000000"/>
          <w:sz w:val="20"/>
          <w:szCs w:val="20"/>
          <w:highlight w:val="none"/>
          <w14:textFill>
            <w14:solidFill>
              <w14:schemeClr w14:val="tx1"/>
            </w14:solidFill>
          </w14:textFill>
        </w:rPr>
        <w:t>产品本金</w:t>
      </w:r>
      <w:r>
        <w:rPr>
          <w:rFonts w:ascii="黑体" w:eastAsia="黑体" w:hAnsi="黑体" w:hint="eastAsia"/>
          <w:color w:themeColor="text1" w:val="000000"/>
          <w:sz w:val="20"/>
          <w:szCs w:val="20"/>
          <w:highlight w:val="none"/>
          <w14:textFill>
            <w14:solidFill>
              <w14:schemeClr w14:val="tx1"/>
            </w14:solidFill>
          </w14:textFill>
        </w:rPr>
        <w:t>/投资本金/本金</w:t>
      </w:r>
      <w:r>
        <w:rPr>
          <w:rFonts w:ascii="黑体" w:eastAsia="黑体" w:hAnsi="黑体"/>
          <w:color w:themeColor="text1" w:val="000000"/>
          <w:sz w:val="20"/>
          <w:szCs w:val="20"/>
          <w:highlight w:val="none"/>
          <w14:textFill>
            <w14:solidFill>
              <w14:schemeClr w14:val="tx1"/>
            </w14:solidFill>
          </w14:textFill>
        </w:rPr>
        <w:t>：指投资者为认购理财</w:t>
      </w:r>
      <w:r>
        <w:rPr>
          <w:rFonts w:ascii="黑体" w:eastAsia="黑体" w:hAnsi="黑体" w:hint="eastAsia"/>
          <w:color w:themeColor="text1" w:val="000000"/>
          <w:sz w:val="20"/>
          <w:szCs w:val="20"/>
          <w:highlight w:val="none"/>
          <w14:textFill>
            <w14:solidFill>
              <w14:schemeClr w14:val="tx1"/>
            </w14:solidFill>
          </w14:textFill>
        </w:rPr>
        <w:t>产品</w:t>
      </w:r>
      <w:r>
        <w:rPr>
          <w:rFonts w:ascii="黑体" w:eastAsia="黑体" w:hAnsi="黑体"/>
          <w:color w:themeColor="text1" w:val="000000"/>
          <w:sz w:val="20"/>
          <w:szCs w:val="20"/>
          <w:highlight w:val="none"/>
          <w14:textFill>
            <w14:solidFill>
              <w14:schemeClr w14:val="tx1"/>
            </w14:solidFill>
          </w14:textFill>
        </w:rPr>
        <w:t>份额而向理财产品管理人交付的货币资金</w:t>
      </w:r>
      <w:r>
        <w:rPr>
          <w:rFonts w:ascii="黑体" w:eastAsia="黑体" w:hAnsi="黑体" w:hint="eastAsia"/>
          <w:color w:themeColor="text1" w:val="000000"/>
          <w:sz w:val="20"/>
          <w:szCs w:val="20"/>
          <w:highlight w:val="none"/>
          <w14:textFill>
            <w14:solidFill>
              <w14:schemeClr w14:val="tx1"/>
            </w14:solidFill>
          </w14:textFill>
        </w:rPr>
        <w:t>，扣除认购费后</w:t>
      </w:r>
      <w:r>
        <w:rPr>
          <w:rFonts w:ascii="黑体" w:eastAsia="黑体" w:hAnsi="黑体"/>
          <w:color w:themeColor="text1" w:val="000000"/>
          <w:sz w:val="20"/>
          <w:szCs w:val="20"/>
          <w:highlight w:val="none"/>
          <w14:textFill>
            <w14:solidFill>
              <w14:schemeClr w14:val="tx1"/>
            </w14:solidFill>
          </w14:textFill>
        </w:rPr>
        <w:t>即投资者的投资</w:t>
      </w:r>
      <w:r>
        <w:rPr>
          <w:rFonts w:ascii="黑体" w:eastAsia="黑体" w:hAnsi="黑体" w:hint="eastAsia"/>
          <w:color w:themeColor="text1" w:val="000000"/>
          <w:sz w:val="20"/>
          <w:szCs w:val="20"/>
          <w:highlight w:val="none"/>
          <w14:textFill>
            <w14:solidFill>
              <w14:schemeClr w14:val="tx1"/>
            </w14:solidFill>
          </w14:textFill>
        </w:rPr>
        <w:t>本金。</w:t>
      </w:r>
      <w:r>
        <w:rPr>
          <w:rFonts w:ascii="黑体" w:eastAsia="黑体" w:hAnsi="黑体"/>
          <w:color w:themeColor="text1" w:val="000000"/>
          <w:sz w:val="20"/>
          <w:szCs w:val="20"/>
          <w:highlight w:val="none"/>
          <w14:textFill>
            <w14:solidFill>
              <w14:schemeClr w14:val="tx1"/>
            </w14:solidFill>
          </w14:textFill>
        </w:rPr>
        <w:t>本金</w:t>
      </w:r>
      <w:r>
        <w:rPr>
          <w:rFonts w:ascii="黑体" w:eastAsia="黑体" w:hAnsi="黑体" w:hint="eastAsia"/>
          <w:color w:themeColor="text1" w:val="000000"/>
          <w:sz w:val="20"/>
          <w:szCs w:val="20"/>
          <w:highlight w:val="none"/>
          <w14:textFill>
            <w14:solidFill>
              <w14:schemeClr w14:val="tx1"/>
            </w14:solidFill>
          </w14:textFill>
        </w:rPr>
        <w:t>的</w:t>
      </w:r>
      <w:r>
        <w:rPr>
          <w:rFonts w:ascii="黑体" w:eastAsia="黑体" w:hAnsi="黑体"/>
          <w:color w:themeColor="text1" w:val="000000"/>
          <w:sz w:val="20"/>
          <w:szCs w:val="20"/>
          <w:highlight w:val="none"/>
          <w14:textFill>
            <w14:solidFill>
              <w14:schemeClr w14:val="tx1"/>
            </w14:solidFill>
          </w14:textFill>
        </w:rPr>
        <w:t>称谓</w:t>
      </w:r>
      <w:r>
        <w:rPr>
          <w:rFonts w:ascii="黑体" w:eastAsia="黑体" w:hAnsi="黑体"/>
          <w:sz w:val="20"/>
          <w:szCs w:val="20"/>
          <w:highlight w:val="none"/>
        </w:rPr>
        <w:t>仅为产品估值和核算方便而设，</w:t>
      </w:r>
      <w:r>
        <w:rPr>
          <w:rFonts w:ascii="黑体" w:eastAsia="黑体" w:hAnsi="黑体" w:hint="eastAsia"/>
          <w:color w:themeColor="text1" w:val="000000"/>
          <w:sz w:val="20"/>
          <w:szCs w:val="20"/>
          <w:highlight w:val="none"/>
          <w14:textFill>
            <w14:solidFill>
              <w14:schemeClr w14:val="tx1"/>
            </w14:solidFill>
          </w14:textFill>
        </w:rPr>
        <w:t>不代表对</w:t>
      </w:r>
      <w:r>
        <w:rPr>
          <w:rFonts w:ascii="黑体" w:eastAsia="黑体" w:hAnsi="黑体"/>
          <w:color w:themeColor="text1" w:val="000000"/>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8．理财产品</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/投资</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/收益</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指</w:t>
      </w:r>
      <w:r>
        <w:rPr>
          <w:rFonts w:ascii="黑体" w:eastAsia="黑体" w:hAnsi="黑体"/>
          <w:color w:themeColor="text1" w:val="000000"/>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9</w:t>
      </w:r>
      <w:r>
        <w:rPr>
          <w:rFonts w:ascii="黑体" w:eastAsia="黑体" w:hAnsi="黑体" w:hint="eastAsia"/>
          <w:color w:themeColor="text1" w:val="000000"/>
          <w:sz w:val="20"/>
          <w:szCs w:val="20"/>
          <w:highlight w:val="none"/>
          <w14:textFill>
            <w14:solidFill>
              <w14:schemeClr w14:val="tx1"/>
            </w14:solidFill>
          </w14:textFill>
        </w:rPr>
        <w:t>．合作销售机构/代销机构：指</w:t>
      </w:r>
      <w:r>
        <w:rPr>
          <w:rFonts w:ascii="黑体" w:eastAsia="黑体" w:hAnsi="黑体"/>
          <w:color w:themeColor="text1" w:val="000000"/>
          <w:sz w:val="20"/>
          <w:szCs w:val="20"/>
          <w:highlight w:val="none"/>
          <w14:textFill>
            <w14:solidFill>
              <w14:schemeClr w14:val="tx1"/>
            </w14:solidFill>
          </w14:textFill>
        </w:rPr>
        <w:t>接受</w:t>
      </w:r>
      <w:r>
        <w:rPr>
          <w:rFonts w:ascii="黑体" w:eastAsia="黑体" w:hAnsi="黑体" w:hint="eastAsia"/>
          <w:color w:themeColor="text1" w:val="000000"/>
          <w:sz w:val="20"/>
          <w:szCs w:val="20"/>
          <w:highlight w:val="none"/>
          <w14:textFill>
            <w14:solidFill>
              <w14:schemeClr w14:val="tx1"/>
            </w14:solidFill>
          </w14:textFill>
        </w:rPr>
        <w:t>信银</w:t>
      </w:r>
      <w:r>
        <w:rPr>
          <w:rFonts w:ascii="黑体" w:eastAsia="黑体" w:hAnsi="黑体"/>
          <w:color w:themeColor="text1" w:val="000000"/>
          <w:sz w:val="20"/>
          <w:szCs w:val="20"/>
          <w:highlight w:val="none"/>
          <w14:textFill>
            <w14:solidFill>
              <w14:schemeClr w14:val="tx1"/>
            </w14:solidFill>
          </w14:textFill>
        </w:rPr>
        <w:t>理财委托</w:t>
      </w: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其销售渠道</w:t>
      </w:r>
      <w:r>
        <w:rPr>
          <w:rFonts w:ascii="黑体" w:eastAsia="黑体" w:hAnsi="黑体" w:hint="eastAsia"/>
          <w:color w:themeColor="text1" w:val="000000"/>
          <w:sz w:val="20"/>
          <w:szCs w:val="20"/>
          <w:highlight w:val="none"/>
          <w14:textFill>
            <w14:solidFill>
              <w14:schemeClr w14:val="tx1"/>
            </w14:solidFill>
          </w14:textFill>
        </w:rPr>
        <w:t>代理</w:t>
      </w:r>
      <w:r>
        <w:rPr>
          <w:rFonts w:ascii="黑体" w:eastAsia="黑体" w:hAnsi="黑体"/>
          <w:color w:themeColor="text1" w:val="000000"/>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10</w:t>
      </w:r>
      <w:r>
        <w:rPr>
          <w:rFonts w:ascii="黑体" w:eastAsia="黑体" w:hAnsi="黑体" w:hint="eastAsia"/>
          <w:color w:themeColor="text1" w:val="000000"/>
          <w:sz w:val="20"/>
          <w:szCs w:val="20"/>
          <w:highlight w:val="none"/>
          <w14:textFill>
            <w14:solidFill>
              <w14:schemeClr w14:val="tx1"/>
            </w14:solidFill>
          </w14:textFill>
        </w:rPr>
        <w:t>．监管</w:t>
      </w:r>
      <w:r>
        <w:rPr>
          <w:rFonts w:ascii="黑体" w:eastAsia="黑体" w:hAnsi="黑体"/>
          <w:color w:themeColor="text1" w:val="000000"/>
          <w:sz w:val="20"/>
          <w:szCs w:val="20"/>
          <w:highlight w:val="none"/>
          <w14:textFill>
            <w14:solidFill>
              <w14:schemeClr w14:val="tx1"/>
            </w14:solidFill>
          </w14:textFill>
        </w:rPr>
        <w:t>机构：</w:t>
      </w:r>
      <w:r>
        <w:rPr>
          <w:rFonts w:ascii="黑体" w:eastAsia="黑体" w:hAnsi="黑体" w:hint="eastAsia"/>
          <w:color w:themeColor="text1" w:val="000000"/>
          <w:sz w:val="20"/>
          <w:szCs w:val="20"/>
          <w:highlight w:val="none"/>
          <w14:textFill>
            <w14:solidFill>
              <w14:schemeClr w14:val="tx1"/>
            </w14:solidFill>
          </w14:textFill>
        </w:rPr>
        <w:t>指对管理人（包括理财产品管理人、理财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所投资的资管产品的管理人</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11</w:t>
      </w:r>
      <w:r>
        <w:rPr>
          <w:rFonts w:ascii="黑体" w:eastAsia="黑体" w:hAnsi="黑体" w:hint="eastAsia"/>
          <w:color w:themeColor="text1" w:val="000000"/>
          <w:sz w:val="20"/>
          <w:szCs w:val="20"/>
          <w:highlight w:val="none"/>
          <w14:textFill>
            <w14:solidFill>
              <w14:schemeClr w14:val="tx1"/>
            </w14:solidFill>
          </w14:textFill>
        </w:rPr>
        <w:t>．适用</w:t>
      </w:r>
      <w:r>
        <w:rPr>
          <w:rFonts w:ascii="黑体" w:eastAsia="黑体" w:hAnsi="黑体"/>
          <w:color w:themeColor="text1" w:val="000000"/>
          <w:sz w:val="20"/>
          <w:szCs w:val="20"/>
          <w:highlight w:val="none"/>
          <w14:textFill>
            <w14:solidFill>
              <w14:schemeClr w14:val="tx1"/>
            </w14:solidFill>
          </w14:textFill>
        </w:rPr>
        <w:t>法律：</w:t>
      </w:r>
      <w:r>
        <w:rPr>
          <w:rFonts w:ascii="黑体" w:eastAsia="黑体" w:hAnsi="黑体" w:hint="eastAsia"/>
          <w:color w:themeColor="text1" w:val="000000"/>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12</w:t>
      </w:r>
      <w:r>
        <w:rPr>
          <w:rFonts w:ascii="黑体" w:eastAsia="黑体" w:hAnsi="黑体" w:hint="eastAsia"/>
          <w:color w:themeColor="text1" w:val="000000"/>
          <w:sz w:val="20"/>
          <w:szCs w:val="20"/>
          <w:highlight w:val="none"/>
          <w14:textFill>
            <w14:solidFill>
              <w14:schemeClr w14:val="tx1"/>
            </w14:solidFill>
          </w14:textFill>
        </w:rPr>
        <w:t>．不可抗力：指理财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1</w:t>
      </w:r>
      <w:r>
        <w:rPr>
          <w:rFonts w:ascii="黑体" w:eastAsia="黑体" w:hAnsi="黑体" w:hint="eastAsia"/>
          <w:color w:themeColor="text1" w:val="000000"/>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2</w:t>
      </w:r>
      <w:r>
        <w:rPr>
          <w:rFonts w:ascii="黑体" w:eastAsia="黑体" w:hAnsi="黑体" w:hint="eastAsia"/>
          <w:color w:themeColor="text1" w:val="000000"/>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3</w:t>
      </w:r>
      <w:r>
        <w:rPr>
          <w:rFonts w:ascii="黑体" w:eastAsia="黑体" w:hAnsi="黑体" w:hint="eastAsia"/>
          <w:color w:themeColor="text1" w:val="000000"/>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4</w:t>
      </w:r>
      <w:r>
        <w:rPr>
          <w:rFonts w:ascii="黑体" w:eastAsia="黑体" w:hAnsi="黑体" w:hint="eastAsia"/>
          <w:color w:themeColor="text1" w:val="000000"/>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5</w:t>
      </w:r>
      <w:r>
        <w:rPr>
          <w:rFonts w:ascii="黑体" w:eastAsia="黑体" w:hAnsi="黑体" w:hint="eastAsia"/>
          <w:color w:themeColor="text1" w:val="000000"/>
          <w:sz w:val="20"/>
          <w:szCs w:val="20"/>
          <w:highlight w:val="none"/>
          <w14:textFill>
            <w14:solidFill>
              <w14:schemeClr w14:val="tx1"/>
            </w14:solidFill>
          </w14:textFill>
        </w:rPr>
        <w:t>）因理财产品各方和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14．信银理财电子渠道：指信银理财官方网站（</w:t>
      </w:r>
      <w:r>
        <w:rPr>
          <w:rStyle w:val="12"/>
          <w:rFonts w:ascii="黑体" w:eastAsia="黑体" w:hAnsi="黑体"/>
          <w:sz w:val="20"/>
          <w:szCs w:val="20"/>
          <w:highlight w:val="none"/>
        </w:rPr>
        <w:fldChar w:fldCharType="begin"/>
      </w:r>
      <w:r>
        <w:rPr>
          <w:rStyle w:val="12"/>
          <w:rFonts w:ascii="黑体" w:eastAsia="黑体" w:hAnsi="黑体"/>
          <w:sz w:val="20"/>
          <w:szCs w:val="20"/>
          <w:highlight w:val="none"/>
        </w:rPr>
        <w:instrText xml:space="preserve"> HYPERLINK "http://www.citic-wealth.com" </w:instrText>
      </w:r>
      <w:r>
        <w:rPr>
          <w:rStyle w:val="12"/>
          <w:rFonts w:ascii="黑体" w:eastAsia="黑体" w:hAnsi="黑体"/>
          <w:sz w:val="20"/>
          <w:szCs w:val="20"/>
          <w:highlight w:val="none"/>
        </w:rPr>
        <w:fldChar w:fldCharType="separate"/>
      </w:r>
      <w:r>
        <w:rPr>
          <w:rStyle w:val="12"/>
          <w:rFonts w:ascii="黑体" w:eastAsia="黑体" w:hAnsi="黑体"/>
          <w:sz w:val="20"/>
          <w:szCs w:val="20"/>
          <w:highlight w:val="none"/>
        </w:rPr>
        <w:t>http://www.citic-wealth.com</w:t>
      </w:r>
      <w:r>
        <w:rPr>
          <w:rStyle w:val="12"/>
          <w:rFonts w:ascii="黑体" w:eastAsia="黑体" w:hAnsi="黑体"/>
          <w:sz w:val="20"/>
          <w:szCs w:val="20"/>
          <w:highlight w:val="none"/>
        </w:rPr>
        <w:fldChar w:fldCharType="end"/>
      </w: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16．销售机构：指信银理财及代销机构</w:t>
      </w:r>
      <w:r>
        <w:rPr>
          <w:rFonts w:ascii="黑体" w:eastAsia="黑体" w:hAnsi="黑体" w:hint="eastAsia"/>
          <w:color w:themeColor="text1" w:val="000000"/>
          <w:sz w:val="20"/>
          <w:szCs w:val="20"/>
          <w:highlight w:val="none"/>
          <w:lang w:eastAsia="zh-CN"/>
          <w14:textFill>
            <w14:solidFill>
              <w14:schemeClr w14:val="tx1"/>
            </w14:solidFill>
          </w14:textFill>
        </w:rPr>
        <w:t>，</w:t>
      </w:r>
      <w:r>
        <w:rPr>
          <w:rFonts w:ascii="黑体" w:eastAsia="黑体" w:hAnsi="黑体" w:hint="eastAsia"/>
          <w:color w:themeColor="text1" w:val="000000"/>
          <w:sz w:val="20"/>
          <w:szCs w:val="20"/>
          <w:highlight w:val="none"/>
          <w:lang w:eastAsia="zh-CN" w:val="en-US"/>
          <w14:textFill>
            <w14:solidFill>
              <w14:schemeClr w14:val="tx1"/>
            </w14:solidFill>
          </w14:textFill>
        </w:rPr>
        <w:t>具体</w:t>
      </w:r>
      <w:r>
        <w:rPr>
          <w:rFonts w:ascii="黑体" w:eastAsia="黑体" w:hAnsi="黑体" w:hint="eastAsia"/>
          <w:b w:val="0"/>
          <w:color w:themeColor="text1" w:val="000000"/>
          <w:sz w:val="20"/>
          <w:szCs w:val="20"/>
          <w:highlight w:val="none"/>
          <w:lang w:eastAsia="zh-CN" w:val="en-US"/>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firstLine="400" w:firstLineChars="200" w:right="36"/>
        <w:jc w:val="left"/>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lang w:eastAsia="zh-CN" w:val="en-US"/>
          <w14:textFill>
            <w14:solidFill>
              <w14:schemeClr w14:val="tx1"/>
            </w14:solidFill>
          </w14:textFill>
        </w:rPr>
        <w:t>19</w:t>
      </w:r>
      <w:r>
        <w:rPr>
          <w:rFonts w:ascii="黑体" w:eastAsia="黑体" w:hAnsi="黑体"/>
          <w:color w:themeColor="text1" w:val="000000"/>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eastAsia="黑体" w:hAnsi="黑体"/>
          <w:color w:themeColor="text1" w:val="000000"/>
          <w:sz w:val="20"/>
          <w:szCs w:val="20"/>
          <w:highlight w:val="none"/>
          <w14:textFill>
            <w14:solidFill>
              <w14:schemeClr w14:val="tx1"/>
            </w14:solidFill>
          </w14:textFill>
        </w:rPr>
        <w:br w:type="textWrapping"/>
      </w:r>
      <w:r>
        <w:rPr>
          <w:rFonts w:ascii="黑体" w:eastAsia="黑体" w:hAnsi="黑体"/>
          <w:color w:themeColor="text1" w:val="000000"/>
          <w:sz w:val="20"/>
          <w:szCs w:val="20"/>
          <w:highlight w:val="none"/>
          <w14:textFill>
            <w14:solidFill>
              <w14:schemeClr w14:val="tx1"/>
            </w14:solidFill>
          </w14:textFill>
        </w:rPr>
        <w:t xml:space="preserve">    2</w:t>
      </w:r>
      <w:r>
        <w:rPr>
          <w:rFonts w:ascii="黑体" w:eastAsia="黑体" w:hAnsi="黑体" w:hint="eastAsia"/>
          <w:color w:themeColor="text1" w:val="000000"/>
          <w:sz w:val="20"/>
          <w:szCs w:val="20"/>
          <w:highlight w:val="none"/>
          <w:lang w:eastAsia="zh-CN" w:val="en-US"/>
          <w14:textFill>
            <w14:solidFill>
              <w14:schemeClr w14:val="tx1"/>
            </w14:solidFill>
          </w14:textFill>
        </w:rPr>
        <w:t>0</w:t>
      </w:r>
      <w:r>
        <w:rPr>
          <w:rFonts w:ascii="黑体" w:eastAsia="黑体" w:hAnsi="黑体"/>
          <w:color w:themeColor="text1" w:val="000000"/>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b/>
          <w:bCs/>
          <w:color w:themeColor="text1" w:val="000000"/>
          <w:sz w:val="20"/>
          <w:szCs w:val="20"/>
          <w:highlight w:val="none"/>
          <w14:textFill>
            <w14:solidFill>
              <w14:schemeClr w14:val="tx1"/>
            </w14:solidFill>
          </w14:textFill>
        </w:rPr>
        <w:t> </w:t>
      </w:r>
      <w:r>
        <w:rPr>
          <w:rFonts w:ascii="黑体" w:cs="黑体" w:eastAsia="黑体" w:hAnsi="Times New Roman" w:hint="eastAsia"/>
          <w:b/>
          <w:bCs/>
          <w:color w:themeColor="text1" w:val="000000"/>
          <w:sz w:val="20"/>
          <w:szCs w:val="20"/>
          <w:highlight w:val="none"/>
          <w14:textFill>
            <w14:solidFill>
              <w14:schemeClr w14:val="tx1"/>
            </w14:solidFill>
          </w14:textFill>
        </w:rPr>
        <w:t>理财产品风险评级及</w:t>
      </w:r>
      <w:r>
        <w:rPr>
          <w:rFonts w:ascii="黑体" w:cs="黑体" w:eastAsia="黑体" w:hAnsi="Times New Roman"/>
          <w:b/>
          <w:bCs/>
          <w:color w:themeColor="text1" w:val="000000"/>
          <w:sz w:val="20"/>
          <w:szCs w:val="20"/>
          <w:highlight w:val="none"/>
          <w14:textFill>
            <w14:solidFill>
              <w14:schemeClr w14:val="tx1"/>
            </w14:solidFill>
          </w14:textFill>
        </w:rPr>
        <w:t>与投资者</w:t>
      </w:r>
      <w:r>
        <w:rPr>
          <w:rFonts w:ascii="黑体" w:cs="黑体" w:eastAsia="黑体" w:hAnsi="Times New Roman" w:hint="eastAsia"/>
          <w:b/>
          <w:bCs/>
          <w:color w:themeColor="text1" w:val="000000"/>
          <w:sz w:val="20"/>
          <w:szCs w:val="20"/>
          <w:highlight w:val="none"/>
          <w14:textFill>
            <w14:solidFill>
              <w14:schemeClr w14:val="tx1"/>
            </w14:solidFill>
          </w14:textFill>
        </w:rPr>
        <w:t>类型</w:t>
      </w:r>
      <w:r>
        <w:rPr>
          <w:rFonts w:ascii="黑体" w:cs="黑体" w:eastAsia="黑体" w:hAnsi="Times New Roman"/>
          <w:b/>
          <w:bCs/>
          <w:color w:themeColor="text1" w:val="000000"/>
          <w:sz w:val="20"/>
          <w:szCs w:val="20"/>
          <w:highlight w:val="none"/>
          <w14:textFill>
            <w14:solidFill>
              <w14:schemeClr w14:val="tx1"/>
            </w14:solidFill>
          </w14:textFill>
        </w:rPr>
        <w:t>对应关系</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highlight w:val="none"/>
              </w:rPr>
              <w:t>产品</w:t>
            </w:r>
            <w:r>
              <w:rPr>
                <w:rFonts w:ascii="楷体" w:cs="楷体" w:eastAsia="楷体" w:hAnsi="楷体"/>
                <w:b/>
                <w:color w:val="000000"/>
                <w:highlight w:val="none"/>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highlight w:val="none"/>
              </w:rPr>
            </w:pPr>
            <w:r>
              <w:rPr>
                <w:rFonts w:ascii="楷体" w:cs="楷体" w:eastAsia="楷体" w:hAnsi="楷体"/>
                <w:b/>
                <w:color w:val="000000"/>
                <w:highlight w:val="none"/>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kern w:val="2"/>
                <w:highlight w:val="none"/>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激进型</w:t>
            </w:r>
          </w:p>
        </w:tc>
      </w:tr>
    </w:tbl>
    <w:p w14:paraId="590B0D59">
      <w:pPr>
        <w:snapToGrid w:val="0"/>
        <w:ind w:firstLine="0" w:left="-2" w:leftChars="-1" w:right="53" w:rightChars="22"/>
        <w:outlineLvl w:val="9"/>
        <w:rPr>
          <w:rFonts w:ascii="黑体" w:cs="黑体" w:eastAsia="黑体" w:hAnsi="Times New Roman" w:hint="eastAsia"/>
          <w:b/>
          <w:bCs/>
          <w:color w:val="auto"/>
          <w:sz w:val="20"/>
          <w:szCs w:val="20"/>
          <w:highlight w:val="none"/>
          <w:lang w:eastAsia="zh-CN" w:val="en-US"/>
        </w:rPr>
      </w:pPr>
      <w:r>
        <w:rPr>
          <w:rFonts w:ascii="黑体" w:cs="黑体" w:eastAsia="黑体" w:hAnsi="Times New Roman" w:hint="eastAsia"/>
          <w:b/>
          <w:bCs/>
          <w:color w:val="auto"/>
          <w:sz w:val="20"/>
          <w:szCs w:val="20"/>
          <w:highlight w:val="none"/>
          <w:lang w:eastAsia="zh-CN" w:val="en-US"/>
        </w:rPr>
        <w:t>投资者通过本产品合作销售机构办理的，以合作销售机构的投资者风险测评结果、产品风险评级以及二者的对应关系为准。</w:t>
      </w:r>
    </w:p>
    <w:p w14:paraId="4643FD06">
      <w:pPr>
        <w:snapToGrid w:val="0"/>
        <w:ind w:hanging="435" w:left="433" w:right="53" w:rightChars="22"/>
        <w:outlineLvl w:val="0"/>
        <w:rPr>
          <w:rFonts w:ascii="黑体" w:cs="黑体" w:eastAsia="黑体" w:hAnsi="Times New Roman" w:hint="default"/>
          <w:color w:themeColor="text1" w:val="000000"/>
          <w:sz w:val="20"/>
          <w:szCs w:val="20"/>
          <w:highlight w:val="none"/>
          <w:lang w:eastAsia="zh-CN" w:val="en-US"/>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一、</w:t>
      </w:r>
      <w:r>
        <w:rPr>
          <w:rFonts w:ascii="Times New Roman" w:eastAsia="黑体" w:hAnsi="Times New Roman"/>
          <w:color w:themeColor="text1" w:val="000000"/>
          <w:sz w:val="14"/>
          <w:szCs w:val="14"/>
          <w:highlight w:val="none"/>
          <w14:textFill>
            <w14:solidFill>
              <w14:schemeClr w14:val="tx1"/>
            </w14:solidFill>
          </w14:textFill>
        </w:rPr>
        <w:t xml:space="preserve"> </w:t>
      </w:r>
      <w:r>
        <w:rPr>
          <w:rFonts w:ascii="黑体" w:cs="黑体" w:eastAsia="黑体" w:hAnsi="Times New Roman" w:hint="eastAsia"/>
          <w:color w:themeColor="text1" w:val="000000"/>
          <w:sz w:val="20"/>
          <w:szCs w:val="20"/>
          <w:highlight w:val="none"/>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r>
        <w:rPr>
          <w:rFonts w:ascii="楷体_GB2312" w:eastAsia="楷体_GB2312"/>
          <w:color w:themeColor="text1" w:val="000000"/>
          <w:sz w:val="20"/>
          <w:szCs w:val="20"/>
          <w:highlight w:val="none"/>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3</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各</w:t>
      </w:r>
      <w:r>
        <w:rPr>
          <w:rFonts w:ascii="Times New Roman" w:eastAsia="楷体_GB2312" w:hAnsi="Times New Roman"/>
          <w:color w:themeColor="text1" w:val="000000"/>
          <w:sz w:val="20"/>
          <w:szCs w:val="20"/>
          <w:highlight w:val="none"/>
          <w14:textFill>
            <w14:solidFill>
              <w14:schemeClr w14:val="tx1"/>
            </w14:solidFill>
          </w14:textFill>
        </w:rPr>
        <w:t>投资对象投资比例为：</w:t>
      </w:r>
    </w:p>
    <w:tbl>
      <w:tblPr>
        <w:tblStyle w:val="9"/>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【80%-100%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其中</w:t>
            </w:r>
            <w:r>
              <w:rPr>
                <w:rFonts w:ascii="楷体" w:eastAsia="楷体" w:hAnsi="楷体"/>
                <w:color w:themeColor="text1" w:val="000000"/>
                <w:sz w:val="20"/>
                <w:szCs w:val="20"/>
                <w:highlight w:val="none"/>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【0%-49%</w:t>
            </w:r>
            <w:r>
              <w:rPr>
                <w:rFonts w:ascii="楷体" w:eastAsia="楷体" w:hAnsi="楷体"/>
                <w:color w:themeColor="text1" w:val="000000"/>
                <w:sz w:val="20"/>
                <w:szCs w:val="20"/>
                <w:highlight w:val="none"/>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本产品可通过信托、证券</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基金</w:t>
      </w:r>
      <w:r>
        <w:rPr>
          <w:rFonts w:ascii="Times New Roman" w:cs="楷体_GB2312" w:eastAsia="楷体_GB2312" w:hAnsi="Times New Roman"/>
          <w:color w:themeColor="text1" w:val="000000"/>
          <w:sz w:val="20"/>
          <w:szCs w:val="20"/>
          <w:highlight w:val="none"/>
          <w14:textFill>
            <w14:solidFill>
              <w14:schemeClr w14:val="tx1"/>
            </w14:solidFill>
          </w14:textFill>
        </w:rPr>
        <w:t>、期货</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以及其他符合国家相关政策、法律法规的投资渠道和方式实现对上述投资品种的投资，且可以由资产</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名义</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highlight w:val="none"/>
          <w14:textFill>
            <w14:solidFill>
              <w14:schemeClr w14:val="tx1"/>
            </w14:solidFill>
          </w14:textFill>
        </w:rPr>
        <w:t>交易日内调整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至符合</w:t>
      </w:r>
      <w:r>
        <w:rPr>
          <w:rFonts w:ascii="Times New Roman" w:cs="楷体_GB2312" w:eastAsia="楷体_GB2312" w:hAnsi="Times New Roman"/>
          <w:color w:themeColor="text1" w:val="000000"/>
          <w:sz w:val="20"/>
          <w:szCs w:val="20"/>
          <w:highlight w:val="none"/>
          <w14:textFill>
            <w14:solidFill>
              <w14:schemeClr w14:val="tx1"/>
            </w14:solidFill>
          </w14:textFill>
        </w:rPr>
        <w:t>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highlight w:val="none"/>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说明书约定提前</w:t>
      </w:r>
      <w:r>
        <w:rPr>
          <w:rFonts w:ascii="楷体_GB2312" w:cs="楷体_GB2312" w:eastAsia="楷体_GB2312" w:hint="eastAsia"/>
          <w:color w:themeColor="text1" w:val="000000"/>
          <w:sz w:val="20"/>
          <w:szCs w:val="20"/>
          <w:highlight w:val="none"/>
          <w14:textFill>
            <w14:solidFill>
              <w14:schemeClr w14:val="tx1"/>
            </w14:solidFill>
          </w14:textFill>
        </w:rPr>
        <w:t>通知</w:t>
      </w:r>
      <w:r>
        <w:rPr>
          <w:rFonts w:ascii="楷体_GB2312" w:cs="楷体_GB2312" w:eastAsia="楷体_GB2312"/>
          <w:color w:themeColor="text1" w:val="000000"/>
          <w:sz w:val="20"/>
          <w:szCs w:val="20"/>
          <w:highlight w:val="none"/>
          <w14:textFill>
            <w14:solidFill>
              <w14:schemeClr w14:val="tx1"/>
            </w14:solidFill>
          </w14:textFill>
        </w:rPr>
        <w:t>投资者的情况下，对本</w:t>
      </w:r>
      <w:r>
        <w:rPr>
          <w:rFonts w:ascii="楷体_GB2312" w:cs="楷体_GB2312" w:eastAsia="楷体_GB2312" w:hint="eastAsia"/>
          <w:color w:themeColor="text1" w:val="000000"/>
          <w:sz w:val="20"/>
          <w:szCs w:val="20"/>
          <w:highlight w:val="none"/>
          <w14:textFill>
            <w14:solidFill>
              <w14:schemeClr w14:val="tx1"/>
            </w14:solidFill>
          </w14:textFill>
        </w:rPr>
        <w:t>产品</w:t>
      </w:r>
      <w:r>
        <w:rPr>
          <w:rFonts w:ascii="楷体_GB2312" w:cs="楷体_GB2312" w:eastAsia="楷体_GB2312"/>
          <w:color w:themeColor="text1" w:val="000000"/>
          <w:sz w:val="20"/>
          <w:szCs w:val="20"/>
          <w:highlight w:val="none"/>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投资范围、投资品种或投资比例进行</w:t>
      </w:r>
      <w:r>
        <w:rPr>
          <w:rFonts w:ascii="楷体_GB2312" w:cs="楷体_GB2312" w:eastAsia="楷体_GB2312"/>
          <w:color w:themeColor="text1" w:val="000000"/>
          <w:sz w:val="20"/>
          <w:szCs w:val="20"/>
          <w:highlight w:val="none"/>
          <w14:textFill>
            <w14:solidFill>
              <w14:schemeClr w14:val="tx1"/>
            </w14:solidFill>
          </w14:textFill>
        </w:rPr>
        <w:t>调</w:t>
      </w:r>
      <w:r>
        <w:rPr>
          <w:rFonts w:ascii="楷体_GB2312" w:cs="楷体_GB2312" w:eastAsia="楷体_GB2312"/>
          <w:sz w:val="20"/>
          <w:szCs w:val="20"/>
          <w:highlight w:val="none"/>
        </w:rPr>
        <w:t>整</w:t>
      </w:r>
      <w:r>
        <w:rPr>
          <w:rFonts w:ascii="楷体_GB2312" w:cs="楷体_GB2312" w:eastAsia="楷体_GB2312" w:hint="eastAsia"/>
          <w:sz w:val="20"/>
          <w:szCs w:val="20"/>
          <w:highlight w:val="none"/>
        </w:rPr>
        <w:t>。投资者</w:t>
      </w:r>
      <w:r>
        <w:rPr>
          <w:rFonts w:ascii="楷体_GB2312" w:cs="楷体_GB2312" w:eastAsia="楷体_GB2312"/>
          <w:sz w:val="20"/>
          <w:szCs w:val="20"/>
          <w:highlight w:val="none"/>
        </w:rPr>
        <w:t>不接受的，可</w:t>
      </w:r>
      <w:r>
        <w:rPr>
          <w:rFonts w:ascii="楷体_GB2312" w:cs="楷体_GB2312" w:eastAsia="楷体_GB2312" w:hint="eastAsia"/>
          <w:sz w:val="20"/>
          <w:szCs w:val="20"/>
          <w:highlight w:val="none"/>
        </w:rPr>
        <w:t>提前</w:t>
      </w:r>
      <w:r>
        <w:rPr>
          <w:rFonts w:ascii="楷体_GB2312" w:cs="楷体_GB2312" w:eastAsia="楷体_GB2312"/>
          <w:sz w:val="20"/>
          <w:szCs w:val="20"/>
          <w:highlight w:val="none"/>
        </w:rPr>
        <w:t>赎回理财产品，</w:t>
      </w:r>
      <w:r>
        <w:rPr>
          <w:rFonts w:ascii="楷体_GB2312" w:cs="楷体_GB2312" w:eastAsia="楷体_GB2312" w:hint="eastAsia"/>
          <w:sz w:val="20"/>
          <w:szCs w:val="20"/>
          <w:highlight w:val="none"/>
        </w:rPr>
        <w:t>信银理财有权根据情况设立临时的赎回开放日</w:t>
      </w:r>
      <w:r>
        <w:rPr>
          <w:rFonts w:ascii="楷体_GB2312" w:cs="楷体_GB2312" w:eastAsia="楷体_GB2312"/>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除</w:t>
      </w:r>
      <w:r>
        <w:rPr>
          <w:rFonts w:ascii="楷体_GB2312" w:cs="楷体_GB2312" w:eastAsia="楷体_GB2312"/>
          <w:color w:themeColor="text1" w:val="000000"/>
          <w:sz w:val="20"/>
          <w:szCs w:val="20"/>
          <w:highlight w:val="none"/>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highlight w:val="none"/>
          <w14:textFill>
            <w14:solidFill>
              <w14:schemeClr w14:val="tx1"/>
            </w14:solidFill>
          </w14:textFill>
        </w:rPr>
        <w:t>产品管理人应按</w:t>
      </w:r>
      <w:r>
        <w:rPr>
          <w:rFonts w:ascii="楷体_GB2312" w:cs="楷体_GB2312" w:eastAsia="楷体_GB2312"/>
          <w:color w:themeColor="text1" w:val="000000"/>
          <w:sz w:val="20"/>
          <w:szCs w:val="20"/>
          <w:highlight w:val="none"/>
          <w14:textFill>
            <w14:solidFill>
              <w14:schemeClr w14:val="tx1"/>
            </w14:solidFill>
          </w14:textFill>
        </w:rPr>
        <w:t>监管要求</w:t>
      </w:r>
      <w:r>
        <w:rPr>
          <w:rFonts w:ascii="楷体_GB2312" w:cs="楷体_GB2312" w:eastAsia="楷体_GB2312" w:hint="eastAsia"/>
          <w:color w:themeColor="text1" w:val="000000"/>
          <w:sz w:val="20"/>
          <w:szCs w:val="20"/>
          <w:highlight w:val="none"/>
          <w14:textFill>
            <w14:solidFill>
              <w14:schemeClr w14:val="tx1"/>
            </w14:solidFill>
          </w14:textFill>
        </w:rPr>
        <w:t>提前</w:t>
      </w:r>
      <w:r>
        <w:rPr>
          <w:rFonts w:ascii="楷体_GB2312" w:cs="楷体_GB2312" w:eastAsia="楷体_GB2312"/>
          <w:color w:themeColor="text1" w:val="000000"/>
          <w:sz w:val="20"/>
          <w:szCs w:val="20"/>
          <w:highlight w:val="none"/>
          <w14:textFill>
            <w14:solidFill>
              <w14:schemeClr w14:val="tx1"/>
            </w14:solidFill>
          </w14:textFill>
        </w:rPr>
        <w:t>取得投资者书面同意</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4</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w:t>
      </w:r>
      <w:r>
        <w:rPr>
          <w:rFonts w:ascii="Times New Roman" w:cs="楷体_GB2312" w:eastAsia="楷体_GB2312" w:hAnsi="Times New Roman"/>
          <w:color w:themeColor="text1" w:val="000000"/>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color w:themeColor="text1" w:val="000000"/>
          <w:sz w:val="20"/>
          <w:szCs w:val="20"/>
          <w:highlight w:val="none"/>
          <w14:textFill>
            <w14:solidFill>
              <w14:schemeClr w14:val="tx1"/>
            </w14:solidFill>
          </w14:textFill>
        </w:rPr>
        <w:t>（2）</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（3</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b/>
          <w:bCs/>
          <w:color w:themeColor="text1" w:val="000000"/>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highlight w:val="none"/>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highlight w:val="none"/>
          <w:u w:val="singl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5</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6</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themeColor="text1" w:val="000000"/>
          <w:highlight w:val="none"/>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二、产品基本要素</w:t>
      </w: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【信银理财安盈象固收稳利封闭式1118号理财产品</w:t>
            </w:r>
            <w:r>
              <w:rPr>
                <w:rFonts w:ascii="楷体_GB2312" w:cs="楷体_GB2312" w:eastAsia="楷体_GB2312" w:hint="eastAsia"/>
                <w:color w:val="000000"/>
                <w:sz w:val="20"/>
                <w:szCs w:val="20"/>
                <w:highlight w:val="none"/>
              </w:rPr>
              <w:t/>
            </w:r>
            <w:r>
              <w:rPr>
                <w:rFonts w:ascii="楷体_GB2312" w:cs="楷体_GB2312" w:eastAsia="楷体_GB2312"/>
                <w:color w:val="000000"/>
                <w:sz w:val="20"/>
                <w:szCs w:val="20"/>
                <w:highlight w:val="none"/>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【Z7002626001712</w:t>
            </w:r>
            <w:r>
              <w:rPr>
                <w:rFonts w:ascii="楷体_GB2312" w:eastAsia="楷体_GB2312"/>
                <w:color w:themeColor="text1" w:val="000000"/>
                <w:sz w:val="20"/>
                <w:szCs w:val="20"/>
                <w:highlight w:val="none"/>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【AF265799</w:t>
            </w:r>
            <w:r>
              <w:rPr>
                <w:rFonts w:ascii="楷体_GB2312" w:cs="楷体_GB2312" w:eastAsia="楷体_GB2312"/>
                <w:color w:themeColor="text1" w:val="000000"/>
                <w:sz w:val="20"/>
                <w:szCs w:val="20"/>
                <w:highlight w:val="none"/>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产品类型</w:t>
            </w:r>
          </w:p>
        </w:tc>
        <w:tc>
          <w:tcPr>
            <w:tcW w:type="pct" w:w="3709"/>
            <w:vAlign w:val="center"/>
          </w:tcPr>
          <w:p w14:paraId="33D6B887">
            <w:pPr>
              <w:spacing w:line="300" w:lineRule="exact"/>
              <w:ind w:left="-2" w:leftChars="-1" w:right="36" w:rightChars="15"/>
              <w:rPr>
                <w:highlight w:val="none"/>
              </w:rPr>
            </w:pPr>
            <w:r>
              <w:rPr>
                <w:rFonts w:ascii="楷体_GB2312" w:cs="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cs="楷体_GB2312" w:eastAsia="楷体_GB2312"/>
                <w:color w:themeColor="text1" w:val="000000"/>
                <w:sz w:val="20"/>
                <w:szCs w:val="20"/>
                <w:highlight w:val="none"/>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highlight w:val="none"/>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2</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val="000000"/>
                <w:sz w:val="20"/>
                <w:szCs w:val="20"/>
                <w:highlight w:val="none"/>
              </w:rPr>
              <w:t>。本风险分级为信银理财自行评定，仅供参考。</w:t>
            </w:r>
          </w:p>
          <w:p w14:paraId="5142B071">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b w:val="0"/>
                <w:bCs w:val="0"/>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理财资金分配</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指</w:t>
            </w:r>
            <w:r>
              <w:rPr>
                <w:rFonts w:ascii="楷体_GB2312" w:cs="楷体_GB2312" w:eastAsia="楷体_GB2312"/>
                <w:color w:themeColor="text1" w:val="000000"/>
                <w:sz w:val="20"/>
                <w:szCs w:val="20"/>
                <w:highlight w:val="none"/>
                <w14:textFill>
                  <w14:solidFill>
                    <w14:schemeClr w14:val="tx1"/>
                  </w14:solidFill>
                </w14:textFill>
              </w:rPr>
              <w:t>管理人依据理财产品</w:t>
            </w:r>
            <w:r>
              <w:rPr>
                <w:rFonts w:ascii="楷体_GB2312" w:cs="楷体_GB2312" w:eastAsia="楷体_GB2312" w:hint="eastAsia"/>
                <w:color w:themeColor="text1" w:val="000000"/>
                <w:sz w:val="20"/>
                <w:szCs w:val="20"/>
                <w:highlight w:val="none"/>
                <w14:textFill>
                  <w14:solidFill>
                    <w14:schemeClr w14:val="tx1"/>
                  </w14:solidFill>
                </w14:textFill>
              </w:rPr>
              <w:t>合同</w:t>
            </w:r>
            <w:r>
              <w:rPr>
                <w:rFonts w:ascii="楷体_GB2312" w:cs="楷体_GB2312" w:eastAsia="楷体_GB2312"/>
                <w:color w:themeColor="text1" w:val="000000"/>
                <w:sz w:val="20"/>
                <w:szCs w:val="20"/>
                <w:highlight w:val="none"/>
                <w14:textFill>
                  <w14:solidFill>
                    <w14:schemeClr w14:val="tx1"/>
                  </w14:solidFill>
                </w14:textFill>
              </w:rPr>
              <w:t>向投资者发行的</w:t>
            </w:r>
            <w:r>
              <w:rPr>
                <w:rFonts w:ascii="楷体_GB2312" w:cs="楷体_GB2312" w:eastAsia="楷体_GB2312" w:hint="eastAsia"/>
                <w:color w:themeColor="text1" w:val="000000"/>
                <w:sz w:val="20"/>
                <w:szCs w:val="20"/>
                <w:highlight w:val="none"/>
                <w14:textFill>
                  <w14:solidFill>
                    <w14:schemeClr w14:val="tx1"/>
                  </w14:solidFill>
                </w14:textFill>
              </w:rPr>
              <w:t>理财产品</w:t>
            </w:r>
            <w:r>
              <w:rPr>
                <w:rFonts w:ascii="楷体_GB2312" w:cs="楷体_GB2312" w:eastAsia="楷体_GB2312"/>
                <w:color w:themeColor="text1" w:val="000000"/>
                <w:sz w:val="20"/>
                <w:szCs w:val="20"/>
                <w:highlight w:val="none"/>
                <w14:textFill>
                  <w14:solidFill>
                    <w14:schemeClr w14:val="tx1"/>
                  </w14:solidFill>
                </w14:textFill>
              </w:rPr>
              <w:t>受益凭证。理财产品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产品份额面值为</w:t>
            </w:r>
            <w:r>
              <w:rPr>
                <w:rFonts w:ascii="楷体_GB2312" w:cs="楷体_GB2312" w:eastAsia="楷体_GB2312" w:hint="eastAsia"/>
                <w:color w:themeColor="text1" w:val="000000"/>
                <w:sz w:val="20"/>
                <w:szCs w:val="20"/>
                <w:highlight w:val="none"/>
                <w14:textFill>
                  <w14:solidFill>
                    <w14:schemeClr w14:val="tx1"/>
                  </w14:solidFill>
                </w14:textFill>
              </w:rPr>
              <w:t>【人民币</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【A】类份额：份额代码【AF265799A】</w:t>
              <w:br/>
              <w:t>【B】类份额：份额代码【AF265799B】</w:t>
              <w:br/>
              <w:t>【C】类份额：份额代码【AF265799C】</w:t>
              <w:br/>
              <w:t>【D】类份额：份额代码【AF265799D】</w:t>
              <w:br/>
              <w:t>【G】类份额：份额代码【AF265799G】</w:t>
              <w:br/>
              <w:t>【M】类份额：份额代码【AF265799M】</w:t>
              <w:br/>
              <w:t>【N】类份额：份额代码【AF265799N】</w:t>
              <w:br/>
              <w:t>【P】类份额：份额代码【AF265799P】</w:t>
              <w:br/>
              <w:t>【S】类份额：份额代码【AF265799S】</w:t>
            </w:r>
            <w:r>
              <w:rPr>
                <w:rFonts w:ascii="楷体_GB2312" w:cs="楷体_GB2312" w:eastAsia="楷体_GB2312"/>
                <w:sz w:val="20"/>
                <w:szCs w:val="20"/>
                <w:highlight w:val="none"/>
              </w:rPr>
              <w:t/>
            </w:r>
          </w:p>
          <w:p w14:paraId="585FCACA">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募集期</w:t>
            </w:r>
          </w:p>
        </w:tc>
        <w:tc>
          <w:tcPr>
            <w:tcW w:type="pct" w:w="3709"/>
            <w:vAlign w:val="center"/>
          </w:tcPr>
          <w:p w14:paraId="33B6B195">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【2026】年【8】月【18】日至【2026】年【8】月【24】日</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w:t>
            </w:r>
            <w:r>
              <w:rPr>
                <w:rFonts w:ascii="Times New Roman" w:cs="Times New Roman" w:eastAsia="楷体_GB2312" w:hAnsi="Times New Roman"/>
                <w:color w:themeColor="text1" w:val="000000"/>
                <w:sz w:val="20"/>
                <w:szCs w:val="20"/>
                <w:highlight w:val="none"/>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产品</w:t>
            </w:r>
            <w:r>
              <w:rPr>
                <w:rFonts w:ascii="Times New Roman" w:cs="Times New Roman" w:eastAsia="楷体_GB2312" w:hAnsi="Times New Roman"/>
                <w:color w:themeColor="text1" w:val="000000"/>
                <w:sz w:val="20"/>
                <w:szCs w:val="20"/>
                <w:highlight w:val="none"/>
                <w14:textFill>
                  <w14:solidFill>
                    <w14:schemeClr w14:val="tx1"/>
                  </w14:solidFill>
                </w14:textFill>
              </w:rPr>
              <w:t>的，募集期内可以撤单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。撤单</w:t>
            </w:r>
            <w:r>
              <w:rPr>
                <w:rFonts w:ascii="Times New Roman" w:cs="Times New Roman" w:eastAsia="楷体_GB2312" w:hAnsi="Times New Roman"/>
                <w:color w:themeColor="text1" w:val="000000"/>
                <w:sz w:val="20"/>
                <w:szCs w:val="20"/>
                <w:highlight w:val="none"/>
                <w14:textFill>
                  <w14:solidFill>
                    <w14:schemeClr w14:val="tx1"/>
                  </w14:solidFill>
                </w14:textFill>
              </w:rPr>
              <w:t>具体规则</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w:t>
            </w:r>
            <w:r>
              <w:rPr>
                <w:rFonts w:ascii="Times New Roman" w:cs="Times New Roman" w:eastAsia="楷体_GB2312" w:hAnsi="Times New Roman"/>
                <w:color w:themeColor="text1" w:val="000000"/>
                <w:sz w:val="20"/>
                <w:szCs w:val="20"/>
                <w:highlight w:val="none"/>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说明</w:t>
            </w:r>
            <w:r>
              <w:rPr>
                <w:rFonts w:ascii="Times New Roman" w:cs="Times New Roman" w:eastAsia="楷体_GB2312" w:hAnsi="Times New Roman"/>
                <w:color w:themeColor="text1" w:val="000000"/>
                <w:sz w:val="20"/>
                <w:szCs w:val="20"/>
                <w:highlight w:val="none"/>
                <w14:textFill>
                  <w14:solidFill>
                    <w14:schemeClr w14:val="tx1"/>
                  </w14:solidFill>
                </w14:textFill>
              </w:rPr>
              <w:t>或公布的操作方式为准。</w:t>
            </w:r>
          </w:p>
          <w:p w14:paraId="7908389D">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color w:themeColor="text1" w:val="000000"/>
                <w:sz w:val="20"/>
                <w:szCs w:val="20"/>
                <w:highlight w:val="none"/>
                <w14:textFill>
                  <w14:solidFill>
                    <w14:schemeClr w14:val="tx1"/>
                  </w14:solidFill>
                </w14:textFill>
              </w:rPr>
              <w:t>代销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color w:themeColor="text1" w:val="000000"/>
                <w:sz w:val="20"/>
                <w:szCs w:val="20"/>
                <w:highlight w:val="none"/>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w:t>
            </w:r>
            <w:r>
              <w:rPr>
                <w:rFonts w:ascii="Times New Roman" w:cs="Times New Roman" w:eastAsia="楷体_GB2312" w:hAnsi="Times New Roman"/>
                <w:color w:themeColor="text1" w:val="000000"/>
                <w:sz w:val="20"/>
                <w:szCs w:val="20"/>
                <w:highlight w:val="none"/>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以及</w:t>
            </w:r>
            <w:r>
              <w:rPr>
                <w:rFonts w:ascii="Times New Roman" w:cs="Times New Roman" w:eastAsia="楷体_GB2312" w:hAnsi="Times New Roman"/>
                <w:color w:themeColor="text1" w:val="000000"/>
                <w:sz w:val="20"/>
                <w:szCs w:val="20"/>
                <w:highlight w:val="none"/>
                <w14:textFill>
                  <w14:solidFill>
                    <w14:schemeClr w14:val="tx1"/>
                  </w14:solidFill>
                </w14:textFill>
              </w:rPr>
              <w:t>撤单规则，以代销机构说明或公布的操作方式为准。</w:t>
            </w:r>
          </w:p>
          <w:p w14:paraId="624B8A1F">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“可以</w:t>
            </w:r>
            <w:r>
              <w:rPr>
                <w:rFonts w:ascii="Times New Roman" w:cs="Times New Roman" w:eastAsia="楷体_GB2312" w:hAnsi="Times New Roman"/>
                <w:color w:themeColor="text1" w:val="000000"/>
                <w:sz w:val="20"/>
                <w:szCs w:val="20"/>
                <w:highlight w:val="none"/>
                <w14:textFill>
                  <w14:solidFill>
                    <w14:schemeClr w14:val="tx1"/>
                  </w14:solidFill>
                </w14:textFill>
              </w:rPr>
              <w:t>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”则</w:t>
            </w:r>
            <w:r>
              <w:rPr>
                <w:rFonts w:ascii="Times New Roman" w:cs="Times New Roman" w:eastAsia="楷体_GB2312" w:hAnsi="Times New Roman"/>
                <w:color w:themeColor="text1" w:val="000000"/>
                <w:sz w:val="20"/>
                <w:szCs w:val="20"/>
                <w:highlight w:val="none"/>
                <w14:textFill>
                  <w14:solidFill>
                    <w14:schemeClr w14:val="tx1"/>
                  </w14:solidFill>
                </w14:textFill>
              </w:rPr>
              <w:t>意味着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募集期内投资者认购款项在管理人募集账户不产生利息，是否计付利息以及利息计付规则以销售机构为准。</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【2026】年【8】月【25】日</w:t>
            </w:r>
            <w:r>
              <w:rPr>
                <w:rFonts w:ascii="Times New Roman" w:cs="Times New Roman" w:eastAsia="楷体_GB2312"/>
                <w:color w:themeColor="text1" w:val="000000"/>
                <w:sz w:val="20"/>
                <w:szCs w:val="20"/>
                <w:highlight w:val="none"/>
                <w14:textFill>
                  <w14:solidFill>
                    <w14:schemeClr w14:val="tx1"/>
                  </w14:solidFill>
                </w14:textFill>
              </w:rPr>
              <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（如</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调整募集期，则运作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【2026】年【8】月【25】日</w:t>
            </w:r>
            <w:r>
              <w:rPr>
                <w:rFonts w:ascii="楷体_GB2312" w:cs="楷体_GB2312" w:eastAsia="楷体_GB2312" w:hint="eastAsia"/>
                <w:color w:themeColor="text1" w:val="000000"/>
                <w:sz w:val="20"/>
                <w:szCs w:val="20"/>
                <w:highlight w:val="none"/>
                <w14:textFill>
                  <w14:solidFill>
                    <w14:schemeClr w14:val="tx1"/>
                  </w14:solidFill>
                </w14:textFill>
              </w:rPr>
              <w:t>至【2026】年【9】月【24】日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【2026】年【11】月【25】日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highlight w:val="none"/>
                <w14:textFill>
                  <w14:solidFill>
                    <w14:schemeClr w14:val="tx1"/>
                  </w14:solidFill>
                </w14:textFill>
              </w:rPr>
              <w:t>的本</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产品份额清零之日</w:t>
            </w:r>
            <w:r>
              <w:rPr>
                <w:rFonts w:ascii="楷体_GB2312" w:cs="楷体_GB2312" w:eastAsia="楷体_GB2312" w:hint="eastAsia"/>
                <w:color w:themeColor="text1" w:val="000000"/>
                <w:sz w:val="20"/>
                <w:szCs w:val="20"/>
                <w:highlight w:val="none"/>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color w:themeColor="text1" w:val="000000"/>
                <w:sz w:val="20"/>
                <w:szCs w:val="20"/>
                <w:highlight w:val="none"/>
                <w14:textFill>
                  <w14:solidFill>
                    <w14:schemeClr w14:val="tx1"/>
                  </w14:solidFill>
                </w14:textFill>
              </w:rPr>
              <w:t>业绩</w:t>
            </w:r>
            <w:r>
              <w:rPr>
                <w:rFonts w:ascii="Times New Roman" w:cs="楷体_GB2312" w:eastAsia="楷体_GB2312" w:hint="eastAsia"/>
                <w:color w:themeColor="text1" w:val="000000"/>
                <w:sz w:val="20"/>
                <w:szCs w:val="20"/>
                <w:highlight w:val="none"/>
                <w14:textFill>
                  <w14:solidFill>
                    <w14:schemeClr w14:val="tx1"/>
                  </w14:solidFill>
                </w14:textFill>
              </w:rPr>
              <w:t>比较</w:t>
            </w:r>
            <w:r>
              <w:rPr>
                <w:rFonts w:ascii="Times New Roman" w:cs="楷体_GB2312" w:eastAsia="楷体_GB2312"/>
                <w:color w:themeColor="text1" w:val="000000"/>
                <w:sz w:val="20"/>
                <w:szCs w:val="20"/>
                <w:highlight w:val="none"/>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【A】类份额：【1.90%】</w:t>
              <w:br/>
              <w:t>【B】类份额：【1.90%】</w:t>
              <w:br/>
              <w:t>【C】类份额：【1.95%】</w:t>
              <w:br/>
              <w:t>【D】类份额：【1.95%】</w:t>
              <w:br/>
              <w:t>【G】类份额：【1.95%】</w:t>
              <w:br/>
              <w:t>【M】类份额：【1.85%】</w:t>
              <w:br/>
              <w:t>【N】类份额：【1.80%】</w:t>
              <w:br/>
              <w:t>【P】类份额：【1.70%】</w:t>
              <w:br/>
              <w:t>【S】类份额：【1.95%】</w:t>
            </w:r>
            <w:r>
              <w:rPr>
                <w:rFonts w:ascii="楷体_GB2312" w:cs="楷体_GB2312" w:eastAsia="楷体_GB2312"/>
                <w:sz w:val="20"/>
                <w:szCs w:val="20"/>
                <w:highlight w:val="none"/>
              </w:rPr>
              <w:t/>
            </w:r>
          </w:p>
          <w:p w14:paraId="121DD7AE">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b/>
                <w:bCs/>
                <w:sz w:val="20"/>
                <w:szCs w:val="20"/>
                <w:highlight w:val="none"/>
              </w:rPr>
              <w:t>业绩</w:t>
            </w:r>
            <w:r>
              <w:rPr>
                <w:rFonts w:ascii="楷体_GB2312" w:cs="楷体_GB2312" w:eastAsia="楷体_GB2312"/>
                <w:b/>
                <w:bCs/>
                <w:sz w:val="20"/>
                <w:szCs w:val="20"/>
                <w:highlight w:val="none"/>
              </w:rPr>
              <w:t>比较基准测算依据：</w:t>
            </w:r>
            <w:r>
              <w:rPr>
                <w:rFonts w:ascii="楷体_GB2312" w:cs="楷体_GB2312" w:eastAsia="楷体_GB2312" w:hint="eastAsia"/>
                <w:b/>
                <w:bCs/>
                <w:sz w:val="20"/>
                <w:szCs w:val="20"/>
                <w:highlight w:val="none"/>
              </w:rPr>
              <w:t>【</w:t>
            </w:r>
            <w:r>
              <w:rPr>
                <w:rFonts w:ascii="楷体_GB2312" w:cs="楷体_GB2312" w:eastAsia="楷体_GB2312"/>
                <w:b/>
                <w:bCs/>
                <w:sz w:val="20"/>
                <w:szCs w:val="20"/>
                <w:highlight w:val="none"/>
              </w:rPr>
              <w:t>本理财产品为固定收益类产品，主要投向为同业存单、短融、中票、PPN、公司债、资产支持证券等标准化债权类资产以及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highlight w:val="none"/>
              </w:rPr>
              <w:t>】</w:t>
            </w:r>
          </w:p>
          <w:p w14:paraId="54138B23">
            <w:pPr>
              <w:spacing w:line="300" w:lineRule="exact"/>
              <w:ind w:left="-2" w:leftChars="-1" w:right="36" w:rightChars="15"/>
              <w:jc w:val="both"/>
              <w:rPr>
                <w:rFonts w:ascii="黑体" w:cs="楷体_GB2312" w:eastAsia="黑体" w:hAnsi="黑体"/>
                <w:b/>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本产品收取的销售服务费可能因销售</w:t>
            </w:r>
            <w:r>
              <w:rPr>
                <w:rFonts w:ascii="楷体_GB2312" w:cs="楷体_GB2312" w:eastAsia="楷体_GB2312"/>
                <w:b/>
                <w:bCs/>
                <w:color w:themeColor="text1" w:val="000000"/>
                <w:sz w:val="20"/>
                <w:szCs w:val="20"/>
                <w:highlight w:val="none"/>
                <w14:textFill>
                  <w14:solidFill>
                    <w14:schemeClr w14:val="tx1"/>
                  </w14:solidFill>
                </w14:textFill>
              </w:rPr>
              <w:t>机构</w:t>
            </w:r>
            <w:r>
              <w:rPr>
                <w:rFonts w:ascii="楷体_GB2312" w:cs="楷体_GB2312" w:eastAsia="楷体_GB2312" w:hint="eastAsia"/>
                <w:b/>
                <w:bCs/>
                <w:color w:themeColor="text1" w:val="000000"/>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本产品交易时间为</w:t>
            </w:r>
            <w:r>
              <w:rPr>
                <w:rFonts w:ascii="楷体_GB2312" w:cs="楷体_GB2312" w:eastAsia="楷体_GB2312"/>
                <w:color w:themeColor="text1" w:val="000000"/>
                <w:sz w:val="20"/>
                <w:szCs w:val="20"/>
                <w:highlight w:val="none"/>
                <w14:textFill>
                  <w14:solidFill>
                    <w14:schemeClr w14:val="tx1"/>
                  </w14:solidFill>
                </w14:textFill>
              </w:rPr>
              <w:t>【8：30-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投资者应当根据产品说明书约定在交易时间内进行认购交易操作，</w:t>
            </w:r>
            <w:r>
              <w:rPr>
                <w:rFonts w:ascii="楷体_GB2312" w:cs="楷体_GB2312" w:eastAsia="楷体_GB2312"/>
                <w:color w:themeColor="text1" w:val="000000"/>
                <w:sz w:val="20"/>
                <w:szCs w:val="20"/>
                <w:highlight w:val="none"/>
                <w14:textFill>
                  <w14:solidFill>
                    <w14:schemeClr w14:val="tx1"/>
                  </w14:solidFill>
                </w14:textFill>
              </w:rPr>
              <w:t>信银理财有权变更交易时间</w:t>
            </w:r>
            <w:r>
              <w:rPr>
                <w:rFonts w:ascii="楷体_GB2312" w:cs="楷体_GB2312" w:eastAsia="楷体_GB2312" w:hint="eastAsia"/>
                <w:color w:themeColor="text1" w:val="000000"/>
                <w:sz w:val="20"/>
                <w:szCs w:val="20"/>
                <w:highlight w:val="none"/>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highlight w:val="none"/>
                <w14:textFill>
                  <w14:solidFill>
                    <w14:schemeClr w14:val="tx1"/>
                  </w14:solidFill>
                </w14:textFill>
              </w:rPr>
              <w:t>如果投资者通过信银理财</w:t>
            </w:r>
            <w:r>
              <w:rPr>
                <w:rFonts w:ascii="楷体_GB2312" w:cs="楷体_GB2312" w:eastAsia="楷体_GB2312" w:hint="eastAsia"/>
                <w:color w:themeColor="text1" w:val="000000"/>
                <w:sz w:val="20"/>
                <w:szCs w:val="20"/>
                <w:highlight w:val="none"/>
                <w14:textFill>
                  <w14:solidFill>
                    <w14:schemeClr w14:val="tx1"/>
                  </w14:solidFill>
                </w14:textFill>
              </w:rPr>
              <w:t>直销渠道</w:t>
            </w:r>
            <w:r>
              <w:rPr>
                <w:rFonts w:ascii="楷体_GB2312" w:cs="楷体_GB2312" w:eastAsia="楷体_GB2312"/>
                <w:color w:themeColor="text1" w:val="000000"/>
                <w:sz w:val="20"/>
                <w:szCs w:val="20"/>
                <w:highlight w:val="none"/>
                <w14:textFill>
                  <w14:solidFill>
                    <w14:schemeClr w14:val="tx1"/>
                  </w14:solidFill>
                </w14:textFill>
              </w:rPr>
              <w:t>购买的，则交易时间以</w:t>
            </w:r>
            <w:r>
              <w:rPr>
                <w:rFonts w:ascii="楷体_GB2312" w:cs="楷体_GB2312" w:eastAsia="楷体_GB2312" w:hint="eastAsia"/>
                <w:color w:themeColor="text1" w:val="000000"/>
                <w:sz w:val="20"/>
                <w:szCs w:val="20"/>
                <w:highlight w:val="none"/>
                <w14:textFill>
                  <w14:solidFill>
                    <w14:schemeClr w14:val="tx1"/>
                  </w14:solidFill>
                </w14:textFill>
              </w:rPr>
              <w:t>信银理财直销渠道</w:t>
            </w:r>
            <w:r>
              <w:rPr>
                <w:rFonts w:ascii="楷体_GB2312" w:cs="楷体_GB2312" w:eastAsia="楷体_GB2312"/>
                <w:color w:themeColor="text1" w:val="000000"/>
                <w:sz w:val="20"/>
                <w:szCs w:val="20"/>
                <w:highlight w:val="none"/>
                <w14:textFill>
                  <w14:solidFill>
                    <w14:schemeClr w14:val="tx1"/>
                  </w14:solidFill>
                </w14:textFill>
              </w:rPr>
              <w:t>的营业时间和公布的交易时间为准，且必须在【8：30-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投资者通过</w:t>
            </w:r>
            <w:r>
              <w:rPr>
                <w:rFonts w:ascii="楷体_GB2312" w:cs="楷体_GB2312" w:eastAsia="楷体_GB2312"/>
                <w:color w:themeColor="text1" w:val="000000"/>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hint="eastAsia"/>
                <w:color w:themeColor="text1" w:val="000000"/>
                <w:sz w:val="20"/>
                <w:szCs w:val="20"/>
                <w:highlight w:val="none"/>
                <w:lang w:eastAsia="zh-Hans"/>
                <w14:textFill>
                  <w14:solidFill>
                    <w14:schemeClr w14:val="tx1"/>
                  </w14:solidFill>
                </w14:textFill>
              </w:rPr>
              <w:t>上</w:t>
            </w:r>
            <w:r>
              <w:rPr>
                <w:rFonts w:ascii="Times New Roman" w:cs="楷体_GB2312" w:eastAsia="楷体_GB2312"/>
                <w:color w:themeColor="text1" w:val="000000"/>
                <w:sz w:val="20"/>
                <w:szCs w:val="20"/>
                <w:highlight w:val="none"/>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color w:themeColor="text1" w:val="000000"/>
                <w:sz w:val="20"/>
                <w:szCs w:val="20"/>
                <w:highlight w:val="none"/>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highlight w:val="none"/>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【A】类份额初始认购金额不低于【人民币】【1】元，以【人民币】【0.01】元的整数倍增加。追加认购金额不低于【人民币】【0.01】元，以【人民币】【0.01】元的整数倍增加。</w:t>
              <w:br/>
              <w:t>【B】类份额初始认购金额不低于【人民币】【1】元，以【人民币】【0.01】元的整数倍增加。追加认购金额不低于【人民币】【0.01】元，以【人民币】【0.01】元的整数倍增加。</w:t>
              <w:br/>
              <w:t>【C】类份额初始认购金额不低于【人民币】【1】元，以【人民币】【0.01】元的整数倍增加。追加认购金额不低于【人民币】【0.01】元，以【人民币】【0.01】元的整数倍增加。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【M】类份额初始认购金额不低于【人民币】【1】元，以【人民币】【0.01】元的整数倍增加。追加认购金额不低于【人民币】【0.01】元，以【人民币】【0.01】元的整数倍增加。</w:t>
              <w:br/>
              <w:t>【N】类份额初始认购金额不低于【人民币】【1】元，以【人民币】【0.01】元的整数倍增加。追加认购金额不低于【人民币】【0.01】元，以【人民币】【0.01】元的整数倍增加。</w:t>
              <w:br/>
              <w:t>【P】类份额初始认购金额不低于【人民币】【1】元，以【人民币】【0.01】元的整数倍增加。追加认购金额不低于【人民币】【0.01】元，以【人民币】【0.01】元的整数倍增加。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r>
            <w:r>
              <w:rPr>
                <w:rFonts w:ascii="楷体_GB2312" w:cs="楷体_GB2312" w:eastAsia="楷体_GB2312"/>
                <w:sz w:val="20"/>
                <w:szCs w:val="20"/>
                <w:highlight w:val="none"/>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b/>
                <w:bCs/>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单个</w:t>
            </w:r>
            <w:r>
              <w:rPr>
                <w:rFonts w:ascii="Times New Roman" w:cs="楷体_GB2312" w:eastAsia="楷体_GB2312"/>
                <w:b/>
                <w:bCs/>
                <w:color w:themeColor="text1" w:val="000000"/>
                <w:sz w:val="20"/>
                <w:szCs w:val="20"/>
                <w:highlight w:val="none"/>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w:t>
            </w:r>
            <w:r>
              <w:rPr>
                <w:rFonts w:ascii="楷体_GB2312" w:cs="楷体_GB2312" w:eastAsia="楷体_GB2312"/>
                <w:b/>
                <w:bCs/>
                <w:color w:themeColor="text1" w:val="000000"/>
                <w:sz w:val="20"/>
                <w:szCs w:val="20"/>
                <w:highlight w:val="none"/>
                <w14:textFill>
                  <w14:solidFill>
                    <w14:schemeClr w14:val="tx1"/>
                  </w14:solidFill>
                </w14:textFill>
              </w:rPr>
              <w:t>单一投资者持有份额</w:t>
            </w:r>
            <w:r>
              <w:rPr>
                <w:rFonts w:ascii="楷体_GB2312" w:cs="楷体_GB2312" w:eastAsia="楷体_GB2312" w:hint="eastAsia"/>
                <w:b/>
                <w:bCs/>
                <w:color w:themeColor="text1" w:val="000000"/>
                <w:sz w:val="20"/>
                <w:szCs w:val="20"/>
                <w:highlight w:val="none"/>
                <w:lang w:eastAsia="zh-CN"/>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【b</w:t>
            </w:r>
            <w:r>
              <w:rPr>
                <w:rFonts w:ascii="楷体_GB2312" w:cs="楷体_GB2312" w:eastAsia="楷体_GB2312"/>
                <w:b/>
                <w:bCs/>
                <w:color w:themeColor="text1" w:val="000000"/>
                <w:sz w:val="20"/>
                <w:szCs w:val="20"/>
                <w:highlight w:val="none"/>
                <w14:textFill>
                  <w14:solidFill>
                    <w14:schemeClr w14:val="tx1"/>
                  </w14:solidFill>
                </w14:textFill>
              </w:rPr>
              <w:t>】</w:t>
            </w:r>
          </w:p>
          <w:p w14:paraId="261B67A2">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可以</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。但产品不得</w:t>
            </w:r>
            <w:r>
              <w:rPr>
                <w:rFonts w:ascii="楷体_GB2312" w:cs="楷体_GB2312" w:eastAsia="楷体_GB2312"/>
                <w:b/>
                <w:bCs/>
                <w:color w:themeColor="text1" w:val="000000"/>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不得</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投资者提出认</w:t>
            </w:r>
            <w:r>
              <w:rPr>
                <w:rFonts w:ascii="楷体_GB2312" w:cs="楷体_GB2312" w:eastAsia="楷体_GB2312"/>
                <w:b/>
                <w:bCs/>
                <w:color w:themeColor="text1" w:val="000000"/>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highlight w:val="none"/>
                <w14:textFill>
                  <w14:solidFill>
                    <w14:schemeClr w14:val="tx1"/>
                  </w14:solidFill>
                </w14:textFill>
              </w:rPr>
              <w:t>浮动管理费</w:t>
            </w:r>
            <w:r>
              <w:rPr>
                <w:rFonts w:ascii="楷体_GB2312" w:cs="楷体_GB2312" w:eastAsia="楷体_GB2312" w:hint="eastAsia"/>
                <w:color w:themeColor="text1" w:val="000000"/>
                <w:sz w:val="20"/>
                <w:szCs w:val="20"/>
                <w:highlight w:val="none"/>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highlight w:val="none"/>
                <w14:textFill>
                  <w14:solidFill>
                    <w14:schemeClr w14:val="tx1"/>
                  </w14:solidFill>
                </w14:textFill>
              </w:rPr>
              <w:t>份额</w:t>
            </w:r>
            <w:r>
              <w:rPr>
                <w:rFonts w:ascii="楷体_GB2312" w:cs="楷体_GB2312" w:eastAsia="楷体_GB2312" w:hint="eastAsia"/>
                <w:color w:themeColor="text1" w:val="000000"/>
                <w:sz w:val="20"/>
                <w:szCs w:val="20"/>
                <w:highlight w:val="none"/>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理财产品通过代销机构销售的，投资者可通过代销机构规定的渠道认购。</w:t>
            </w:r>
            <w:r>
              <w:rPr>
                <w:rFonts w:ascii="楷体_GB2312" w:cs="楷体_GB2312" w:eastAsia="楷体_GB2312"/>
                <w:color w:themeColor="text1" w:val="000000"/>
                <w:sz w:val="20"/>
                <w:szCs w:val="20"/>
                <w:highlight w:val="none"/>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highlight w:val="none"/>
                <w14:textFill>
                  <w14:solidFill>
                    <w14:schemeClr w14:val="tx1"/>
                  </w14:solidFill>
                </w14:textFill>
              </w:rPr>
              <w:t>产品管理人</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理财资金</w:t>
            </w:r>
            <w:r>
              <w:rPr>
                <w:rFonts w:ascii="楷体_GB2312" w:cs="楷体_GB2312" w:eastAsia="楷体_GB2312" w:hint="eastAsia"/>
                <w:color w:themeColor="text1" w:val="000000"/>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1.</w:t>
            </w:r>
            <w:r>
              <w:rPr>
                <w:rFonts w:ascii="楷体_GB2312" w:cs="楷体_GB2312" w:eastAsia="楷体_GB2312" w:hint="eastAsia"/>
                <w:b/>
                <w:sz w:val="20"/>
                <w:szCs w:val="20"/>
                <w:highlight w:val="none"/>
              </w:rPr>
              <w:t>认购费</w:t>
            </w:r>
            <w:r>
              <w:rPr>
                <w:rFonts w:ascii="楷体_GB2312" w:cs="楷体_GB2312" w:eastAsia="楷体_GB2312"/>
                <w:b/>
                <w:sz w:val="20"/>
                <w:szCs w:val="20"/>
                <w:highlight w:val="none"/>
              </w:rPr>
              <w:t>：</w:t>
            </w:r>
            <w:r>
              <w:rPr>
                <w:rFonts w:ascii="楷体_GB2312" w:eastAsia="楷体_GB2312" w:hint="eastAsia"/>
                <w:b/>
                <w:sz w:val="20"/>
                <w:szCs w:val="20"/>
                <w:highlight w:val="none"/>
              </w:rPr>
              <w:t>【A】类份额不收取认购费，【B】类份额不收取认购费，【C】类份额不收取认购费，【D】类份额不收取认购费，【G】类份额不收取认购费，【M】类份额不收取认购费，【N】类份额不收取认购费，【P】类份额不收取认购费，【S】类份额不收取认购费</w:t>
            </w:r>
            <w:r>
              <w:rPr>
                <w:rFonts w:ascii="楷体_GB2312" w:eastAsia="楷体_GB2312"/>
                <w:b/>
                <w:sz w:val="20"/>
                <w:szCs w:val="20"/>
                <w:highlight w:val="none"/>
              </w:rPr>
              <w:t/>
            </w:r>
            <w:r>
              <w:rPr>
                <w:rFonts w:ascii="楷体_GB2312" w:eastAsia="楷体_GB2312" w:hint="eastAsia"/>
                <w:b/>
                <w:sz w:val="20"/>
                <w:szCs w:val="20"/>
                <w:highlight w:val="none"/>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2.</w:t>
            </w:r>
            <w:r>
              <w:rPr>
                <w:rFonts w:ascii="楷体_GB2312" w:cs="楷体_GB2312" w:eastAsia="楷体_GB2312" w:hint="eastAsia"/>
                <w:b/>
                <w:sz w:val="20"/>
                <w:szCs w:val="20"/>
                <w:highlight w:val="none"/>
              </w:rPr>
              <w:t>销售服务费：【A】类份额费率【0.10%】/年，【B】类份额费率【0.10%】/年，【C】类份额费率【0.05%】/年，【D】类份额费率【0.05%】/年，【G】类份额费率【0.05%】/年，【M】类份额费率【0.15%】/年，【N】类份额费率【0.20%】/年，【P】类份额费率【0.30%】/年，【S】类份额费率【0.05%】/年</w:t>
            </w:r>
            <w:r>
              <w:rPr>
                <w:rFonts w:ascii="楷体_GB2312" w:cs="楷体_GB2312" w:eastAsia="楷体_GB2312"/>
                <w:b/>
                <w:sz w:val="20"/>
                <w:szCs w:val="20"/>
                <w:highlight w:val="none"/>
              </w:rPr>
              <w:t/>
            </w:r>
            <w:r>
              <w:rPr>
                <w:rFonts w:ascii="楷体_GB2312" w:cs="楷体_GB2312" w:eastAsia="楷体_GB2312" w:hint="eastAsia"/>
                <w:b/>
                <w:sz w:val="20"/>
                <w:szCs w:val="20"/>
                <w:highlight w:val="none"/>
                <w:lang w:eastAsia="zh-CN"/>
              </w:rPr>
              <w:t>；</w:t>
            </w:r>
          </w:p>
          <w:p w14:paraId="793AE849">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3.</w:t>
            </w:r>
            <w:r>
              <w:rPr>
                <w:rFonts w:ascii="楷体_GB2312" w:cs="楷体_GB2312" w:eastAsia="楷体_GB2312" w:hint="eastAsia"/>
                <w:b/>
                <w:sz w:val="20"/>
                <w:szCs w:val="20"/>
                <w:highlight w:val="none"/>
              </w:rPr>
              <w:t>托管费：费率【</w:t>
            </w:r>
            <w:r>
              <w:rPr>
                <w:rFonts w:ascii="楷体_GB2312" w:cs="楷体_GB2312" w:eastAsia="楷体_GB2312"/>
                <w:b/>
                <w:sz w:val="20"/>
                <w:szCs w:val="20"/>
                <w:highlight w:val="none"/>
              </w:rPr>
              <w:t>0.05%】/年</w:t>
            </w:r>
            <w:r>
              <w:rPr>
                <w:rFonts w:ascii="楷体_GB2312" w:cs="楷体_GB2312" w:eastAsia="楷体_GB2312" w:hint="eastAsia"/>
                <w:b/>
                <w:sz w:val="20"/>
                <w:szCs w:val="20"/>
                <w:highlight w:val="none"/>
                <w:lang w:eastAsia="zh-CN"/>
              </w:rPr>
              <w:t>；</w:t>
            </w:r>
          </w:p>
          <w:p w14:paraId="0B46EB90">
            <w:pPr>
              <w:snapToGrid w:val="0"/>
              <w:spacing w:line="300" w:lineRule="exact"/>
              <w:ind w:right="96" w:rightChars="40"/>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4.</w:t>
            </w:r>
            <w:r>
              <w:rPr>
                <w:rFonts w:ascii="楷体_GB2312" w:cs="楷体_GB2312" w:eastAsia="楷体_GB2312" w:hint="eastAsia"/>
                <w:b/>
                <w:sz w:val="20"/>
                <w:szCs w:val="20"/>
                <w:highlight w:val="none"/>
              </w:rPr>
              <w:t>固定管理费：费率【0.10%</w:t>
            </w:r>
            <w:r>
              <w:rPr>
                <w:rFonts w:ascii="楷体_GB2312" w:cs="楷体_GB2312" w:eastAsia="楷体_GB2312"/>
                <w:b/>
                <w:sz w:val="20"/>
                <w:szCs w:val="20"/>
                <w:highlight w:val="none"/>
              </w:rPr>
              <w:t>】/年</w:t>
            </w:r>
            <w:r>
              <w:rPr>
                <w:rFonts w:ascii="楷体_GB2312" w:cs="楷体_GB2312" w:eastAsia="楷体_GB2312" w:hint="eastAsia"/>
                <w:b/>
                <w:sz w:val="20"/>
                <w:szCs w:val="20"/>
                <w:highlight w:val="none"/>
                <w:lang w:eastAsia="zh-CN"/>
              </w:rPr>
              <w:t>；</w:t>
            </w:r>
          </w:p>
          <w:p w14:paraId="0005DA40">
            <w:pPr>
              <w:snapToGrid w:val="0"/>
              <w:spacing w:line="300" w:lineRule="exact"/>
              <w:ind w:right="96" w:rightChars="40"/>
              <w:outlineLvl w:val="0"/>
              <w:rPr>
                <w:rFonts w:ascii="楷体_GB2312" w:cs="楷体_GB2312" w:eastAsia="楷体_GB2312"/>
                <w:b/>
                <w:sz w:val="20"/>
                <w:szCs w:val="20"/>
                <w:highlight w:val="none"/>
              </w:rPr>
            </w:pPr>
            <w:r>
              <w:rPr>
                <w:rFonts w:ascii="楷体_GB2312" w:cs="楷体_GB2312" w:eastAsia="楷体_GB2312"/>
                <w:b/>
                <w:sz w:val="20"/>
                <w:szCs w:val="20"/>
                <w:highlight w:val="none"/>
              </w:rPr>
              <w:t>5.</w:t>
            </w:r>
            <w:r>
              <w:rPr>
                <w:rFonts w:ascii="楷体_GB2312" w:cs="楷体_GB2312" w:eastAsia="楷体_GB2312" w:hint="eastAsia"/>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ascii="楷体_GB2312" w:eastAsia="楷体_GB2312" w:hint="eastAsia"/>
                <w:b/>
                <w:sz w:val="20"/>
                <w:szCs w:val="20"/>
                <w:highlight w:val="none"/>
              </w:rPr>
              <w:t/>
              <w:t>【A】类份额设立业绩比较基准，在产品到期日或提前终止日时，如计提浮动管理费前年化收益率超过【2.05%】的，管理人将收取超额部分的【50%】作为浮动管理费。</w:t>
              <w:br/>
              <w:t>【B】类份额设立业绩比较基准，在产品到期日或提前终止日时，如计提浮动管理费前年化收益率超过【2.05%】的，管理人将收取超额部分的【50%】作为浮动管理费。</w:t>
              <w:br/>
              <w:t>【C】类份额设立业绩比较基准，在产品到期日或提前终止日时，如计提浮动管理费前年化收益率超过【2.10%】的，管理人将收取超额部分的【50%】作为浮动管理费。</w:t>
              <w:br/>
              <w:t>【D】类份额设立业绩比较基准，在产品到期日或提前终止日时，如计提浮动管理费前年化收益率超过【2.10%】的，管理人将收取超额部分的【50%】作为浮动管理费。</w:t>
              <w:br/>
              <w:t>【G】类份额设立业绩比较基准，在产品到期日或提前终止日时，如计提浮动管理费前年化收益率超过【2.10%】的，管理人将收取超额部分的【50%】作为浮动管理费。</w:t>
              <w:br/>
              <w:t>【M】类份额设立业绩比较基准，在产品到期日或提前终止日时，如计提浮动管理费前年化收益率超过【2.00%】的，管理人将收取超额部分的【50%】作为浮动管理费。</w:t>
              <w:br/>
              <w:t>【N】类份额设立业绩比较基准，在产品到期日或提前终止日时，如计提浮动管理费前年化收益率超过【1.95%】的，管理人将收取超额部分的【50%】作为浮动管理费。</w:t>
              <w:br/>
              <w:t>【P】类份额设立业绩比较基准，在产品到期日或提前终止日时，如计提浮动管理费前年化收益率超过【1.85%】的，管理人将收取超额部分的【50%】作为浮动管理费。</w:t>
              <w:br/>
              <w:t>【S】类份额设立业绩比较基准，在产品到期日或提前终止日时，如计提浮动管理费前年化收益率超过【2.10%】的，管理人将收取超额部分的【50%】作为浮动管理费。</w:t>
            </w:r>
            <w:r>
              <w:rPr>
                <w:rFonts w:ascii="楷体_GB2312" w:eastAsia="楷体_GB2312"/>
                <w:b/>
                <w:sz w:val="20"/>
                <w:szCs w:val="20"/>
                <w:highlight w:val="none"/>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八、理财产品的费用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7B31997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w:t>
            </w:r>
            <w:r>
              <w:rPr>
                <w:rFonts w:ascii="Times New Roman" w:cs="楷体_GB2312" w:eastAsia="楷体_GB2312"/>
                <w:color w:themeColor="text1" w:val="000000"/>
                <w:sz w:val="20"/>
                <w:szCs w:val="20"/>
                <w:highlight w:val="none"/>
                <w14:textFill>
                  <w14:solidFill>
                    <w14:schemeClr w14:val="tx1"/>
                  </w14:solidFill>
                </w14:textFill>
              </w:rPr>
              <w:t>管理人</w:t>
            </w: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管理</w:t>
            </w:r>
            <w:r>
              <w:rPr>
                <w:rFonts w:ascii="Times New Roman" w:cs="楷体_GB2312" w:eastAsia="楷体_GB2312" w:hint="eastAsia"/>
                <w:color w:themeColor="text1" w:val="000000"/>
                <w:sz w:val="20"/>
                <w:szCs w:val="20"/>
                <w:highlight w:val="none"/>
                <w14:textFill>
                  <w14:solidFill>
                    <w14:schemeClr w14:val="tx1"/>
                  </w14:solidFill>
                </w14:textFill>
              </w:rPr>
              <w:t>人/管理人</w:t>
            </w:r>
            <w:r>
              <w:rPr>
                <w:rFonts w:ascii="Times New Roman" w:cs="楷体_GB2312" w:eastAsia="楷体_GB2312"/>
                <w:color w:themeColor="text1" w:val="000000"/>
                <w:sz w:val="20"/>
                <w:szCs w:val="20"/>
                <w:highlight w:val="none"/>
                <w14:textFill>
                  <w14:solidFill>
                    <w14:schemeClr w14:val="tx1"/>
                  </w14:solidFill>
                </w14:textFill>
              </w:rPr>
              <w:t>、</w:t>
            </w:r>
            <w:r>
              <w:rPr>
                <w:rFonts w:ascii="Times New Roman" w:cs="楷体_GB2312" w:eastAsia="楷体_GB2312" w:hint="eastAsia"/>
                <w:color w:themeColor="text1" w:val="000000"/>
                <w:sz w:val="20"/>
                <w:szCs w:val="20"/>
                <w:highlight w:val="none"/>
                <w14:textFill>
                  <w14:solidFill>
                    <w14:schemeClr w14:val="tx1"/>
                  </w14:solidFill>
                </w14:textFill>
              </w:rPr>
              <w:t>收益</w:t>
            </w:r>
            <w:r>
              <w:rPr>
                <w:rFonts w:ascii="Times New Roman" w:cs="楷体_GB2312" w:eastAsia="楷体_GB2312"/>
                <w:color w:themeColor="text1" w:val="000000"/>
                <w:sz w:val="20"/>
                <w:szCs w:val="20"/>
                <w:highlight w:val="none"/>
                <w14:textFill>
                  <w14:solidFill>
                    <w14:schemeClr w14:val="tx1"/>
                  </w14:solidFill>
                </w14:textFill>
              </w:rPr>
              <w:t>计算方</w:t>
            </w:r>
          </w:p>
        </w:tc>
        <w:tc>
          <w:tcPr>
            <w:tcW w:type="dxa" w:w="6328"/>
            <w:vAlign w:val="center"/>
          </w:tcPr>
          <w:p w14:paraId="3ACAFC2D">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1EC9DD74">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5B6DB1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53F3AACF">
            <w:pPr>
              <w:spacing w:line="300" w:lineRule="exact"/>
              <w:ind w:left="-2" w:leftChars="-1" w:right="36" w:rightChars="15"/>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管理人主要职责</w:t>
            </w:r>
          </w:p>
        </w:tc>
        <w:tc>
          <w:tcPr>
            <w:tcW w:type="dxa" w:w="6328"/>
            <w:vAlign w:val="center"/>
          </w:tcPr>
          <w:p w14:paraId="786DC71C">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依法募集资金，办理产品份额的发售和登记事宜；</w:t>
            </w:r>
          </w:p>
          <w:p w14:paraId="5D6703E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办理产品登记备案或者注册手续；</w:t>
            </w:r>
          </w:p>
          <w:p w14:paraId="7BDE41C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对所管理的不同产品受托财产分别管理、分别记账，进行投资；</w:t>
            </w:r>
          </w:p>
          <w:p w14:paraId="4BF702AE">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按照产品合同的约定确定收益分配方案，及时向投资者分配收益；</w:t>
            </w:r>
          </w:p>
          <w:p w14:paraId="258E0354">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进行产品会计核算并编制产品财务会计报告；</w:t>
            </w:r>
          </w:p>
          <w:p w14:paraId="4658768D">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依法计算并披露产品净值或者投资收益情况，确定申购、赎回价格；</w:t>
            </w:r>
          </w:p>
          <w:p w14:paraId="335BC975">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办理与受托财产管理业务活动有关的信息披露事项；</w:t>
            </w:r>
          </w:p>
          <w:p w14:paraId="4156FF0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保存受托财产管理业务活动的记录、账册、报表和其他相关资料；</w:t>
            </w:r>
          </w:p>
          <w:p w14:paraId="473B81A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hanging="425" w:left="425" w:right="31" w:rightChars="0"/>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国家金融监督管理总局规定的其他职责。</w:t>
            </w:r>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w:t>
            </w:r>
          </w:p>
        </w:tc>
        <w:tc>
          <w:tcPr>
            <w:tcW w:type="pct" w:w="3709"/>
            <w:vAlign w:val="center"/>
          </w:tcPr>
          <w:p w14:paraId="0CE896E3">
            <w:pPr>
              <w:spacing w:line="300" w:lineRule="atLeast"/>
              <w:ind w:left="-2" w:right="31"/>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【A】类份额（份额代码【AF265799A】）合作销售机构信息：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【B】类份额（份额代码【AF265799B】）合作销售机构信息：</w:t>
              <w:br/>
              <w:t>1.企业名称：【三原县农村信用合作联社】</w:t>
              <w:br/>
              <w:t>住所：【陕西省咸阳市三原县宴友思大街中段】</w:t>
              <w:br/>
              <w:t>客户服务热线：【029-96262】</w:t>
              <w:br/>
              <w:t>2.企业名称：【乾县农村信用合作联社】</w:t>
              <w:br/>
              <w:t>住所：【陕西省咸阳市乾县西兰大街中段】</w:t>
              <w:br/>
              <w:t>客户服务热线：【029-96262】</w:t>
              <w:br/>
              <w:t>3.企业名称：【兴平市农村信用合作联社】</w:t>
              <w:br/>
              <w:t>住所：【陕西省咸阳市兴平市金城路】</w:t>
              <w:br/>
              <w:t>客户服务热线：【029-96262】</w:t>
              <w:br/>
              <w:t>4.企业名称：【陕西彬州农村商业银行股份有限公司】</w:t>
              <w:br/>
              <w:t>住所：【陕西省咸阳市彬州市城关镇西大街】</w:t>
              <w:br/>
              <w:t>客户服务热线：【029-96262】</w:t>
              <w:br/>
              <w:t>5.企业名称：【旬邑县农村信用合作联社】</w:t>
              <w:br/>
              <w:t>住所：【陕西省咸阳市旬邑县南大街】</w:t>
              <w:br/>
              <w:t>客户服务热线：【029-96262】</w:t>
              <w:br/>
              <w:t>6.企业名称：【武功县农村信用合作联社】</w:t>
              <w:br/>
              <w:t>住所：【陕西省咸阳市武功县普集镇后稷路】</w:t>
              <w:br/>
              <w:t>客户服务热线：【029-96262】</w:t>
              <w:br/>
              <w:t>7.企业名称：【永寿县农村信用合作联社】</w:t>
              <w:br/>
              <w:t>住所：【陕西省咸阳市永寿县监军镇西兰路中段】</w:t>
              <w:br/>
              <w:t>客户服务热线：【029-96262】</w:t>
              <w:br/>
              <w:t>8.企业名称：【泾阳县农村信用合作联社】</w:t>
              <w:br/>
              <w:t>住所：【陕西省咸阳市泾阳县泾干大街19号】</w:t>
              <w:br/>
              <w:t>客户服务热线：【029-96262】</w:t>
              <w:br/>
              <w:t>9.企业名称：【淳化县农村信用合作联社】</w:t>
              <w:br/>
              <w:t>住所：【陕西省咸阳市淳化县南新街】</w:t>
              <w:br/>
              <w:t>客户服务热线：【029-96262】</w:t>
              <w:br/>
              <w:t>10.企业名称：【礼泉县农村信用合作联社】</w:t>
              <w:br/>
              <w:t>住所：【陕西省咸阳市礼泉县建设路南段】</w:t>
              <w:br/>
              <w:t>客户服务热线：【029-96262】</w:t>
              <w:br/>
              <w:t>11.企业名称：【陕西咸阳农村商业银行股份有限公司】</w:t>
              <w:br/>
              <w:t>住所：【陕西省咸阳市秦都区文兴路智汇原8号商业楼1单元1层4号、5号、6号】</w:t>
              <w:br/>
              <w:t>客户服务热线：【029-96262】</w:t>
              <w:br/>
              <w:t>12.企业名称：【陕西长武农村商业银行股份有限公司】</w:t>
              <w:br/>
              <w:t>住所：【陕西省咸阳市长武县城西门什字北街002号】</w:t>
              <w:br/>
              <w:t>客户服务热线：【029-96262】</w:t>
              <w:br/>
              <w:t>13.企业名称：【陕西杨凌农村商业银行股份有限公司】</w:t>
              <w:br/>
              <w:t>住所：【陕西省杨凌示范区康乐路43号】</w:t>
              <w:br/>
              <w:t>客户服务热线：【029-96262】</w:t>
              <w:br/>
              <w:t>14.企业名称：【江苏扬中农村商业银行股份有限公司】</w:t>
              <w:br/>
              <w:t>住所：【扬中市扬子西路79号】</w:t>
              <w:br/>
              <w:t>客户服务热线：【0511-96008】</w:t>
              <w:br/>
              <w:t>15.企业名称：【江苏张家港农村商业银行股份有限公司】</w:t>
              <w:br/>
              <w:t>住所：【张家港市杨舍镇人民中路66号】</w:t>
              <w:br/>
              <w:t>客户服务热线：【0512-96065】</w:t>
              <w:br/>
              <w:t>16.企业名称：【江苏射阳农村商业银行股份有限公司】</w:t>
              <w:br/>
              <w:t>住所：【江苏省盐城市射阳县合德镇解放路385号】</w:t>
              <w:br/>
              <w:t>客户服务热线：【0515-69966666】</w:t>
              <w:br/>
              <w:t>17.企业名称：【江苏泰兴农村商业银行股份有限公司】</w:t>
              <w:br/>
              <w:t>住所：【江苏省泰兴市国庆东路166号】</w:t>
              <w:br/>
              <w:t>客户服务热线：【0523-96008】</w:t>
              <w:br/>
              <w:t>18.企业名称：【浙江东阳农村商业银行股份有限公司】</w:t>
              <w:br/>
              <w:t>住所：【东阳市双岘路18号】</w:t>
              <w:br/>
              <w:t>客户服务热线：【0571-96596】</w:t>
              <w:br/>
              <w:t>19.企业名称：【浙江乐清农村商业银行股份有限公司】</w:t>
              <w:br/>
              <w:t>住所：【乐清市城南街道伯乐西路99号】</w:t>
              <w:br/>
              <w:t>客户服务热线：【0571-96596】</w:t>
              <w:br/>
              <w:t>20.企业名称：【宁波余姚农村商业银行股份有限公司】</w:t>
              <w:br/>
              <w:t>住所：【余姚市新建路69号】</w:t>
              <w:br/>
              <w:t>客户服务热线：【0571-96596】</w:t>
              <w:br/>
              <w:t>21.企业名称：【宁波镇海农村商业银行股份有限公司】</w:t>
              <w:br/>
              <w:t>住所：【宁波市镇海区骆驼街道镇海大道中段788号】</w:t>
              <w:br/>
              <w:t>客户服务热线：【0571-96596】</w:t>
              <w:br/>
              <w:t>22.企业名称：【宁波宁海农村商业银行股份有限公司】</w:t>
              <w:br/>
              <w:t>住所：【宁海县跃龙街道学勉路1号（金融中心）】</w:t>
              <w:br/>
              <w:t>客户服务热线：【0571-96596】</w:t>
              <w:br/>
              <w:t>23.企业名称：【浙江丽水莲都农村商业银行股份有限公司】</w:t>
              <w:br/>
              <w:t>住所：【浙江丽水市解放街438号】</w:t>
              <w:br/>
              <w:t>客户服务热线：【0571-96596】</w:t>
              <w:br/>
              <w:t>24.企业名称：【浙江三门农村商业银行股份有限公司】</w:t>
              <w:br/>
              <w:t>住所：【浙江省三门县海游街道上洋路68号】</w:t>
              <w:br/>
              <w:t>客户服务热线：【0571-96596】</w:t>
              <w:br/>
              <w:t>25.企业名称：【浙江衢州柯城农村商业银行股份有限公司】</w:t>
              <w:br/>
              <w:t>住所：【浙江省上街92号】</w:t>
              <w:br/>
              <w:t>客户服务热线：【0571-96596】</w:t>
              <w:br/>
              <w:t>26.企业名称：【浙江云和农村商业银行股份有限公司】</w:t>
              <w:br/>
              <w:t>住所：【浙江省丽水市云和县浮云街道新建路72号】</w:t>
              <w:br/>
              <w:t>客户服务热线：【0571-96596】</w:t>
              <w:br/>
              <w:t>27.企业名称：【浙江庆元农村商业银行股份有限公司】</w:t>
              <w:br/>
              <w:t>住所：【浙江省丽水市庆元县濛洲街道云鹤路3号】</w:t>
              <w:br/>
              <w:t>客户服务热线：【0571-96596】</w:t>
              <w:br/>
              <w:t>28.企业名称：【浙江景宁农村商业银行股份有限公司】</w:t>
              <w:br/>
              <w:t>住所：【浙江省丽水市景宁畲族自治县红星街道人民中路201号】</w:t>
              <w:br/>
              <w:t>客户服务热线：【0571-96596】</w:t>
              <w:br/>
              <w:t>29.企业名称：【浙江松阳农村商业银行股份有限公司】</w:t>
              <w:br/>
              <w:t>住所：【浙江省丽水市松阳县水南街道要津南路71号】</w:t>
              <w:br/>
              <w:t>客户服务热线：【0571-96596】</w:t>
              <w:br/>
              <w:t>30.企业名称：【浙江缙云农村商业银行股份有限公司】</w:t>
              <w:br/>
              <w:t>住所：【浙江省丽水市缙云县五云镇新区仙都路68号】</w:t>
              <w:br/>
              <w:t>客户服务热线：【0571-96596】</w:t>
              <w:br/>
              <w:t>31.企业名称：【浙江遂昌农村商业银行股份有限公司】</w:t>
              <w:br/>
              <w:t>住所：【浙江省丽水市遂昌县妙高街道溪边路100号】</w:t>
              <w:br/>
              <w:t>客户服务热线：【0571-96596】</w:t>
              <w:br/>
              <w:t>32.企业名称：【浙江龙泉农村商业银行股份有限公司】</w:t>
              <w:br/>
              <w:t>住所：【浙江省丽水市龙泉市中山东路101号】</w:t>
              <w:br/>
              <w:t>客户服务热线：【0571-96596】</w:t>
              <w:br/>
              <w:t>33.企业名称：【浙江义乌农村商业银行股份有限公司】</w:t>
              <w:br/>
              <w:t>住所：【浙江省义乌市福田街道城北路677号】</w:t>
              <w:br/>
              <w:t>客户服务热线：【0571-96596】</w:t>
              <w:br/>
              <w:t>34.企业名称：【浙江仙居农村商业银行股份有限公司】</w:t>
              <w:br/>
              <w:t>住所：【浙江省仙居县南峰街道穿城中路21号】</w:t>
              <w:br/>
              <w:t>客户服务热线：【0571-96596】</w:t>
              <w:br/>
              <w:t>35.企业名称：【浙江兰溪农村商业银行股份有限公司】</w:t>
              <w:br/>
              <w:t>住所：【浙江省兰溪市兰江街道丹溪大道18号】</w:t>
              <w:br/>
              <w:t>客户服务热线：【0571-96596】</w:t>
              <w:br/>
              <w:t>36.企业名称：【浙江临海农村商业银行股份有限公司】</w:t>
              <w:br/>
              <w:t>住所：【浙江省台州市临海市大洋街道河阳路299号】</w:t>
              <w:br/>
              <w:t>客户服务热线：【0571-96596】</w:t>
              <w:br/>
              <w:t>37.企业名称：【浙江台州椒江农村商业银行股份有限公司】</w:t>
              <w:br/>
              <w:t>住所：【浙江省台州市椒江区工人东路322号】</w:t>
              <w:br/>
              <w:t>客户服务热线：【0571-96596】</w:t>
              <w:br/>
              <w:t>38.企业名称：【浙江温岭农村商业银行股份有限公司】</w:t>
              <w:br/>
              <w:t>住所：【浙江省台州市温岭市城东街道下保路100号】</w:t>
              <w:br/>
              <w:t>客户服务热线：【0571-96596】</w:t>
              <w:br/>
              <w:t>39.企业名称：【浙江台州路桥农村商业银行股份有限公司】</w:t>
              <w:br/>
              <w:t>住所：【浙江省台州市路桥区西路桥大道328号】</w:t>
              <w:br/>
              <w:t>客户服务热线：【0571-96596】</w:t>
              <w:br/>
              <w:t>40.企业名称：【浙江台州黄岩农村商业银行股份有限公司】</w:t>
              <w:br/>
              <w:t>住所：【浙江省台州市黄岩区洞天路88号】</w:t>
              <w:br/>
              <w:t>客户服务热线：【0571-96596】</w:t>
              <w:br/>
              <w:t>41.企业名称：【浙江嘉善农村商业银行股份有限公司】</w:t>
              <w:br/>
              <w:t>住所：【浙江省嘉兴市嘉善县罗星街道车站南路999号】</w:t>
              <w:br/>
              <w:t>客户服务热线：【0571-96596】</w:t>
              <w:br/>
              <w:t>42.企业名称：【浙江桐乡农村商业银行股份有限公司】</w:t>
              <w:br/>
              <w:t>住所：【浙江省嘉兴市桐乡市梧桐街道校场东路59号】</w:t>
              <w:br/>
              <w:t>客户服务热线：【0571-96596】</w:t>
              <w:br/>
              <w:t>43.企业名称：【浙江禾城农村商业银行股份有限公司】</w:t>
              <w:br/>
              <w:t>住所：【浙江省嘉兴市经济技术开发区文昌路1229号】</w:t>
              <w:br/>
              <w:t>客户服务热线：【0571-96596】</w:t>
              <w:br/>
              <w:t>44.企业名称：【浙江天台农村商业银行股份有限公司】</w:t>
              <w:br/>
              <w:t>住所：【浙江省天台县赤城街道飞鹤路358号】</w:t>
              <w:br/>
              <w:t>客户服务热线：【0571-96596】</w:t>
              <w:br/>
              <w:t>45.企业名称：【宁波北仑农村商业银行股份有限公司】</w:t>
              <w:br/>
              <w:t>住所：【浙江省宁波市北仑区新碶宝山路69号（凤凰国际商务广场）1幢69号、63号（凤凰国际商务广场）1幢（2-26层）】</w:t>
              <w:br/>
              <w:t>客户服务热线：【0571-96596】</w:t>
              <w:br/>
              <w:t>46.企业名称：【宁波奉化农村商业银行股份有限公司】</w:t>
              <w:br/>
              <w:t>住所：【浙江省宁波市奉化区锦屏街道中山路27号】</w:t>
              <w:br/>
              <w:t>客户服务热线：【0571-96596】</w:t>
              <w:br/>
              <w:t>47.企业名称：【宁波甬城农村商业银行股份有限公司】</w:t>
              <w:br/>
              <w:t>住所：【浙江省宁波市江北区育才路15、17号】</w:t>
              <w:br/>
              <w:t>客户服务热线：【0571-96596】</w:t>
              <w:br/>
              <w:t>48.企业名称：【浙江嵊州农村商业银行股份有限公司】</w:t>
              <w:br/>
              <w:t>住所：【浙江省嵊州市剡湖街道官河路398号】</w:t>
              <w:br/>
              <w:t>客户服务热线：【0571-96596】</w:t>
              <w:br/>
              <w:t>49.企业名称：【浙江嵊泗农村商业银行股份有限公司】</w:t>
              <w:br/>
              <w:t>住所：【浙江省嵊泗县菜园镇沙河路110号】</w:t>
              <w:br/>
              <w:t>客户服务热线：【0571-96596】</w:t>
              <w:br/>
              <w:t>50.企业名称：【浙江平湖农村商业银行股份有限公司】</w:t>
              <w:br/>
              <w:t>住所：【浙江省平湖市当湖街道胜利路518号】</w:t>
              <w:br/>
              <w:t>客户服务热线：【0571-96596】</w:t>
              <w:br/>
              <w:t>51.企业名称：【浙江平阳农村商业银行股份有限公司】</w:t>
              <w:br/>
              <w:t>住所：【浙江省平阳县鳌江镇车站大道999号】</w:t>
              <w:br/>
              <w:t>客户服务热线：【0571-96596】</w:t>
              <w:br/>
              <w:t>52.企业名称：【浙江建德农村商业银行股份有限公司】</w:t>
              <w:br/>
              <w:t>住所：【浙江省建德市新安江街道江滨中路176号】</w:t>
              <w:br/>
              <w:t>客户服务热线：【0571-96596】</w:t>
              <w:br/>
              <w:t>53.企业名称：【浙江德清农村商业银行股份有限公司】</w:t>
              <w:br/>
              <w:t>住所：【浙江省德清县武康街道沈长圩街50号】</w:t>
              <w:br/>
              <w:t>客户服务热线：【0571-96596】</w:t>
              <w:br/>
              <w:t>54.企业名称：【宁波慈溪农村商业银行股份有限公司】</w:t>
              <w:br/>
              <w:t>住所：【浙江省慈溪市浒山街道南城路 25 号、59 号 5-6 楼】</w:t>
              <w:br/>
              <w:t>客户服务热线：【0571-96596】</w:t>
              <w:br/>
              <w:t>55.企业名称：【浙江新昌农村商业银行股份有限公司】</w:t>
              <w:br/>
              <w:t>住所：【浙江省新昌县七星街道七星路18号】</w:t>
              <w:br/>
              <w:t>客户服务热线：【0571-96596】</w:t>
              <w:br/>
              <w:t>56.企业名称：【杭州联合农村商业银行股份有限公司】</w:t>
              <w:br/>
              <w:t>住所：【浙江省杭州市上城区建国中路99号】</w:t>
              <w:br/>
              <w:t>客户服务热线：【0571-96596】</w:t>
              <w:br/>
              <w:t>57.企业名称：【浙江临安农村商业银行股份有限公司】</w:t>
              <w:br/>
              <w:t>住所：【浙江省杭州市临安区锦城街道城中街442号】</w:t>
              <w:br/>
              <w:t>客户服务热线：【0571-96596】</w:t>
              <w:br/>
              <w:t>58.企业名称：【浙江杭州余杭农村商业银行股份有限公司】</w:t>
              <w:br/>
              <w:t>住所：【浙江省杭州市临平区南苑街道南大街72号】</w:t>
              <w:br/>
              <w:t>客户服务热线：【0571-96596】</w:t>
              <w:br/>
              <w:t>59.企业名称：【浙江富阳农村商业银行股份有限公司】</w:t>
              <w:br/>
              <w:t>住所：【浙江省杭州市富阳区鹿山街道依江路501号第1幢】</w:t>
              <w:br/>
              <w:t>客户服务热线：【0571-96596】</w:t>
              <w:br/>
              <w:t>60.企业名称：【浙江桐庐农村商业银行股份有限公司】</w:t>
              <w:br/>
              <w:t>住所：【浙江省杭州市桐庐县城迎春南路278号】</w:t>
              <w:br/>
              <w:t>客户服务热线：【0571-96596】</w:t>
              <w:br/>
              <w:t>61.企业名称：【浙江淳安农村商业银行股份有限公司】</w:t>
              <w:br/>
              <w:t>住所：【浙江省杭州市淳安县千岛湖镇环湖北路369号】</w:t>
              <w:br/>
              <w:t>客户服务热线：【0571-96596】</w:t>
              <w:br/>
              <w:t>62.企业名称：【浙江萧山农村商业银行股份有限公司】</w:t>
              <w:br/>
              <w:t>住所：【浙江省杭州市萧山区人民路258号】</w:t>
              <w:br/>
              <w:t>客户服务热线：【0571-96596】</w:t>
              <w:br/>
              <w:t>63.企业名称：【浙江武义农村商业银行股份有限公司】</w:t>
              <w:br/>
              <w:t>住所：【浙江省武义县城武阳中路37号】</w:t>
              <w:br/>
              <w:t>客户服务热线：【0571-96596】</w:t>
              <w:br/>
              <w:t>64.企业名称：【浙江江山农村商业银行股份有限公司】</w:t>
              <w:br/>
              <w:t>住所：【浙江省江山市双塔街道江滨路188号】</w:t>
              <w:br/>
              <w:t>客户服务热线：【0571-96596】</w:t>
              <w:br/>
              <w:t>65.企业名称：【浙江浦江农村商业银行股份有限公司】</w:t>
              <w:br/>
              <w:t>住所：【浙江省浦江县人民东路90号】</w:t>
              <w:br/>
              <w:t>客户服务热线：【0571-96596】</w:t>
              <w:br/>
              <w:t>66.企业名称：【浙江海宁农村商业银行股份有限公司】</w:t>
              <w:br/>
              <w:t>住所：【浙江省海宁市海洲街道钱江西路278号】</w:t>
              <w:br/>
              <w:t>客户服务热线：【0571-96596】</w:t>
              <w:br/>
              <w:t>67.企业名称：【浙江海盐农村商业银行股份有限公司】</w:t>
              <w:br/>
              <w:t>住所：【浙江省海盐县武原街道枣园西路176号】</w:t>
              <w:br/>
              <w:t>客户服务热线：【0571-96596】</w:t>
              <w:br/>
              <w:t>68.企业名称：【浙江文成农村商业银行股份有限公司】</w:t>
              <w:br/>
              <w:t>住所：【浙江省温州市文成县大峃镇伯温路6号】</w:t>
              <w:br/>
              <w:t>客户服务热线：【0571-96596】</w:t>
              <w:br/>
              <w:t>69.企业名称：【浙江永嘉农村商业银行股份有限公司】</w:t>
              <w:br/>
              <w:t>住所：【浙江省温州市永嘉县瓯北街道阳光大道3918号101室、201室、301室、401室、501室、1101室、1801室、2201室】</w:t>
              <w:br/>
              <w:t>客户服务热线：【0571-96596】</w:t>
              <w:br/>
              <w:t>70.企业名称：【浙江泰顺农村商业银行股份有限公司】</w:t>
              <w:br/>
              <w:t>住所：【浙江省温州市泰顺县罗阳镇新城区文祥大道181号】</w:t>
              <w:br/>
              <w:t>客户服务热线：【0571-96596】</w:t>
              <w:br/>
              <w:t>71.企业名称：【浙江温州瓯海农村商业银行股份有限公司】</w:t>
              <w:br/>
              <w:t>住所：【浙江省温州市瓯海区瓯海大道989号】</w:t>
              <w:br/>
              <w:t>客户服务热线：【0571-96596】</w:t>
              <w:br/>
              <w:t>72.企业名称：【浙江温州鹿城农村商业银行股份有限公司】</w:t>
              <w:br/>
              <w:t>住所：【浙江省温州市鹿城区会展路1500号富银大厦】</w:t>
              <w:br/>
              <w:t>客户服务热线：【0571-96596】</w:t>
              <w:br/>
              <w:t>73.企业名称：【浙江温州龙湾农村商业银行股份有限公司】</w:t>
              <w:br/>
              <w:t>住所：【浙江省温州市龙湾区永中街道永宁西路555号】</w:t>
              <w:br/>
              <w:t>客户服务热线：【0571-96596】</w:t>
              <w:br/>
              <w:t>74.企业名称：【湖州吴兴农村商业银行股份有限公司】</w:t>
              <w:br/>
              <w:t>住所：【浙江省湖州市东街55号】</w:t>
              <w:br/>
              <w:t>客户服务热线：【0571-96596】</w:t>
              <w:br/>
              <w:t>75.企业名称：【浙江南浔农村商业银行股份有限公司】</w:t>
              <w:br/>
              <w:t>住所：【浙江省湖州市南浔区南浔镇人瑞路1188号】</w:t>
              <w:br/>
              <w:t>客户服务热线：【0571-96596】</w:t>
              <w:br/>
              <w:t>76.企业名称：【浙江安吉农村商业银行股份有限公司】</w:t>
              <w:br/>
              <w:t>住所：【浙江省湖州市安吉县昌硕街道昌硕东路1号(自主申报)】</w:t>
              <w:br/>
              <w:t>客户服务热线：【0571-96596】</w:t>
              <w:br/>
              <w:t>77.企业名称：【浙江长兴农村商业银行股份有限公司】</w:t>
              <w:br/>
              <w:t>住所：【浙江省湖州市长兴县太湖街道明珠路1298号】</w:t>
              <w:br/>
              <w:t>客户服务热线：【0571-96596】</w:t>
              <w:br/>
              <w:t>78.企业名称：【浙江玉环农村商业银行股份有限公司】</w:t>
              <w:br/>
              <w:t>住所：【浙江省玉环市玉城街道珠港大道26号】</w:t>
              <w:br/>
              <w:t>客户服务热线：【0571-96596】</w:t>
              <w:br/>
              <w:t>79.企业名称：【浙江上虞农村商业银行股份有限公司】</w:t>
              <w:br/>
              <w:t>住所：【浙江省百官街道德盛路55号】</w:t>
              <w:br/>
              <w:t>客户服务热线：【0571-96596】</w:t>
              <w:br/>
              <w:t>80.企业名称：【浙江绍兴恒信农村商业银行股份有限公司】</w:t>
              <w:br/>
              <w:t>住所：【浙江省绍兴市中兴中路159号】</w:t>
              <w:br/>
              <w:t>客户服务热线：【0571-96596】</w:t>
              <w:br/>
              <w:t>81.企业名称：【浙江绍兴瑞丰农村商业银行股份有限公司】</w:t>
              <w:br/>
              <w:t>住所：【浙江省绍兴市柯桥区柯桥笛扬路1363号】</w:t>
              <w:br/>
              <w:t>客户服务热线：【0571-96596】</w:t>
              <w:br/>
              <w:t>82.企业名称：【浙江舟山定海海洋农村商业银行股份有限公司】</w:t>
              <w:br/>
              <w:t>住所：【浙江省舟山市定海区环城东路81号】</w:t>
              <w:br/>
              <w:t>客户服务热线：【0571-96596】</w:t>
              <w:br/>
              <w:t>83.企业名称：【浙江岱山农村商业银行股份有限公司】</w:t>
              <w:br/>
              <w:t>住所：【浙江省舟山市岱山县高亭镇衢山大道1009号(自主申报)】</w:t>
              <w:br/>
              <w:t>客户服务热线：【0571-96596】</w:t>
              <w:br/>
              <w:t>84.企业名称：【浙江舟山普陀农村商业银行股份有限公司】</w:t>
              <w:br/>
              <w:t>住所：【浙江省舟山市普陀区东港街道麒麟街225号（自贸试验区内）】</w:t>
              <w:br/>
              <w:t>客户服务热线：【0571-96596】</w:t>
              <w:br/>
              <w:t>85.企业名称：【浙江苍南农村商业银行股份有限公司】</w:t>
              <w:br/>
              <w:t>住所：【浙江省苍南县灵溪镇人民大道425号】</w:t>
              <w:br/>
              <w:t>客户服务热线：【0571-96596】</w:t>
              <w:br/>
              <w:t>86.企业名称：【浙江常山农村商业银行股份有限公司】</w:t>
              <w:br/>
              <w:t>住所：【浙江省衢州市常山县天马街道人民路125号】</w:t>
              <w:br/>
              <w:t>客户服务热线：【0571-96596】</w:t>
              <w:br/>
              <w:t>87.企业名称：【浙江开化农村商业银行股份有限公司】</w:t>
              <w:br/>
              <w:t>住所：【浙江省衢州市开化县华埠镇永吉二路8号】</w:t>
              <w:br/>
              <w:t>客户服务热线：【0571-96596】</w:t>
              <w:br/>
              <w:t>88.企业名称：【浙江衢州衢江农村商业银行股份有限公司】</w:t>
              <w:br/>
              <w:t>住所：【浙江省衢州市衢江区樟潭街道信安东路37号】</w:t>
              <w:br/>
              <w:t>客户服务热线：【0571-96596】</w:t>
              <w:br/>
              <w:t>89.企业名称：【浙江龙游农村商业银行股份有限公司】</w:t>
              <w:br/>
              <w:t>住所：【浙江省衢州市龙游县龙洲街道荣昌大道683、685、687号】</w:t>
              <w:br/>
              <w:t>客户服务热线：【0571-96596】</w:t>
              <w:br/>
              <w:t>90.企业名称：【浙江诸暨农村商业银行股份有限公司】</w:t>
              <w:br/>
              <w:t>住所：【浙江省诸暨市暨阳街道大桥东路2号】</w:t>
              <w:br/>
              <w:t>客户服务热线：【0571-96596】</w:t>
              <w:br/>
              <w:t>91.企业名称：【浙江金华成泰农村商业银行股份有限公司】</w:t>
              <w:br/>
              <w:t>住所：【浙江省金华市八一南街123号】</w:t>
              <w:br/>
              <w:t>客户服务热线：【0571-96596】</w:t>
              <w:br/>
              <w:t>92.企业名称：【浙江永康农村商业银行股份有限公司】</w:t>
              <w:br/>
              <w:t>住所：【浙江省金华市永康市九铃东路3259号】</w:t>
              <w:br/>
              <w:t>客户服务热线：【0571-96596】</w:t>
              <w:br/>
              <w:t>93.企业名称：【浙江青田农村商业银行股份有限公司】</w:t>
              <w:br/>
              <w:t>住所：【浙江省青田县鹤城街道鹤城东路180号】</w:t>
              <w:br/>
              <w:t>客户服务热线：【0571-96596】</w:t>
              <w:br/>
              <w:t>94.企业名称：【浙江瑞安农村商业银行股份有限公司】</w:t>
              <w:br/>
              <w:t>住所：【瑞安市安阳街道万松东路148号】</w:t>
              <w:br/>
              <w:t>客户服务热线：【0571-96596】</w:t>
              <w:br/>
              <w:t>95.企业名称：【江苏响水农村商业银行股份有限公司】</w:t>
              <w:br/>
              <w:t>住所：【江苏省盐城市响水县双园路84号】</w:t>
              <w:br/>
              <w:t>客户服务热线：【96008】</w:t>
              <w:br/>
              <w:t xml:space="preserve">    </w:t>
              <w:br/>
              <w:t>【C】类份额（份额代码【AF265799C】）合作销售机构信息：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【D】类份额（份额代码【AF265799D】）合作销售机构信息：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【G】类份额（份额代码【AF265799G】）合作销售机构信息：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【M】类份额（份额代码【AF265799M】）合作销售机构信息：</w:t>
              <w:br/>
              <w:t>1.企业名称：【江苏句容农村商业银行股份有限公司】</w:t>
              <w:br/>
              <w:t>住所：【江苏省句容市福地东路66号】</w:t>
              <w:br/>
              <w:t>客户服务热线：【0511-96008】</w:t>
              <w:br/>
              <w:t>2.企业名称：【江苏大丰农村商业银行股份有限公司】</w:t>
              <w:br/>
              <w:t>住所：【江苏省盐城市大丰区常新中路9号】</w:t>
              <w:br/>
              <w:t>客户服务热线：【0515-96008】</w:t>
              <w:br/>
              <w:t>3.企业名称：【江苏阜宁农村商业银行股份有限公司】</w:t>
              <w:br/>
              <w:t>住所：【江苏省阜宁县城南新区上海路459号】</w:t>
              <w:br/>
              <w:t>客户服务热线：【0515-96008】</w:t>
              <w:br/>
              <w:t>4.企业名称：【江苏民丰农村商业银行股份有限公司】</w:t>
              <w:br/>
              <w:t>住所：【江苏省宿迁市宿城区高宝湖路1号】</w:t>
              <w:br/>
              <w:t>客户服务热线：【96008】</w:t>
              <w:br/>
              <w:t xml:space="preserve">    </w:t>
              <w:br/>
              <w:t>【N】类份额（份额代码【AF265799N】）合作销售机构信息：</w:t>
              <w:br/>
              <w:t>1.企业名称：【江苏高淳农村商业银行股份有限公司】</w:t>
              <w:br/>
              <w:t>住所：【江苏省南京市高淳区宝塔路123号】</w:t>
              <w:br/>
              <w:t>客户服务热线：【025-96008】</w:t>
              <w:br/>
              <w:t>2.企业名称：【内蒙古农村商业银行股份有限公司】</w:t>
              <w:br/>
              <w:t>住所：【内蒙古自治区呼和浩特市赛罕区陶利西街1号】</w:t>
              <w:br/>
              <w:t>客户服务热线：【0471-96688】</w:t>
              <w:br/>
              <w:t>3.企业名称：【江苏建湖农村商业银行股份有限公司】</w:t>
              <w:br/>
              <w:t>住所：【江苏省建湖县湖南中路958号】</w:t>
              <w:br/>
              <w:t>客户服务热线：【0515-96008】</w:t>
              <w:br/>
              <w:t>4.企业名称：【江苏泰州农村商业银行股份有限公司】</w:t>
              <w:br/>
              <w:t>住所：【江苏省泰州市海陵区西仓路36号】</w:t>
              <w:br/>
              <w:t>客户服务热线：【0523-96008】</w:t>
              <w:br/>
              <w:t>5.企业名称：【鄂尔多斯银行股份有限公司】</w:t>
              <w:br/>
              <w:t>住所：【内蒙古自治区鄂尔多斯市东胜区乌审西街6号】</w:t>
              <w:br/>
              <w:t>客户服务热线：【4000096622】</w:t>
              <w:br/>
              <w:t>6.企业名称：【江苏淮安农村商业银行股份有限公司】</w:t>
              <w:br/>
              <w:t>住所：【江苏省淮安市清江浦区水渡口大道20号金融中心B1号楼】</w:t>
              <w:br/>
              <w:t>客户服务热线：【96008】</w:t>
              <w:br/>
              <w:t xml:space="preserve">    </w:t>
              <w:br/>
              <w:t>【P】类份额（份额代码【AF265799P】）合作销售机构信息：</w:t>
              <w:br/>
              <w:t>1.企业名称：【江苏涟水农村商业银行股份有限公司】</w:t>
              <w:br/>
              <w:t>住所：【淮安市涟水县涟城镇涟州路５号】</w:t>
              <w:br/>
              <w:t>客户服务热线：【0517-96008】</w:t>
              <w:br/>
              <w:t xml:space="preserve">    </w:t>
              <w:br/>
              <w:t>【S】类份额（份额代码【AF265799S】）合作销售机构信息：</w:t>
              <w:br/>
              <w:t>1.企业名称：【中信银行股份有限公司】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后续合作销售机构如有新增、减少和变更，信银理财将按照本说明书约定的方式告知投资者。</w:t>
            </w:r>
            <w:r>
              <w:rPr>
                <w:rFonts w:ascii="楷体_GB2312" w:cs="楷体_GB2312" w:eastAsia="楷体_GB2312"/>
                <w:sz w:val="20"/>
                <w:szCs w:val="20"/>
                <w:highlight w:val="none"/>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销售机构主要职责</w:t>
            </w:r>
          </w:p>
        </w:tc>
        <w:tc>
          <w:tcPr>
            <w:tcW w:type="pct" w:w="3709"/>
            <w:vAlign w:val="center"/>
          </w:tcPr>
          <w:p w14:paraId="0CCB71FB">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理财产品认</w:t>
            </w:r>
            <w:r>
              <w:rPr>
                <w:rFonts w:ascii="楷体_GB2312" w:cs="楷体_GB2312" w:eastAsia="楷体_GB2312" w:hint="eastAsia"/>
                <w:color w:themeColor="text1" w:val="000000"/>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r>
              <w:rPr>
                <w:rFonts w:ascii="楷体_GB2312" w:cs="楷体_GB2312" w:eastAsia="楷体_GB2312"/>
                <w:sz w:val="20"/>
                <w:szCs w:val="20"/>
                <w:highlight w:val="none"/>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托管人职责</w:t>
            </w:r>
          </w:p>
        </w:tc>
        <w:tc>
          <w:tcPr>
            <w:tcW w:type="pct" w:w="3709"/>
            <w:vAlign w:val="center"/>
          </w:tcPr>
          <w:p w14:paraId="361E7CE9">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highlight w:val="none"/>
                <w14:textFill>
                  <w14:solidFill>
                    <w14:schemeClr w14:val="tx1"/>
                  </w14:solidFill>
                </w14:textFill>
              </w:rPr>
              <w:t>资产净值</w:t>
            </w:r>
            <w:r>
              <w:rPr>
                <w:rFonts w:ascii="楷体_GB2312" w:cs="楷体_GB2312" w:eastAsia="楷体_GB2312" w:hint="eastAsia"/>
                <w:color w:themeColor="text1" w:val="000000"/>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highlight w:val="none"/>
                <w14:textFill>
                  <w14:solidFill>
                    <w14:schemeClr w14:val="tx1"/>
                  </w14:solidFill>
                </w14:textFill>
              </w:rPr>
              <w:t>5</w:t>
            </w:r>
            <w:r>
              <w:rPr>
                <w:rFonts w:ascii="楷体_GB2312" w:cs="楷体_GB2312" w:eastAsia="楷体_GB2312" w:hint="eastAsia"/>
                <w:color w:themeColor="text1" w:val="000000"/>
                <w:sz w:val="20"/>
                <w:szCs w:val="20"/>
                <w:highlight w:val="none"/>
                <w14:textFill>
                  <w14:solidFill>
                    <w14:schemeClr w14:val="tx1"/>
                  </w14:solidFill>
                </w14:textFill>
              </w:rPr>
              <w:t>年以上；</w:t>
            </w:r>
          </w:p>
          <w:p w14:paraId="65054DC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理财托管</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382C2B1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5031BE54">
            <w:pPr>
              <w:pStyle w:val="20"/>
              <w:spacing w:line="300" w:lineRule="exact"/>
              <w:ind w:firstLine="0"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投资者认购或申购（如有）理财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highlight w:val="none"/>
                <w14:textFill>
                  <w14:solidFill>
                    <w14:schemeClr w14:val="tx1"/>
                  </w14:solidFill>
                </w14:textFill>
              </w:rPr>
              <w:t>结算</w:t>
            </w:r>
            <w:r>
              <w:rPr>
                <w:rFonts w:ascii="楷体_GB2312" w:cs="楷体_GB2312" w:eastAsia="楷体_GB2312" w:hint="eastAsia"/>
                <w:color w:themeColor="text1" w:val="000000"/>
                <w:sz w:val="20"/>
                <w:szCs w:val="20"/>
                <w:highlight w:val="none"/>
                <w14:textFill>
                  <w14:solidFill>
                    <w14:schemeClr w14:val="tx1"/>
                  </w14:solidFill>
                </w14:textFill>
              </w:rPr>
              <w:t>账户。在本理财产品存续期间，除非经理财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理财账户</w:t>
            </w:r>
          </w:p>
        </w:tc>
        <w:tc>
          <w:tcPr>
            <w:tcW w:type="pct" w:w="3709"/>
            <w:vAlign w:val="center"/>
          </w:tcPr>
          <w:p w14:paraId="28841A80">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理财交易账户</w:t>
            </w:r>
          </w:p>
        </w:tc>
        <w:tc>
          <w:tcPr>
            <w:tcW w:type="pct" w:w="3709"/>
            <w:vAlign w:val="center"/>
          </w:tcPr>
          <w:p w14:paraId="32D4C033">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highlight w:val="none"/>
                <w14:textFill>
                  <w14:solidFill>
                    <w14:schemeClr w14:val="tx1"/>
                  </w14:solidFill>
                </w14:textFill>
              </w:rPr>
              <w:t>。具体</w:t>
            </w:r>
            <w:r>
              <w:rPr>
                <w:rFonts w:ascii="楷体_GB2312" w:cs="楷体_GB2312" w:eastAsia="楷体_GB2312" w:hint="eastAsia"/>
                <w:color w:themeColor="text1" w:val="000000"/>
                <w:sz w:val="20"/>
                <w:szCs w:val="20"/>
                <w:highlight w:val="none"/>
                <w14:textFill>
                  <w14:solidFill>
                    <w14:schemeClr w14:val="tx1"/>
                  </w14:solidFill>
                </w14:textFill>
              </w:rPr>
              <w:t>开户</w:t>
            </w:r>
            <w:r>
              <w:rPr>
                <w:rFonts w:ascii="楷体_GB2312" w:cs="楷体_GB2312" w:eastAsia="楷体_GB2312"/>
                <w:color w:themeColor="text1" w:val="000000"/>
                <w:sz w:val="20"/>
                <w:szCs w:val="20"/>
                <w:highlight w:val="none"/>
                <w14:textFill>
                  <w14:solidFill>
                    <w14:schemeClr w14:val="tx1"/>
                  </w14:solidFill>
                </w14:textFill>
              </w:rPr>
              <w:t>流程应</w:t>
            </w:r>
            <w:r>
              <w:rPr>
                <w:rFonts w:ascii="楷体_GB2312" w:cs="楷体_GB2312" w:eastAsia="楷体_GB2312" w:hint="eastAsia"/>
                <w:color w:themeColor="text1" w:val="000000"/>
                <w:sz w:val="20"/>
                <w:szCs w:val="20"/>
                <w:highlight w:val="none"/>
                <w14:textFill>
                  <w14:solidFill>
                    <w14:schemeClr w14:val="tx1"/>
                  </w14:solidFill>
                </w14:textFill>
              </w:rPr>
              <w:t>遵守</w:t>
            </w:r>
            <w:r>
              <w:rPr>
                <w:rFonts w:ascii="楷体_GB2312" w:cs="楷体_GB2312" w:eastAsia="楷体_GB2312"/>
                <w:color w:themeColor="text1" w:val="000000"/>
                <w:sz w:val="20"/>
                <w:szCs w:val="20"/>
                <w:highlight w:val="none"/>
                <w14:textFill>
                  <w14:solidFill>
                    <w14:schemeClr w14:val="tx1"/>
                  </w14:solidFill>
                </w14:textFill>
              </w:rPr>
              <w:t>信银理财或代销机构</w:t>
            </w:r>
            <w:r>
              <w:rPr>
                <w:rFonts w:ascii="楷体_GB2312" w:cs="楷体_GB2312" w:eastAsia="楷体_GB2312" w:hint="eastAsia"/>
                <w:color w:themeColor="text1" w:val="000000"/>
                <w:sz w:val="20"/>
                <w:szCs w:val="20"/>
                <w:highlight w:val="none"/>
                <w14:textFill>
                  <w14:solidFill>
                    <w14:schemeClr w14:val="tx1"/>
                  </w14:solidFill>
                </w14:textFill>
              </w:rPr>
              <w:t>网点</w:t>
            </w:r>
            <w:r>
              <w:rPr>
                <w:rFonts w:ascii="楷体_GB2312" w:cs="楷体_GB2312" w:eastAsia="楷体_GB2312"/>
                <w:color w:themeColor="text1" w:val="000000"/>
                <w:sz w:val="20"/>
                <w:szCs w:val="20"/>
                <w:highlight w:val="none"/>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信息披露</w:t>
            </w:r>
          </w:p>
        </w:tc>
        <w:tc>
          <w:tcPr>
            <w:tcW w:type="pct" w:w="3709"/>
            <w:vAlign w:val="center"/>
          </w:tcPr>
          <w:p w14:paraId="27FDFA24">
            <w:pPr>
              <w:pStyle w:val="20"/>
              <w:numPr>
                <w:ilvl w:val="3"/>
                <w:numId w:val="5"/>
              </w:numPr>
              <w:spacing w:line="300" w:lineRule="exact"/>
              <w:ind w:firstLineChars="0" w:hanging="425" w:left="427"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将通过【</w:t>
            </w:r>
            <w:r>
              <w:rPr>
                <w:rFonts w:ascii="楷体_GB2312" w:cs="楷体_GB2312" w:eastAsia="楷体_GB2312" w:hint="eastAsia"/>
                <w:color w:themeColor="text1" w:val="000000"/>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cs="楷体_GB2312" w:eastAsia="楷体_GB2312"/>
                <w:sz w:val="20"/>
                <w:szCs w:val="20"/>
                <w:highlight w:val="none"/>
              </w:rPr>
              <w:t>http://www.citic-wealth.com</w:t>
            </w:r>
            <w:r>
              <w:rPr>
                <w:rStyle w:val="12"/>
                <w:rFonts w:ascii="楷体_GB2312" w:cs="楷体_GB2312" w:eastAsia="楷体_GB2312"/>
                <w:sz w:val="20"/>
                <w:szCs w:val="20"/>
                <w:highlight w:val="none"/>
              </w:rPr>
              <w:fldChar w:fldCharType="end"/>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披露</w:t>
            </w:r>
            <w:r>
              <w:rPr>
                <w:rFonts w:ascii="楷体_GB2312" w:cs="楷体_GB2312" w:eastAsia="楷体_GB2312"/>
                <w:color w:themeColor="text1" w:val="000000"/>
                <w:sz w:val="20"/>
                <w:szCs w:val="20"/>
                <w:highlight w:val="none"/>
                <w14:textFill>
                  <w14:solidFill>
                    <w14:schemeClr w14:val="tx1"/>
                  </w14:solidFill>
                </w14:textFill>
              </w:rPr>
              <w:t>本理财产品的各类信息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并按照国家金融监督管理总局</w:t>
            </w:r>
            <w:r>
              <w:rPr>
                <w:rFonts w:ascii="楷体_GB2312" w:cs="楷体_GB2312" w:eastAsia="楷体_GB2312"/>
                <w:color w:themeColor="text1" w:val="000000"/>
                <w:sz w:val="20"/>
                <w:szCs w:val="20"/>
                <w:highlight w:val="none"/>
                <w14:textFill>
                  <w14:solidFill>
                    <w14:schemeClr w14:val="tx1"/>
                  </w14:solidFill>
                </w14:textFill>
              </w:rPr>
              <w:t>规定</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在【中国理财网（www.chinawealth.com.cn）】披露本理财产品的相关信息</w:t>
            </w:r>
            <w:r>
              <w:rPr>
                <w:rFonts w:ascii="楷体_GB2312" w:cs="楷体_GB2312" w:eastAsia="楷体_GB2312"/>
                <w:color w:themeColor="text1" w:val="000000"/>
                <w:sz w:val="20"/>
                <w:szCs w:val="20"/>
                <w:highlight w:val="none"/>
                <w14:textFill>
                  <w14:solidFill>
                    <w14:schemeClr w14:val="tx1"/>
                  </w14:solidFill>
                </w14:textFill>
              </w:rPr>
              <w:t>。</w:t>
            </w:r>
          </w:p>
          <w:p w14:paraId="5811A9B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本理财产品存续期间内，因</w:t>
            </w:r>
            <w:r>
              <w:rPr>
                <w:rFonts w:ascii="楷体_GB2312" w:cs="楷体_GB2312" w:eastAsia="楷体_GB2312"/>
                <w:color w:themeColor="text1" w:val="000000"/>
                <w:sz w:val="20"/>
                <w:szCs w:val="20"/>
                <w:highlight w:val="none"/>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在不损害投资者</w:t>
            </w:r>
            <w:r>
              <w:rPr>
                <w:rFonts w:ascii="楷体_GB2312" w:cs="楷体_GB2312" w:eastAsia="楷体_GB2312" w:hint="eastAsia"/>
                <w:color w:themeColor="text1" w:val="000000"/>
                <w:sz w:val="20"/>
                <w:szCs w:val="20"/>
                <w:highlight w:val="none"/>
                <w14:textFill>
                  <w14:solidFill>
                    <w14:schemeClr w14:val="tx1"/>
                  </w14:solidFill>
                </w14:textFill>
              </w:rPr>
              <w:t>利益</w:t>
            </w:r>
            <w:r>
              <w:rPr>
                <w:rFonts w:ascii="楷体_GB2312" w:cs="楷体_GB2312" w:eastAsia="楷体_GB2312"/>
                <w:color w:themeColor="text1" w:val="000000"/>
                <w:sz w:val="20"/>
                <w:szCs w:val="20"/>
                <w:highlight w:val="none"/>
                <w14:textFill>
                  <w14:solidFill>
                    <w14:schemeClr w14:val="tx1"/>
                  </w14:solidFill>
                </w14:textFill>
              </w:rPr>
              <w:t>的前提下</w:t>
            </w:r>
            <w:r>
              <w:rPr>
                <w:rFonts w:ascii="楷体_GB2312" w:cs="楷体_GB2312" w:eastAsia="楷体_GB2312" w:hint="eastAsia"/>
                <w:color w:themeColor="text1" w:val="000000"/>
                <w:sz w:val="20"/>
                <w:szCs w:val="20"/>
                <w:highlight w:val="none"/>
                <w14:textFill>
                  <w14:solidFill>
                    <w14:schemeClr w14:val="tx1"/>
                  </w14:solidFill>
                </w14:textFill>
              </w:rPr>
              <w:t>，信银理财有权提前【2】个工作日向投资者发出</w:t>
            </w:r>
            <w:r>
              <w:rPr>
                <w:rFonts w:ascii="楷体_GB2312" w:cs="楷体_GB2312" w:eastAsia="楷体_GB2312"/>
                <w:color w:themeColor="text1" w:val="000000"/>
                <w:sz w:val="20"/>
                <w:szCs w:val="20"/>
                <w:highlight w:val="none"/>
                <w14:textFill>
                  <w14:solidFill>
                    <w14:schemeClr w14:val="tx1"/>
                  </w14:solidFill>
                </w14:textFill>
              </w:rPr>
              <w:t>通知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符合监管规定的方式</w:t>
            </w:r>
            <w:r>
              <w:rPr>
                <w:rFonts w:ascii="楷体_GB2312" w:cs="楷体_GB2312" w:eastAsia="楷体_GB2312" w:hint="eastAsia"/>
                <w:color w:themeColor="text1" w:val="000000"/>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w:t>
            </w:r>
            <w:r>
              <w:rPr>
                <w:rFonts w:ascii="楷体_GB2312" w:cs="楷体_GB2312" w:eastAsia="楷体_GB2312" w:hint="eastAsia"/>
                <w:color w:themeColor="text1" w:val="000000"/>
                <w:sz w:val="20"/>
                <w:szCs w:val="20"/>
                <w:highlight w:val="none"/>
                <w14:textFill>
                  <w14:solidFill>
                    <w14:schemeClr w14:val="tx1"/>
                  </w14:solidFill>
                </w14:textFill>
              </w:rPr>
              <w:t>内向</w:t>
            </w:r>
            <w:r>
              <w:rPr>
                <w:rFonts w:ascii="楷体_GB2312" w:cs="楷体_GB2312" w:eastAsia="楷体_GB2312"/>
                <w:color w:themeColor="text1" w:val="000000"/>
                <w:sz w:val="20"/>
                <w:szCs w:val="20"/>
                <w:highlight w:val="none"/>
                <w14:textFill>
                  <w14:solidFill>
                    <w14:schemeClr w14:val="tx1"/>
                  </w14:solidFill>
                </w14:textFill>
              </w:rPr>
              <w:t>投资者发布信息。</w:t>
            </w:r>
          </w:p>
          <w:p w14:paraId="3A94158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决定提前</w:t>
            </w:r>
            <w:r>
              <w:rPr>
                <w:rFonts w:ascii="楷体_GB2312" w:cs="楷体_GB2312" w:eastAsia="楷体_GB2312" w:hint="eastAsia"/>
                <w:color w:themeColor="text1" w:val="000000"/>
                <w:sz w:val="20"/>
                <w:szCs w:val="20"/>
                <w:highlight w:val="none"/>
                <w14:textFill>
                  <w14:solidFill>
                    <w14:schemeClr w14:val="tx1"/>
                  </w14:solidFill>
                </w14:textFill>
              </w:rPr>
              <w:t>结束募集期或</w:t>
            </w:r>
            <w:r>
              <w:rPr>
                <w:rFonts w:ascii="楷体_GB2312" w:cs="楷体_GB2312" w:eastAsia="楷体_GB2312"/>
                <w:color w:themeColor="text1" w:val="000000"/>
                <w:sz w:val="20"/>
                <w:szCs w:val="20"/>
                <w:highlight w:val="none"/>
                <w14:textFill>
                  <w14:solidFill>
                    <w14:schemeClr w14:val="tx1"/>
                  </w14:solidFill>
                </w14:textFill>
              </w:rPr>
              <w:t>延长募集期</w:t>
            </w:r>
            <w:r>
              <w:rPr>
                <w:rFonts w:ascii="楷体_GB2312" w:cs="楷体_GB2312" w:eastAsia="楷体_GB2312" w:hint="eastAsia"/>
                <w:color w:themeColor="text1" w:val="000000"/>
                <w:sz w:val="20"/>
                <w:szCs w:val="20"/>
                <w:highlight w:val="none"/>
                <w14:textFill>
                  <w14:solidFill>
                    <w14:schemeClr w14:val="tx1"/>
                  </w14:solidFill>
                </w14:textFill>
              </w:rPr>
              <w:t>的，将在</w:t>
            </w:r>
            <w:r>
              <w:rPr>
                <w:rFonts w:ascii="楷体_GB2312" w:cs="楷体_GB2312" w:eastAsia="楷体_GB2312"/>
                <w:color w:themeColor="text1" w:val="000000"/>
                <w:sz w:val="20"/>
                <w:szCs w:val="20"/>
                <w:highlight w:val="none"/>
                <w14:textFill>
                  <w14:solidFill>
                    <w14:schemeClr w14:val="tx1"/>
                  </w14:solidFill>
                </w14:textFill>
              </w:rPr>
              <w:t>决定调整募集期后的【2】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工作日内向</w:t>
            </w:r>
            <w:r>
              <w:rPr>
                <w:rFonts w:ascii="楷体_GB2312" w:cs="楷体_GB2312" w:eastAsia="楷体_GB2312" w:hint="eastAsia"/>
                <w:color w:themeColor="text1" w:val="000000"/>
                <w:sz w:val="20"/>
                <w:szCs w:val="20"/>
                <w:highlight w:val="none"/>
                <w14:textFill>
                  <w14:solidFill>
                    <w14:schemeClr w14:val="tx1"/>
                  </w14:solidFill>
                </w14:textFill>
              </w:rPr>
              <w:t>投资者发布</w:t>
            </w:r>
            <w:r>
              <w:rPr>
                <w:rFonts w:ascii="楷体_GB2312" w:cs="楷体_GB2312" w:eastAsia="楷体_GB2312"/>
                <w:color w:themeColor="text1" w:val="000000"/>
                <w:sz w:val="20"/>
                <w:szCs w:val="20"/>
                <w:highlight w:val="none"/>
                <w14:textFill>
                  <w14:solidFill>
                    <w14:schemeClr w14:val="tx1"/>
                  </w14:solidFill>
                </w14:textFill>
              </w:rPr>
              <w:t>相关信息。</w:t>
            </w:r>
          </w:p>
          <w:p w14:paraId="7965FB0F">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在本产品成立后【</w:t>
            </w: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w:t>
            </w:r>
            <w:r>
              <w:rPr>
                <w:rFonts w:ascii="楷体_GB2312" w:cs="楷体_GB2312" w:eastAsia="楷体_GB2312" w:hint="eastAsia"/>
                <w:color w:themeColor="text1" w:val="000000"/>
                <w:sz w:val="20"/>
                <w:szCs w:val="20"/>
                <w:highlight w:val="none"/>
                <w14:textFill>
                  <w14:solidFill>
                    <w14:schemeClr w14:val="tx1"/>
                  </w14:solidFill>
                </w14:textFill>
              </w:rPr>
              <w:t>日</w:t>
            </w:r>
            <w:r>
              <w:rPr>
                <w:rFonts w:ascii="楷体_GB2312" w:cs="楷体_GB2312" w:eastAsia="楷体_GB2312"/>
                <w:color w:themeColor="text1" w:val="000000"/>
                <w:sz w:val="20"/>
                <w:szCs w:val="20"/>
                <w:highlight w:val="none"/>
                <w14:textFill>
                  <w14:solidFill>
                    <w14:schemeClr w14:val="tx1"/>
                  </w14:solidFill>
                </w14:textFill>
              </w:rPr>
              <w:t>内披露发行公告。</w:t>
            </w:r>
          </w:p>
          <w:p w14:paraId="76FC2D2A">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如本产品需延期清算，将于原定到期日前【2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个工作日内向投资者发布相关信息。</w:t>
            </w:r>
          </w:p>
          <w:p w14:paraId="056B2842">
            <w:pPr>
              <w:pStyle w:val="20"/>
              <w:spacing w:line="300" w:lineRule="exact"/>
              <w:ind w:firstLine="0" w:firstLineChars="0" w:left="36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信银理财将在本产品终止</w:t>
            </w:r>
            <w:r>
              <w:rPr>
                <w:rFonts w:ascii="楷体_GB2312" w:cs="楷体_GB2312" w:eastAsia="楷体_GB2312"/>
                <w:color w:themeColor="text1" w:val="000000"/>
                <w:sz w:val="20"/>
                <w:szCs w:val="20"/>
                <w:highlight w:val="none"/>
                <w14:textFill>
                  <w14:solidFill>
                    <w14:schemeClr w14:val="tx1"/>
                  </w14:solidFill>
                </w14:textFill>
              </w:rPr>
              <w:t>（包括</w:t>
            </w:r>
            <w:r>
              <w:rPr>
                <w:rFonts w:ascii="楷体_GB2312" w:cs="楷体_GB2312" w:eastAsia="楷体_GB2312" w:hint="eastAsia"/>
                <w:color w:themeColor="text1" w:val="000000"/>
                <w:sz w:val="20"/>
                <w:szCs w:val="20"/>
                <w:highlight w:val="none"/>
                <w14:textFill>
                  <w14:solidFill>
                    <w14:schemeClr w14:val="tx1"/>
                  </w14:solidFill>
                </w14:textFill>
              </w:rPr>
              <w:t>到期和</w:t>
            </w:r>
            <w:r>
              <w:rPr>
                <w:rFonts w:ascii="楷体_GB2312" w:cs="楷体_GB2312" w:eastAsia="楷体_GB2312"/>
                <w:color w:themeColor="text1" w:val="000000"/>
                <w:sz w:val="20"/>
                <w:szCs w:val="20"/>
                <w:highlight w:val="none"/>
                <w14:textFill>
                  <w14:solidFill>
                    <w14:schemeClr w14:val="tx1"/>
                  </w14:solidFill>
                </w14:textFill>
              </w:rPr>
              <w:t>提前终止）</w:t>
            </w:r>
            <w:r>
              <w:rPr>
                <w:rFonts w:ascii="楷体_GB2312" w:cs="楷体_GB2312" w:eastAsia="楷体_GB2312" w:hint="eastAsia"/>
                <w:color w:themeColor="text1" w:val="000000"/>
                <w:sz w:val="20"/>
                <w:szCs w:val="20"/>
                <w:highlight w:val="none"/>
                <w14:textFill>
                  <w14:solidFill>
                    <w14:schemeClr w14:val="tx1"/>
                  </w14:solidFill>
                </w14:textFill>
              </w:rPr>
              <w:t>日后【5】个工作日内，向投资者披露</w:t>
            </w:r>
            <w:r>
              <w:rPr>
                <w:rFonts w:ascii="楷体_GB2312" w:cs="楷体_GB2312" w:eastAsia="楷体_GB2312"/>
                <w:color w:themeColor="text1" w:val="000000"/>
                <w:sz w:val="20"/>
                <w:szCs w:val="20"/>
                <w:highlight w:val="none"/>
                <w14:textFill>
                  <w14:solidFill>
                    <w14:schemeClr w14:val="tx1"/>
                  </w14:solidFill>
                </w14:textFill>
              </w:rPr>
              <w:t>到期公告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到期日产品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单位净值在内的</w:t>
            </w:r>
            <w:r>
              <w:rPr>
                <w:rFonts w:ascii="楷体_GB2312" w:cs="楷体_GB2312" w:eastAsia="楷体_GB2312" w:hint="eastAsia"/>
                <w:color w:themeColor="text1" w:val="000000"/>
                <w:sz w:val="20"/>
                <w:szCs w:val="20"/>
                <w:highlight w:val="none"/>
                <w14:textFill>
                  <w14:solidFill>
                    <w14:schemeClr w14:val="tx1"/>
                  </w14:solidFill>
                </w14:textFill>
              </w:rPr>
              <w:t>到期相关信息。</w:t>
            </w:r>
          </w:p>
          <w:p w14:paraId="23460B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在产品</w:t>
            </w:r>
            <w:r>
              <w:rPr>
                <w:rFonts w:ascii="楷体_GB2312" w:cs="楷体_GB2312" w:eastAsia="楷体_GB2312"/>
                <w:color w:themeColor="text1" w:val="000000"/>
                <w:sz w:val="20"/>
                <w:szCs w:val="20"/>
                <w:highlight w:val="none"/>
                <w14:textFill>
                  <w14:solidFill>
                    <w14:schemeClr w14:val="tx1"/>
                  </w14:solidFill>
                </w14:textFill>
              </w:rPr>
              <w:t>存续期间，</w:t>
            </w:r>
            <w:r>
              <w:rPr>
                <w:rFonts w:ascii="楷体_GB2312" w:cs="楷体_GB2312" w:eastAsia="楷体_GB2312" w:hint="eastAsia"/>
                <w:color w:themeColor="text1" w:val="000000"/>
                <w:sz w:val="20"/>
                <w:szCs w:val="20"/>
                <w:highlight w:val="none"/>
                <w14:textFill>
                  <w14:solidFill>
                    <w14:schemeClr w14:val="tx1"/>
                  </w14:solidFill>
                </w14:textFill>
              </w:rPr>
              <w:t>信银理财根据</w:t>
            </w:r>
            <w:r>
              <w:rPr>
                <w:rFonts w:ascii="楷体_GB2312" w:cs="楷体_GB2312" w:eastAsia="楷体_GB2312"/>
                <w:color w:themeColor="text1" w:val="000000"/>
                <w:sz w:val="20"/>
                <w:szCs w:val="20"/>
                <w:highlight w:val="none"/>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将</w:t>
            </w:r>
            <w:r>
              <w:rPr>
                <w:rFonts w:ascii="楷体_GB2312" w:cs="楷体_GB2312" w:eastAsia="楷体_GB2312"/>
                <w:color w:themeColor="text1" w:val="000000"/>
                <w:sz w:val="20"/>
                <w:szCs w:val="20"/>
                <w:highlight w:val="none"/>
                <w14:textFill>
                  <w14:solidFill>
                    <w14:schemeClr w14:val="tx1"/>
                  </w14:solidFill>
                </w14:textFill>
              </w:rPr>
              <w:t>提前【2】个工作日告知</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w:t>
            </w:r>
          </w:p>
          <w:p w14:paraId="79FB8F9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highlight w:val="none"/>
                <w14:textFill>
                  <w14:solidFill>
                    <w14:schemeClr w14:val="tx1"/>
                  </w14:solidFill>
                </w14:textFill>
              </w:rPr>
              <w:t>生效前</w:t>
            </w: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个</w:t>
            </w:r>
            <w:r>
              <w:rPr>
                <w:rFonts w:ascii="楷体_GB2312" w:eastAsia="楷体_GB2312"/>
                <w:color w:themeColor="text1" w:val="000000"/>
                <w:sz w:val="20"/>
                <w:szCs w:val="20"/>
                <w:highlight w:val="none"/>
                <w14:textFill>
                  <w14:solidFill>
                    <w14:schemeClr w14:val="tx1"/>
                  </w14:solidFill>
                </w14:textFill>
              </w:rPr>
              <w:t>工作日</w:t>
            </w:r>
            <w:r>
              <w:rPr>
                <w:rFonts w:ascii="楷体_GB2312" w:eastAsia="楷体_GB2312" w:hint="eastAsia"/>
                <w:color w:themeColor="text1" w:val="000000"/>
                <w:sz w:val="20"/>
                <w:szCs w:val="20"/>
                <w:highlight w:val="none"/>
                <w14:textFill>
                  <w14:solidFill>
                    <w14:schemeClr w14:val="tx1"/>
                  </w14:solidFill>
                </w14:textFill>
              </w:rPr>
              <w:t>告知投资者。</w:t>
            </w:r>
          </w:p>
          <w:p w14:paraId="13ECEA48">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产品存续</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期间</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如</w:t>
            </w:r>
            <w:r>
              <w:rPr>
                <w:rFonts w:ascii="Times New Roman" w:cs="楷体_GB2312" w:eastAsia="楷体_GB2312" w:hAnsi="Times New Roman"/>
                <w:color w:themeColor="text1" w:val="000000"/>
                <w:sz w:val="20"/>
                <w:szCs w:val="20"/>
                <w:highlight w:val="none"/>
                <w14:textFill>
                  <w14:solidFill>
                    <w14:schemeClr w14:val="tx1"/>
                  </w14:solidFill>
                </w14:textFill>
              </w:rPr>
              <w:t>因市场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重大</w:t>
            </w:r>
            <w:r>
              <w:rPr>
                <w:rFonts w:ascii="Times New Roman" w:cs="楷体_GB2312" w:eastAsia="楷体_GB2312" w:hAnsi="Times New Roman"/>
                <w:color w:themeColor="text1" w:val="000000"/>
                <w:sz w:val="20"/>
                <w:szCs w:val="20"/>
                <w:highlight w:val="none"/>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且</w:t>
            </w:r>
            <w:r>
              <w:rPr>
                <w:rFonts w:ascii="Times New Roman" w:cs="楷体_GB2312" w:eastAsia="楷体_GB2312" w:hAnsi="Times New Roman"/>
                <w:color w:themeColor="text1" w:val="000000"/>
                <w:sz w:val="20"/>
                <w:szCs w:val="20"/>
                <w:highlight w:val="none"/>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信银理财</w:t>
            </w:r>
            <w:r>
              <w:rPr>
                <w:rFonts w:ascii="Times New Roman" w:cs="楷体_GB2312" w:eastAsia="楷体_GB2312" w:hAnsi="Times New Roman"/>
                <w:color w:themeColor="text1" w:val="000000"/>
                <w:sz w:val="20"/>
                <w:szCs w:val="20"/>
                <w:highlight w:val="none"/>
                <w14:textFill>
                  <w14:solidFill>
                    <w14:schemeClr w14:val="tx1"/>
                  </w14:solidFill>
                </w14:textFill>
              </w:rPr>
              <w:t>将</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5</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】个</w:t>
            </w:r>
            <w:r>
              <w:rPr>
                <w:rFonts w:ascii="Times New Roman" w:cs="楷体_GB2312" w:eastAsia="楷体_GB2312" w:hAnsi="Times New Roman"/>
                <w:color w:themeColor="text1" w:val="000000"/>
                <w:sz w:val="20"/>
                <w:szCs w:val="20"/>
                <w:highlight w:val="none"/>
                <w14:textFill>
                  <w14:solidFill>
                    <w14:schemeClr w14:val="tx1"/>
                  </w14:solidFill>
                </w14:textFill>
              </w:rPr>
              <w:t>工作日内</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告知投资者</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13C3E740">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52D47665">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将向投资者</w:t>
            </w:r>
            <w:r>
              <w:rPr>
                <w:rFonts w:ascii="楷体_GB2312" w:cs="楷体_GB2312" w:eastAsia="楷体_GB2312" w:hint="eastAsia"/>
                <w:color w:themeColor="text1" w:val="000000"/>
                <w:sz w:val="20"/>
                <w:szCs w:val="20"/>
                <w:highlight w:val="none"/>
                <w14:textFill>
                  <w14:solidFill>
                    <w14:schemeClr w14:val="tx1"/>
                  </w14:solidFill>
                </w14:textFill>
              </w:rPr>
              <w:t>发布</w:t>
            </w:r>
            <w:r>
              <w:rPr>
                <w:rFonts w:ascii="楷体_GB2312" w:cs="楷体_GB2312" w:eastAsia="楷体_GB2312"/>
                <w:color w:themeColor="text1" w:val="000000"/>
                <w:sz w:val="20"/>
                <w:szCs w:val="20"/>
                <w:highlight w:val="none"/>
                <w14:textFill>
                  <w14:solidFill>
                    <w14:schemeClr w14:val="tx1"/>
                  </w14:solidFill>
                </w14:textFill>
              </w:rPr>
              <w:t>定期报告，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但不限于季度、半年和年度报告。</w:t>
            </w:r>
            <w:r>
              <w:rPr>
                <w:rFonts w:ascii="楷体_GB2312" w:cs="楷体_GB2312" w:eastAsia="楷体_GB2312" w:hint="eastAsia"/>
                <w:color w:themeColor="text1" w:val="000000"/>
                <w:sz w:val="20"/>
                <w:szCs w:val="20"/>
                <w:highlight w:val="none"/>
                <w14:textFill>
                  <w14:solidFill>
                    <w14:schemeClr w14:val="tx1"/>
                  </w14:solidFill>
                </w14:textFill>
              </w:rPr>
              <w:t>管理人</w:t>
            </w:r>
            <w:r>
              <w:rPr>
                <w:rFonts w:ascii="楷体_GB2312" w:cs="楷体_GB2312" w:eastAsia="楷体_GB2312"/>
                <w:color w:themeColor="text1" w:val="000000"/>
                <w:sz w:val="20"/>
                <w:szCs w:val="20"/>
                <w:highlight w:val="none"/>
                <w14:textFill>
                  <w14:solidFill>
                    <w14:schemeClr w14:val="tx1"/>
                  </w14:solidFill>
                </w14:textFill>
              </w:rPr>
              <w:t>将在理财产品季度、半年和年度报告中披露理财产品组合资产情况及其流动性风险分析</w:t>
            </w:r>
            <w:r>
              <w:rPr>
                <w:rFonts w:ascii="楷体_GB2312" w:cs="楷体_GB2312" w:eastAsia="楷体_GB2312" w:hint="eastAsia"/>
                <w:color w:themeColor="text1" w:val="000000"/>
                <w:sz w:val="20"/>
                <w:szCs w:val="20"/>
                <w:highlight w:val="none"/>
                <w:lang w:eastAsia="zh-CN"/>
                <w14:textFill>
                  <w14:solidFill>
                    <w14:schemeClr w14:val="tx1"/>
                  </w14:solidFill>
                </w14:textFill>
              </w:rPr>
              <w:t>、投资资产类别和比例</w:t>
            </w:r>
            <w:r>
              <w:rPr>
                <w:rFonts w:ascii="楷体_GB2312" w:cs="楷体_GB2312" w:eastAsia="楷体_GB2312"/>
                <w:color w:themeColor="text1" w:val="000000"/>
                <w:sz w:val="20"/>
                <w:szCs w:val="20"/>
                <w:highlight w:val="none"/>
                <w14:textFill>
                  <w14:solidFill>
                    <w14:schemeClr w14:val="tx1"/>
                  </w14:solidFill>
                </w14:textFill>
              </w:rPr>
              <w:t>等</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理财产品成立不足九十个自然日的，</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w:t>
            </w:r>
            <w:r>
              <w:rPr>
                <w:rFonts w:ascii="楷体_GB2312" w:cs="楷体_GB2312" w:eastAsia="楷体_GB2312" w:hint="eastAsia"/>
                <w:color w:themeColor="text1" w:val="000000"/>
                <w:sz w:val="20"/>
                <w:szCs w:val="20"/>
                <w:highlight w:val="none"/>
                <w14:textFill>
                  <w14:solidFill>
                    <w14:schemeClr w14:val="tx1"/>
                  </w14:solidFill>
                </w14:textFill>
              </w:rPr>
              <w:t>可以不编制当期的季度、半年和年度报告。</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理财产品期限超过九十个自然日的，管理人将在存续期内至少披露一次定期报告。理财产品剩余存续期不足完整报告期，且到期公告包括对应定期报告内容的，可以不编制剩余存续期所对应的季度、半年和年度报告。</w:t>
            </w:r>
          </w:p>
          <w:p w14:paraId="10EC2279">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w:t>
            </w:r>
            <w:r>
              <w:rPr>
                <w:rFonts w:ascii="楷体_GB2312" w:cs="楷体_GB2312" w:eastAsia="楷体_GB2312"/>
                <w:color w:themeColor="text1" w:val="000000"/>
                <w:sz w:val="20"/>
                <w:szCs w:val="20"/>
                <w:highlight w:val="none"/>
                <w14:textFill>
                  <w14:solidFill>
                    <w14:schemeClr w14:val="tx1"/>
                  </w14:solidFill>
                </w14:textFill>
              </w:rPr>
              <w:t>本理财产品存续期间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获知</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经信银理财合理判断认为对</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highlight w:val="none"/>
                <w14:textFill>
                  <w14:solidFill>
                    <w14:schemeClr w14:val="tx1"/>
                  </w14:solidFill>
                </w14:textFill>
              </w:rPr>
              <w:t>按照</w:t>
            </w:r>
            <w:r>
              <w:rPr>
                <w:rFonts w:ascii="楷体_GB2312" w:cs="楷体_GB2312" w:eastAsia="楷体_GB2312"/>
                <w:color w:themeColor="text1" w:val="000000"/>
                <w:sz w:val="20"/>
                <w:szCs w:val="20"/>
                <w:highlight w:val="none"/>
                <w14:textFill>
                  <w14:solidFill>
                    <w14:schemeClr w14:val="tx1"/>
                  </w14:solidFill>
                </w14:textFill>
              </w:rPr>
              <w:t>法律法规、监管规定</w:t>
            </w:r>
            <w:r>
              <w:rPr>
                <w:rFonts w:ascii="楷体_GB2312" w:cs="楷体_GB2312" w:eastAsia="楷体_GB2312" w:hint="eastAsia"/>
                <w:color w:themeColor="text1" w:val="000000"/>
                <w:sz w:val="20"/>
                <w:szCs w:val="20"/>
                <w:highlight w:val="none"/>
                <w14:textFill>
                  <w14:solidFill>
                    <w14:schemeClr w14:val="tx1"/>
                  </w14:solidFill>
                </w14:textFill>
              </w:rPr>
              <w:t>及时</w:t>
            </w:r>
            <w:r>
              <w:rPr>
                <w:rFonts w:ascii="楷体_GB2312" w:cs="楷体_GB2312" w:eastAsia="楷体_GB2312"/>
                <w:color w:themeColor="text1" w:val="000000"/>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管理人在</w:t>
            </w:r>
            <w:r>
              <w:rPr>
                <w:rFonts w:ascii="楷体_GB2312" w:cs="楷体_GB2312" w:eastAsia="楷体_GB2312"/>
                <w:color w:themeColor="text1" w:val="000000"/>
                <w:sz w:val="20"/>
                <w:szCs w:val="20"/>
                <w:highlight w:val="none"/>
                <w14:textFill>
                  <w14:solidFill>
                    <w14:schemeClr w14:val="tx1"/>
                  </w14:solidFill>
                </w14:textFill>
              </w:rPr>
              <w:t>运用暂停</w:t>
            </w:r>
            <w:r>
              <w:rPr>
                <w:rFonts w:ascii="楷体_GB2312" w:cs="楷体_GB2312" w:eastAsia="楷体_GB2312" w:hint="eastAsia"/>
                <w:color w:themeColor="text1" w:val="000000"/>
                <w:sz w:val="20"/>
                <w:szCs w:val="20"/>
                <w:highlight w:val="none"/>
                <w14:textFill>
                  <w14:solidFill>
                    <w14:schemeClr w14:val="tx1"/>
                  </w14:solidFill>
                </w14:textFill>
              </w:rPr>
              <w:t>或</w:t>
            </w:r>
            <w:r>
              <w:rPr>
                <w:rFonts w:ascii="楷体_GB2312" w:cs="楷体_GB2312" w:eastAsia="楷体_GB2312"/>
                <w:color w:themeColor="text1" w:val="000000"/>
                <w:sz w:val="20"/>
                <w:szCs w:val="20"/>
                <w:highlight w:val="none"/>
                <w14:textFill>
                  <w14:solidFill>
                    <w14:schemeClr w14:val="tx1"/>
                  </w14:solidFill>
                </w14:textFill>
              </w:rPr>
              <w:t>拒绝认</w:t>
            </w:r>
            <w:r>
              <w:rPr>
                <w:rFonts w:ascii="楷体_GB2312" w:cs="楷体_GB2312" w:eastAsia="楷体_GB2312" w:hint="eastAsia"/>
                <w:color w:themeColor="text1" w:val="000000"/>
                <w:sz w:val="20"/>
                <w:szCs w:val="20"/>
                <w:highlight w:val="none"/>
                <w14:textFill>
                  <w14:solidFill>
                    <w14:schemeClr w14:val="tx1"/>
                  </w14:solidFill>
                </w14:textFill>
              </w:rPr>
              <w:t>购</w:t>
            </w:r>
            <w:r>
              <w:rPr>
                <w:rFonts w:ascii="楷体_GB2312" w:cs="楷体_GB2312" w:eastAsia="楷体_GB2312"/>
                <w:color w:themeColor="text1" w:val="000000"/>
                <w:sz w:val="20"/>
                <w:szCs w:val="20"/>
                <w:highlight w:val="none"/>
                <w14:textFill>
                  <w14:solidFill>
                    <w14:schemeClr w14:val="tx1"/>
                  </w14:solidFill>
                </w14:textFill>
              </w:rPr>
              <w:t>申请</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暂停理财产品估值等措施后，</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highlight w:val="none"/>
                <w14:textFill>
                  <w14:solidFill>
                    <w14:schemeClr w14:val="tx1"/>
                  </w14:solidFill>
                </w14:textFill>
              </w:rPr>
              <w:t>整</w:t>
            </w:r>
            <w:r>
              <w:rPr>
                <w:rFonts w:ascii="楷体_GB2312" w:cs="楷体_GB2312" w:eastAsia="楷体_GB2312"/>
                <w:color w:themeColor="text1" w:val="000000"/>
                <w:sz w:val="20"/>
                <w:szCs w:val="20"/>
                <w:highlight w:val="none"/>
                <w14:textFill>
                  <w14:solidFill>
                    <w14:schemeClr w14:val="tx1"/>
                  </w14:solidFill>
                </w14:textFill>
              </w:rPr>
              <w:t>时，及时发布临时公告</w:t>
            </w:r>
            <w:r>
              <w:rPr>
                <w:rFonts w:ascii="楷体_GB2312" w:cs="楷体_GB2312" w:eastAsia="楷体_GB2312" w:hint="eastAsia"/>
                <w:color w:themeColor="text1" w:val="000000"/>
                <w:sz w:val="20"/>
                <w:szCs w:val="20"/>
                <w:highlight w:val="none"/>
                <w14:textFill>
                  <w14:solidFill>
                    <w14:schemeClr w14:val="tx1"/>
                  </w14:solidFill>
                </w14:textFill>
              </w:rPr>
              <w:t>。</w:t>
            </w:r>
          </w:p>
          <w:p w14:paraId="4D7FDA24">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法律法规、</w:t>
            </w:r>
            <w:r>
              <w:rPr>
                <w:rFonts w:ascii="楷体_GB2312" w:cs="楷体_GB2312" w:eastAsia="楷体_GB2312"/>
                <w:color w:themeColor="text1" w:val="000000"/>
                <w:sz w:val="20"/>
                <w:szCs w:val="20"/>
                <w:highlight w:val="none"/>
                <w14:textFill>
                  <w14:solidFill>
                    <w14:schemeClr w14:val="tx1"/>
                  </w14:solidFill>
                </w14:textFill>
              </w:rPr>
              <w:t>规范性文件、</w:t>
            </w:r>
            <w:r>
              <w:rPr>
                <w:rFonts w:ascii="楷体_GB2312" w:cs="楷体_GB2312" w:eastAsia="楷体_GB2312" w:hint="eastAsia"/>
                <w:color w:themeColor="text1" w:val="000000"/>
                <w:sz w:val="20"/>
                <w:szCs w:val="20"/>
                <w:highlight w:val="none"/>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highlight w:val="none"/>
                <w14:textFill>
                  <w14:solidFill>
                    <w14:schemeClr w14:val="tx1"/>
                  </w14:solidFill>
                </w14:textFill>
              </w:rPr>
              <w:t>信息</w:t>
            </w:r>
            <w:r>
              <w:rPr>
                <w:rFonts w:ascii="楷体_GB2312" w:cs="楷体_GB2312" w:eastAsia="楷体_GB2312" w:hint="eastAsia"/>
                <w:color w:themeColor="text1" w:val="000000"/>
                <w:sz w:val="20"/>
                <w:szCs w:val="20"/>
                <w:highlight w:val="none"/>
                <w14:textFill>
                  <w14:solidFill>
                    <w14:schemeClr w14:val="tx1"/>
                  </w14:solidFill>
                </w14:textFill>
              </w:rPr>
              <w:t>披露的情形</w:t>
            </w:r>
            <w:r>
              <w:rPr>
                <w:rFonts w:ascii="楷体_GB2312" w:cs="楷体_GB2312" w:eastAsia="楷体_GB2312"/>
                <w:color w:themeColor="text1" w:val="000000"/>
                <w:sz w:val="20"/>
                <w:szCs w:val="20"/>
                <w:highlight w:val="none"/>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cs="黑体" w:eastAsia="黑体" w:hAnsi="Times New Roman"/>
          <w:color w:themeColor="text1" w:val="000000"/>
          <w:sz w:val="20"/>
          <w:szCs w:val="20"/>
          <w:highlight w:val="none"/>
          <w14:textFill>
            <w14:solidFill>
              <w14:schemeClr w14:val="tx1"/>
            </w14:solidFill>
          </w14:textFill>
        </w:rPr>
      </w:pPr>
    </w:p>
    <w:p w14:paraId="30C464FF">
      <w:pPr>
        <w:snapToGrid w:val="0"/>
        <w:ind w:left="-2" w:leftChars="-1" w:right="53" w:rightChars="22"/>
        <w:outlineLvl w:val="0"/>
        <w:rPr>
          <w:b/>
          <w:color w:themeColor="text1" w:val="00000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firstLine="201" w:firstLineChars="100" w:left="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highlight w:val="none"/>
          <w14:textFill>
            <w14:solidFill>
              <w14:schemeClr w14:val="tx1"/>
            </w14:solidFill>
          </w14:textFill>
        </w:rPr>
      </w:pPr>
      <w:r>
        <w:rPr>
          <w:rFonts w:ascii="Times New Roman" w:eastAsia="楷体_GB2312" w:hAnsi="Times New Roman"/>
          <w:b/>
          <w:color w:themeColor="text1" w:val="000000"/>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highlight w:val="none"/>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四、理财</w:t>
      </w:r>
      <w:r>
        <w:rPr>
          <w:rFonts w:ascii="黑体" w:cs="黑体" w:eastAsia="黑体" w:hAnsi="Times New Roman"/>
          <w:color w:themeColor="text1" w:val="000000"/>
          <w:sz w:val="20"/>
          <w:szCs w:val="20"/>
          <w:highlight w:val="none"/>
          <w14:textFill>
            <w14:solidFill>
              <w14:schemeClr w14:val="tx1"/>
            </w14:solidFill>
          </w14:textFill>
        </w:rPr>
        <w:t>产品的认购</w:t>
      </w:r>
    </w:p>
    <w:p w14:paraId="408920C5">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投资者在募集期</w:t>
      </w:r>
      <w:r>
        <w:rPr>
          <w:rFonts w:ascii="Times New Roman" w:cs="Times New Roman" w:eastAsia="楷体_GB2312" w:hAnsi="Times New Roman"/>
          <w:color w:themeColor="text1" w:val="000000"/>
          <w:sz w:val="20"/>
          <w:szCs w:val="20"/>
          <w:highlight w:val="none"/>
          <w14:textFill>
            <w14:solidFill>
              <w14:schemeClr w14:val="tx1"/>
            </w14:solidFill>
          </w14:textFill>
        </w:rPr>
        <w:t>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提交</w:t>
      </w:r>
      <w:r>
        <w:rPr>
          <w:rFonts w:ascii="Times New Roman" w:cs="Times New Roman" w:eastAsia="楷体_GB2312" w:hAnsi="Times New Roman"/>
          <w:color w:themeColor="text1" w:val="000000"/>
          <w:sz w:val="20"/>
          <w:szCs w:val="20"/>
          <w:highlight w:val="none"/>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理财</w:t>
      </w:r>
      <w:r>
        <w:rPr>
          <w:rFonts w:ascii="Times New Roman" w:cs="Times New Roman" w:eastAsia="楷体_GB2312" w:hAnsi="Times New Roman"/>
          <w:color w:themeColor="text1" w:val="000000"/>
          <w:sz w:val="20"/>
          <w:szCs w:val="20"/>
          <w:highlight w:val="none"/>
          <w14:textFill>
            <w14:solidFill>
              <w14:schemeClr w14:val="tx1"/>
            </w14:solidFill>
          </w14:textFill>
        </w:rPr>
        <w:t>产品份额</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p w14:paraId="433102F3">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本</w:t>
      </w:r>
      <w:r>
        <w:rPr>
          <w:rFonts w:ascii="Times New Roman" w:cs="Times New Roman" w:eastAsia="楷体_GB2312" w:hAnsi="Times New Roman"/>
          <w:color w:themeColor="text1" w:val="000000"/>
          <w:sz w:val="20"/>
          <w:szCs w:val="20"/>
          <w:highlight w:val="none"/>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认购份额</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人民币认购金额</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认购费率）</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/1元</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highlight w:val="none"/>
          <w14:textFill>
            <w14:solidFill>
              <w14:schemeClr w14:val="tx1"/>
            </w14:solidFill>
          </w14:textFill>
        </w:rPr>
        <w:t>。</w:t>
      </w:r>
    </w:p>
    <w:p w14:paraId="166A4339">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募集期结束后的第一个工作日</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为认购份额</w:t>
      </w:r>
      <w:r>
        <w:rPr>
          <w:rFonts w:ascii="Times New Roman" w:cs="Times New Roman" w:eastAsia="楷体_GB2312" w:hAnsi="Times New Roman"/>
          <w:color w:themeColor="text1" w:val="000000"/>
          <w:sz w:val="20"/>
          <w:szCs w:val="20"/>
          <w:highlight w:val="none"/>
          <w14:textFill>
            <w14:solidFill>
              <w14:schemeClr w14:val="tx1"/>
            </w14:solidFill>
          </w14:textFill>
        </w:rPr>
        <w:t>确认日</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w:t>
      </w:r>
      <w:r>
        <w:rPr>
          <w:rFonts w:ascii="Times New Roman" w:cs="Times New Roman" w:eastAsia="楷体_GB2312" w:hAnsi="Times New Roman"/>
          <w:color w:themeColor="text1" w:val="000000"/>
          <w:sz w:val="20"/>
          <w:szCs w:val="20"/>
          <w:highlight w:val="none"/>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向销售机构</w:t>
      </w:r>
      <w:r>
        <w:rPr>
          <w:rFonts w:ascii="Times New Roman" w:cs="Times New Roman" w:eastAsia="楷体_GB2312" w:hAnsi="Times New Roman"/>
          <w:color w:themeColor="text1" w:val="000000"/>
          <w:sz w:val="20"/>
          <w:szCs w:val="20"/>
          <w:highlight w:val="none"/>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成功</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五</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理财</w:t>
      </w:r>
      <w:r>
        <w:rPr>
          <w:rFonts w:ascii="黑体" w:cs="黑体" w:eastAsia="黑体" w:hAnsi="Times New Roman"/>
          <w:color w:themeColor="text1" w:val="000000"/>
          <w:sz w:val="20"/>
          <w:szCs w:val="20"/>
          <w:highlight w:val="none"/>
          <w14:textFill>
            <w14:solidFill>
              <w14:schemeClr w14:val="tx1"/>
            </w14:solidFill>
          </w14:textFill>
        </w:rPr>
        <w:t>产品的</w:t>
      </w:r>
      <w:r>
        <w:rPr>
          <w:rFonts w:ascii="黑体" w:cs="黑体" w:eastAsia="黑体" w:hAnsi="Times New Roman" w:hint="eastAsia"/>
          <w:color w:themeColor="text1" w:val="000000"/>
          <w:sz w:val="20"/>
          <w:szCs w:val="20"/>
          <w:highlight w:val="none"/>
          <w14:textFill>
            <w14:solidFill>
              <w14:schemeClr w14:val="tx1"/>
            </w14:solidFill>
          </w14:textFill>
        </w:rPr>
        <w:t>申购和</w:t>
      </w:r>
      <w:r>
        <w:rPr>
          <w:rFonts w:ascii="黑体" w:cs="黑体" w:eastAsia="黑体" w:hAnsi="Times New Roman"/>
          <w:color w:themeColor="text1" w:val="000000"/>
          <w:sz w:val="20"/>
          <w:szCs w:val="20"/>
          <w:highlight w:val="none"/>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法律法规规定或管理人基于审慎考虑认定的其他情形。</w:t>
      </w:r>
    </w:p>
    <w:p w14:paraId="2D8C760D">
      <w:pPr>
        <w:spacing w:line="300" w:lineRule="exact"/>
        <w:ind w:firstLine="400" w:firstLineChars="200" w:right="0" w:rightChars="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如果投资者的认购申请被拒绝，被拒绝的认购款项将全额退还给投资者，扣款日至认购款项返还日期间是否计付利息以及利息计付规则以销售机构为准。</w:t>
      </w:r>
    </w:p>
    <w:p w14:paraId="2F9BC8AD">
      <w:pPr>
        <w:pStyle w:val="20"/>
        <w:numPr>
          <w:ilvl w:val="0"/>
          <w:numId w:val="8"/>
        </w:numPr>
        <w:spacing w:line="300" w:lineRule="exact"/>
        <w:ind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color w:themeColor="text1" w:val="000000"/>
          <w:sz w:val="20"/>
          <w:szCs w:val="20"/>
          <w:highlight w:val="none"/>
          <w14:textFill>
            <w14:solidFill>
              <w14:schemeClr w14:val="tx1"/>
            </w14:solidFill>
          </w14:textFill>
        </w:rPr>
        <w:t>理财资金分配</w:t>
      </w:r>
    </w:p>
    <w:p w14:paraId="44DD0FE2">
      <w:pPr>
        <w:pStyle w:val="20"/>
        <w:numPr>
          <w:ilvl w:val="0"/>
          <w:numId w:val="0"/>
        </w:numPr>
        <w:spacing w:line="300" w:lineRule="exact"/>
        <w:ind w:firstLine="42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244E4B04">
      <w:pPr>
        <w:spacing w:line="300" w:lineRule="exact"/>
        <w:ind w:firstLine="402" w:firstLineChars="200" w:right="96" w:rightChars="4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2FCF4BB6">
      <w:pPr>
        <w:pStyle w:val="20"/>
        <w:numPr>
          <w:ilvl w:val="0"/>
          <w:numId w:val="0"/>
        </w:numPr>
        <w:spacing w:line="300" w:lineRule="exact"/>
        <w:ind w:firstLine="42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eastAsia"/>
          <w:color w:themeColor="text1" w:val="000000"/>
          <w:sz w:val="20"/>
          <w:szCs w:val="20"/>
          <w:highlight w:val="none"/>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.如产品正常到期</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提前终止，理财资金于</w:t>
      </w:r>
      <w:r>
        <w:rPr>
          <w:rFonts w:ascii="楷体_GB2312" w:eastAsia="楷体_GB2312" w:hint="eastAsia"/>
          <w:color w:themeColor="text1" w:val="000000"/>
          <w:sz w:val="20"/>
          <w:szCs w:val="20"/>
          <w:highlight w:val="none"/>
          <w14:textFill>
            <w14:solidFill>
              <w14:schemeClr w14:val="tx1"/>
            </w14:solidFill>
          </w14:textFill>
        </w:rPr>
        <w:t>到期日</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实际</w:t>
      </w:r>
      <w:r>
        <w:rPr>
          <w:rFonts w:ascii="楷体_GB2312" w:eastAsia="楷体_GB2312"/>
          <w:color w:themeColor="text1" w:val="000000"/>
          <w:sz w:val="20"/>
          <w:szCs w:val="20"/>
          <w:highlight w:val="none"/>
          <w14:textFill>
            <w14:solidFill>
              <w14:schemeClr w14:val="tx1"/>
            </w14:solidFill>
          </w14:textFill>
        </w:rPr>
        <w:t>到期日</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提前终止日</w:t>
      </w: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后【</w:t>
      </w: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】个工作日内根据实际情况一次性分配，如遇</w:t>
      </w:r>
      <w:r>
        <w:rPr>
          <w:rFonts w:ascii="楷体_GB2312" w:eastAsia="楷体_GB2312" w:hint="eastAsia"/>
          <w:color w:themeColor="text1" w:val="000000"/>
          <w:sz w:val="20"/>
          <w:szCs w:val="20"/>
          <w:highlight w:val="none"/>
          <w14:textFill>
            <w14:solidFill>
              <w14:schemeClr w14:val="tx1"/>
            </w14:solidFill>
          </w14:textFill>
        </w:rPr>
        <w:t>非工作日</w:t>
      </w:r>
      <w:r>
        <w:rPr>
          <w:rFonts w:ascii="楷体_GB2312" w:eastAsia="楷体_GB2312"/>
          <w:color w:themeColor="text1" w:val="000000"/>
          <w:sz w:val="20"/>
          <w:szCs w:val="20"/>
          <w:highlight w:val="none"/>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p>
    <w:p w14:paraId="55FA2824">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highlight w:val="none"/>
          <w14:textFill>
            <w14:solidFill>
              <w14:schemeClr w14:val="tx1"/>
            </w14:solidFill>
          </w14:textFill>
        </w:rPr>
        <w:t>其他原因延长</w:t>
      </w:r>
      <w:r>
        <w:rPr>
          <w:rFonts w:ascii="楷体_GB2312" w:cs="楷体_GB2312" w:eastAsia="楷体_GB2312" w:hint="eastAsia"/>
          <w:color w:themeColor="text1" w:val="000000"/>
          <w:sz w:val="20"/>
          <w:szCs w:val="20"/>
          <w:highlight w:val="none"/>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highlight w:val="none"/>
          <w14:textFill>
            <w14:solidFill>
              <w14:schemeClr w14:val="tx1"/>
            </w14:solidFill>
          </w14:textFill>
        </w:rPr>
        <w:t>说明书</w:t>
      </w:r>
      <w:r>
        <w:rPr>
          <w:rFonts w:ascii="楷体_GB2312" w:cs="楷体_GB2312" w:eastAsia="楷体_GB2312" w:hint="eastAsia"/>
          <w:color w:themeColor="text1" w:val="000000"/>
          <w:sz w:val="20"/>
          <w:szCs w:val="20"/>
          <w:highlight w:val="none"/>
          <w14:textFill>
            <w14:solidFill>
              <w14:schemeClr w14:val="tx1"/>
            </w14:solidFill>
          </w14:textFill>
        </w:rPr>
        <w:t>约定的</w:t>
      </w:r>
      <w:r>
        <w:rPr>
          <w:rFonts w:ascii="楷体_GB2312" w:cs="楷体_GB2312" w:eastAsia="楷体_GB2312"/>
          <w:color w:themeColor="text1" w:val="000000"/>
          <w:sz w:val="20"/>
          <w:szCs w:val="20"/>
          <w:highlight w:val="none"/>
          <w14:textFill>
            <w14:solidFill>
              <w14:schemeClr w14:val="tx1"/>
            </w14:solidFill>
          </w14:textFill>
        </w:rPr>
        <w:t>方式通知投资者</w:t>
      </w:r>
      <w:r>
        <w:rPr>
          <w:rFonts w:ascii="楷体_GB2312" w:cs="楷体_GB2312" w:eastAsia="楷体_GB2312" w:hint="eastAsia"/>
          <w:color w:themeColor="text1" w:val="000000"/>
          <w:sz w:val="20"/>
          <w:szCs w:val="20"/>
          <w:highlight w:val="none"/>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投资者通过</w:t>
      </w:r>
      <w:r>
        <w:rPr>
          <w:rFonts w:ascii="楷体_GB2312" w:eastAsia="楷体_GB2312"/>
          <w:color w:themeColor="text1" w:val="000000"/>
          <w:sz w:val="20"/>
          <w:szCs w:val="20"/>
          <w:highlight w:val="none"/>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highlight w:val="none"/>
          <w14:textFill>
            <w14:solidFill>
              <w14:schemeClr w14:val="tx1"/>
            </w14:solidFill>
          </w14:textFill>
        </w:rPr>
        <w:t>账户的</w:t>
      </w:r>
      <w:r>
        <w:rPr>
          <w:rFonts w:ascii="楷体_GB2312" w:eastAsia="楷体_GB2312"/>
          <w:color w:themeColor="text1" w:val="000000"/>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themeColor="text1" w:val="000000"/>
          <w:highlight w:val="none"/>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2.认购费</w:t>
      </w:r>
      <w:r>
        <w:rPr>
          <w:rFonts w:ascii="楷体_GB2312" w:cs="楷体_GB2312" w:eastAsia="楷体_GB2312" w:hint="eastAsia"/>
          <w:b/>
          <w:color w:val="000000"/>
          <w:sz w:val="20"/>
          <w:szCs w:val="20"/>
          <w:highlight w:val="none"/>
        </w:rPr>
        <w:t>：</w:t>
      </w:r>
      <w:r>
        <w:rPr>
          <w:rFonts w:ascii="楷体_GB2312" w:cs="楷体_GB2312" w:eastAsia="楷体_GB2312"/>
          <w:b/>
          <w:sz w:val="20"/>
          <w:szCs w:val="20"/>
          <w:highlight w:val="none"/>
        </w:rPr>
        <w:t>【A】类份额不收取认购费，【B】类份额不收取认购费，【C】类份额不收取认购费，【D】类份额不收取认购费，【G】类份额不收取认购费，【M】类份额不收取认购费，【N】类份额不收取认购费，【P】类份额不收取认购费，【S】类份额不收取认购费</w:t>
      </w:r>
      <w:r>
        <w:rPr>
          <w:rFonts w:ascii="楷体_GB2312" w:cs="楷体_GB2312" w:eastAsia="楷体_GB2312" w:hint="eastAsia"/>
          <w:b/>
          <w:sz w:val="20"/>
          <w:szCs w:val="20"/>
          <w:highlight w:val="none"/>
        </w:rPr>
        <w:t>。</w:t>
      </w:r>
    </w:p>
    <w:p w14:paraId="54618D6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A】类份额费率【0.10%】/年，【B】类份额费率【0.10%】/年，【C】类份额费率【0.05%】/年，【D】类份额费率【0.05%】/年，【G】类份额费率【0.05%】/年，【M】类份额费率【0.15%】/年，【N】类份额费率【0.20%】/年，【P】类份额费率【0.30%】/年，【S】类份额费率【0.05%】/年，计算方式为【</w:t>
      </w:r>
      <w:r>
        <w:rPr>
          <w:rFonts w:ascii="楷体_GB2312" w:cs="楷体_GB2312" w:eastAsia="楷体_GB2312" w:hint="eastAsia"/>
          <w:b/>
          <w:sz w:val="20"/>
          <w:szCs w:val="20"/>
          <w:highlight w:val="none"/>
        </w:rPr>
        <w:t>每日销售费</w:t>
      </w:r>
      <w:r>
        <w:rPr>
          <w:rFonts w:ascii="楷体_GB2312" w:cs="楷体_GB2312" w:eastAsia="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ascii="楷体_GB2312" w:cs="楷体_GB2312" w:eastAsia="楷体_GB2312" w:hint="eastAsia"/>
          <w:b/>
          <w:sz w:val="20"/>
          <w:szCs w:val="20"/>
          <w:highlight w:val="none"/>
        </w:rPr>
        <w:t>。</w:t>
      </w:r>
    </w:p>
    <w:p w14:paraId="55AFEBB0">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销售服务费每日计提，按【</w:t>
      </w:r>
      <w:r>
        <w:rPr>
          <w:rFonts w:ascii="楷体_GB2312" w:cs="楷体_GB2312" w:eastAsia="楷体_GB2312" w:hint="eastAsia"/>
          <w:b/>
          <w:sz w:val="20"/>
          <w:szCs w:val="20"/>
          <w:highlight w:val="none"/>
        </w:rPr>
        <w:t>季</w:t>
      </w:r>
      <w:r>
        <w:rPr>
          <w:rFonts w:ascii="楷体_GB2312" w:cs="楷体_GB2312" w:eastAsia="楷体_GB2312"/>
          <w:b/>
          <w:color w:val="000000"/>
          <w:sz w:val="20"/>
          <w:szCs w:val="20"/>
          <w:highlight w:val="none"/>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highlight w:val="none"/>
        </w:rPr>
        <w:t>销售</w:t>
      </w:r>
      <w:r>
        <w:rPr>
          <w:rFonts w:ascii="楷体_GB2312" w:cs="楷体_GB2312" w:eastAsia="楷体_GB2312"/>
          <w:b/>
          <w:color w:val="000000"/>
          <w:sz w:val="20"/>
          <w:szCs w:val="20"/>
          <w:highlight w:val="none"/>
        </w:rPr>
        <w:t>相关费用以代销机构规定为准。</w:t>
      </w:r>
    </w:p>
    <w:p w14:paraId="7D1AECCA">
      <w:pPr>
        <w:spacing w:line="300" w:lineRule="exact"/>
        <w:ind w:firstLine="402" w:firstLineChars="200"/>
        <w:rPr>
          <w:rFonts w:ascii="楷体_GB2312" w:cs="楷体_GB2312" w:eastAsia="楷体_GB2312"/>
          <w:b/>
          <w:color w:val="000000"/>
          <w:sz w:val="20"/>
          <w:szCs w:val="20"/>
          <w:highlight w:val="none"/>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费率【0.05%】/年，计算方式为【</w:t>
      </w:r>
      <w:r>
        <w:rPr>
          <w:rFonts w:ascii="楷体_GB2312" w:cs="楷体_GB2312" w:eastAsia="楷体_GB2312" w:hint="eastAsia"/>
          <w:b/>
          <w:sz w:val="20"/>
          <w:szCs w:val="20"/>
          <w:highlight w:val="none"/>
        </w:rPr>
        <w:t>每日托管费</w:t>
      </w:r>
      <w:r>
        <w:rPr>
          <w:rFonts w:ascii="楷体_GB2312" w:cs="楷体_GB2312" w:eastAsia="楷体_GB2312"/>
          <w:b/>
          <w:sz w:val="20"/>
          <w:szCs w:val="20"/>
          <w:highlight w:val="none"/>
        </w:rPr>
        <w:t>=理财产品上一自然日产品净资产×托管费率/365】</w:t>
      </w:r>
      <w:r>
        <w:rPr>
          <w:rFonts w:ascii="楷体_GB2312" w:cs="楷体_GB2312" w:eastAsia="楷体_GB2312" w:hint="eastAsia"/>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cs="楷体_GB2312" w:eastAsia="楷体_GB2312"/>
          <w:b/>
          <w:color w:val="000000"/>
          <w:sz w:val="20"/>
          <w:szCs w:val="20"/>
          <w:highlight w:val="none"/>
        </w:rPr>
        <w:t>托管费每日计提，按【</w:t>
      </w:r>
      <w:r>
        <w:rPr>
          <w:rFonts w:ascii="楷体_GB2312" w:cs="楷体_GB2312" w:eastAsia="楷体_GB2312" w:hint="eastAsia"/>
          <w:b/>
          <w:color w:val="000000"/>
          <w:sz w:val="20"/>
          <w:szCs w:val="20"/>
          <w:highlight w:val="none"/>
        </w:rPr>
        <w:t>到期</w:t>
      </w:r>
      <w:r>
        <w:rPr>
          <w:rFonts w:ascii="楷体_GB2312" w:cs="楷体_GB2312" w:eastAsia="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hint="eastAsia"/>
          <w:b/>
          <w:sz w:val="20"/>
          <w:szCs w:val="20"/>
          <w:highlight w:val="none"/>
        </w:rPr>
        <w:t>费率【</w:t>
      </w:r>
      <w:r>
        <w:rPr>
          <w:rFonts w:ascii="楷体_GB2312" w:cs="楷体_GB2312" w:eastAsia="楷体_GB2312"/>
          <w:b/>
          <w:sz w:val="20"/>
          <w:szCs w:val="20"/>
          <w:highlight w:val="none"/>
        </w:rPr>
        <w:t>0.10%】/年，计算方式为【</w:t>
      </w:r>
      <w:r>
        <w:rPr>
          <w:rFonts w:ascii="楷体_GB2312" w:cs="楷体_GB2312" w:eastAsia="楷体_GB2312" w:hint="eastAsia"/>
          <w:b/>
          <w:sz w:val="20"/>
          <w:szCs w:val="20"/>
          <w:highlight w:val="none"/>
        </w:rPr>
        <w:t>每日固定管理费</w:t>
      </w:r>
      <w:r>
        <w:rPr>
          <w:rFonts w:ascii="楷体_GB2312" w:cs="楷体_GB2312" w:eastAsia="楷体_GB2312"/>
          <w:b/>
          <w:sz w:val="20"/>
          <w:szCs w:val="20"/>
          <w:highlight w:val="none"/>
        </w:rPr>
        <w:t>=理财产品上一自然日产品净资产×固定管理费率/365】</w:t>
      </w:r>
      <w:r>
        <w:rPr>
          <w:rFonts w:ascii="楷体_GB2312" w:cs="楷体_GB2312" w:eastAsia="楷体_GB2312" w:hint="eastAsia"/>
          <w:b/>
          <w:sz w:val="20"/>
          <w:szCs w:val="20"/>
          <w:highlight w:val="none"/>
        </w:rPr>
        <w:t>。</w:t>
      </w:r>
    </w:p>
    <w:p w14:paraId="60C301C7">
      <w:pPr>
        <w:snapToGrid w:val="0"/>
        <w:spacing w:line="300" w:lineRule="exact"/>
        <w:ind w:firstLine="402" w:firstLineChars="200" w:left="-2" w:leftChars="-1"/>
        <w:outlineLvl w:val="0"/>
        <w:rPr>
          <w:rFonts w:ascii="楷体_GB2312" w:eastAsia="楷体_GB2312"/>
          <w:b/>
          <w:sz w:val="20"/>
          <w:szCs w:val="20"/>
          <w:highlight w:val="none"/>
        </w:rPr>
      </w:pPr>
      <w:r>
        <w:rPr>
          <w:rFonts w:ascii="楷体_GB2312" w:cs="楷体_GB2312" w:eastAsia="楷体_GB2312" w:hint="eastAsia"/>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highlight w:val="none"/>
        </w:rPr>
      </w:pPr>
      <w:r>
        <w:rPr>
          <w:rFonts w:ascii="楷体_GB2312" w:cs="楷体_GB2312" w:eastAsia="楷体_GB2312"/>
          <w:b/>
          <w:sz w:val="20"/>
          <w:szCs w:val="20"/>
          <w:highlight w:val="none"/>
        </w:rPr>
        <w:t/>
        <w:t>【A】类份额设立业绩比较基准，在产品到期日或提前终止日时，如计提浮动管理费前年化收益率超过【2.05%】的，管理人将收取超额部分的【50%】作为浮动管理费。</w:t>
        <w:br/>
        <w:t xml:space="preserve">    【B】类份额设立业绩比较基准，在产品到期日或提前终止日时，如计提浮动管理费前年化收益率超过【2.05%】的，管理人将收取超额部分的【50%】作为浮动管理费。</w:t>
        <w:br/>
        <w:t xml:space="preserve">    【C】类份额设立业绩比较基准，在产品到期日或提前终止日时，如计提浮动管理费前年化收益率超过【2.10%】的，管理人将收取超额部分的【50%】作为浮动管理费。</w:t>
        <w:br/>
        <w:t xml:space="preserve">    【D】类份额设立业绩比较基准，在产品到期日或提前终止日时，如计提浮动管理费前年化收益率超过【2.10%】的，管理人将收取超额部分的【50%】作为浮动管理费。</w:t>
        <w:br/>
        <w:t xml:space="preserve">    【G】类份额设立业绩比较基准，在产品到期日或提前终止日时，如计提浮动管理费前年化收益率超过【2.10%】的，管理人将收取超额部分的【50%】作为浮动管理费。</w:t>
        <w:br/>
        <w:t xml:space="preserve">    【M】类份额设立业绩比较基准，在产品到期日或提前终止日时，如计提浮动管理费前年化收益率超过【2.00%】的，管理人将收取超额部分的【50%】作为浮动管理费。</w:t>
        <w:br/>
        <w:t xml:space="preserve">    【N】类份额设立业绩比较基准，在产品到期日或提前终止日时，如计提浮动管理费前年化收益率超过【1.95%】的，管理人将收取超额部分的【50%】作为浮动管理费。</w:t>
        <w:br/>
        <w:t xml:space="preserve">    【P】类份额设立业绩比较基准，在产品到期日或提前终止日时，如计提浮动管理费前年化收益率超过【1.85%】的，管理人将收取超额部分的【50%】作为浮动管理费。</w:t>
        <w:br/>
        <w:t xml:space="preserve">    【S】类份额设立业绩比较基准，在产品到期日或提前终止日时，如计提浮动管理费前年化收益率超过【2.10%】的，管理人将收取超额部分的【50%】作为浮动管理费。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highlight w:val="none"/>
        </w:rPr>
        <w:t>、因投资资产而产生的资产推荐服务费等相关费用</w:t>
      </w:r>
      <w:r>
        <w:rPr>
          <w:rFonts w:ascii="楷体_GB2312" w:cs="楷体_GB2312" w:eastAsia="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highlight w:val="none"/>
          <w14:textFill>
            <w14:solidFill>
              <w14:schemeClr w14:val="tx1"/>
            </w14:solidFill>
          </w14:textFill>
        </w:rPr>
      </w:pPr>
    </w:p>
    <w:p w14:paraId="79F8174C">
      <w:pPr>
        <w:spacing w:line="300" w:lineRule="exact"/>
        <w:ind w:right="29" w:rightChars="12"/>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产品的估值日为</w:t>
      </w:r>
      <w:r>
        <w:rPr>
          <w:rFonts w:ascii="楷体_GB2312" w:cs="楷体_GB2312" w:eastAsia="楷体_GB2312" w:hint="eastAsia"/>
          <w:color w:themeColor="text1" w:val="000000"/>
          <w:sz w:val="20"/>
          <w:szCs w:val="20"/>
          <w:highlight w:val="none"/>
          <w14:textFill>
            <w14:solidFill>
              <w14:schemeClr w14:val="tx1"/>
            </w14:solidFill>
          </w14:textFill>
        </w:rPr>
        <w:t>净值披露日和收益分配日</w:t>
      </w:r>
      <w:r>
        <w:rPr>
          <w:rFonts w:ascii="楷体_GB2312" w:cs="楷体_GB2312" w:eastAsia="楷体_GB2312"/>
          <w:color w:themeColor="text1" w:val="000000"/>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估值原则</w:t>
      </w:r>
    </w:p>
    <w:p w14:paraId="79EA9118">
      <w:pPr>
        <w:numPr>
          <w:ilvl w:val="-1"/>
          <w:numId w:val="0"/>
        </w:numPr>
        <w:spacing w:line="300" w:lineRule="exact"/>
        <w:ind w:firstLine="0" w:firstLineChars="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 xml:space="preserve">    </w:t>
      </w:r>
      <w:r>
        <w:rPr>
          <w:rFonts w:ascii="楷体_GB2312" w:cs="楷体_GB2312" w:eastAsia="楷体_GB2312" w:hint="eastAsia"/>
          <w:color w:themeColor="text1" w:val="000000"/>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公允价值。有充足证据表明估值日或最近交易日的报价不能真实反映金融工具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对象和</w:t>
      </w:r>
      <w:r>
        <w:rPr>
          <w:rFonts w:ascii="楷体_GB2312" w:cs="楷体_GB2312" w:eastAsia="楷体_GB2312" w:hint="eastAsia"/>
          <w:color w:themeColor="text1" w:val="000000"/>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highlight w:val="none"/>
          <w:u w:val="singl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highlight w:val="none"/>
          <w14:textFill>
            <w14:solidFill>
              <w14:schemeClr w14:val="tx1"/>
            </w14:solidFill>
          </w14:textFill>
        </w:rPr>
        <w:t>托管人</w:t>
      </w:r>
      <w:r>
        <w:rPr>
          <w:rFonts w:ascii="楷体_GB2312" w:cs="楷体_GB2312" w:eastAsia="楷体_GB2312" w:hint="eastAsia"/>
          <w:color w:themeColor="text1" w:val="000000"/>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highlight w:val="none"/>
          <w14:textFill>
            <w14:solidFill>
              <w14:schemeClr w14:val="tx1"/>
            </w14:solidFill>
          </w14:textFill>
        </w:rPr>
        <w:t>应当积极采取必要措施消除</w:t>
      </w:r>
      <w:r>
        <w:rPr>
          <w:rFonts w:ascii="楷体_GB2312" w:eastAsia="楷体_GB2312" w:hint="eastAsia"/>
          <w:color w:themeColor="text1" w:val="000000"/>
          <w:sz w:val="20"/>
          <w:szCs w:val="20"/>
          <w:highlight w:val="none"/>
          <w14:textFill>
            <w14:solidFill>
              <w14:schemeClr w14:val="tx1"/>
            </w14:solidFill>
          </w14:textFill>
        </w:rPr>
        <w:t>差错</w:t>
      </w:r>
      <w:r>
        <w:rPr>
          <w:rFonts w:ascii="楷体_GB2312" w:eastAsia="楷体_GB2312"/>
          <w:color w:themeColor="text1" w:val="000000"/>
          <w:sz w:val="20"/>
          <w:szCs w:val="20"/>
          <w:highlight w:val="none"/>
          <w14:textFill>
            <w14:solidFill>
              <w14:schemeClr w14:val="tx1"/>
            </w14:solidFill>
          </w14:textFill>
        </w:rPr>
        <w:t>带来的影响</w:t>
      </w:r>
      <w:r>
        <w:rPr>
          <w:rFonts w:ascii="楷体_GB2312" w:eastAsia="楷体_GB2312" w:hint="eastAsia"/>
          <w:color w:themeColor="text1" w:val="000000"/>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D</w:t>
      </w:r>
      <w:r>
        <w:rPr>
          <w:rFonts w:ascii="楷体_GB2312" w:eastAsia="楷体_GB2312" w:hint="eastAsia"/>
          <w:color w:themeColor="text1" w:val="000000"/>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E</w:t>
      </w:r>
      <w:r>
        <w:rPr>
          <w:rFonts w:ascii="楷体_GB2312" w:eastAsia="楷体_GB2312" w:hint="eastAsia"/>
          <w:color w:themeColor="text1" w:val="000000"/>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ascii="楷体_GB2312" w:eastAsia="楷体_GB2312" w:hint="eastAsia"/>
          <w:color w:themeColor="text1" w:val="000000"/>
          <w:sz w:val="20"/>
          <w:szCs w:val="20"/>
          <w:highlight w:val="none"/>
          <w:lang w:eastAsia="zh-CN"/>
          <w14:textFill>
            <w14:solidFill>
              <w14:schemeClr w14:val="tx1"/>
            </w14:solidFill>
          </w14:textFill>
        </w:rPr>
        <w:t>；</w:t>
      </w:r>
    </w:p>
    <w:p w14:paraId="47F684A2">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根据估值错误处理原则对因估值错误造成的损失进行评估</w:t>
      </w:r>
      <w:r>
        <w:rPr>
          <w:rFonts w:ascii="楷体_GB2312" w:eastAsia="楷体_GB2312" w:hint="eastAsia"/>
          <w:color w:themeColor="text1" w:val="000000"/>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lang w:eastAsia="zh-CN" w:val="en-US"/>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6</w:t>
      </w:r>
      <w:r>
        <w:rPr>
          <w:rFonts w:ascii="楷体_GB2312" w:cs="楷体_GB2312" w:eastAsia="楷体_GB2312" w:hint="eastAsia"/>
          <w:color w:themeColor="text1" w:val="000000"/>
          <w:sz w:val="20"/>
          <w:szCs w:val="20"/>
          <w:highlight w:val="none"/>
          <w14:textFill>
            <w14:solidFill>
              <w14:schemeClr w14:val="tx1"/>
            </w14:solidFill>
          </w14:textFill>
        </w:rPr>
        <w:t>．暂停</w:t>
      </w:r>
      <w:r>
        <w:rPr>
          <w:rFonts w:ascii="楷体_GB2312" w:cs="楷体_GB2312" w:eastAsia="楷体_GB2312"/>
          <w:color w:themeColor="text1" w:val="000000"/>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（3</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产品投资的其他</w:t>
      </w:r>
      <w:r>
        <w:rPr>
          <w:rFonts w:ascii="楷体_GB2312" w:cs="楷体_GB2312" w:eastAsia="楷体_GB2312" w:hint="eastAsia"/>
          <w:color w:themeColor="text1" w:val="000000"/>
          <w:sz w:val="20"/>
          <w:szCs w:val="20"/>
          <w:highlight w:val="none"/>
          <w14:textFill>
            <w14:solidFill>
              <w14:schemeClr w14:val="tx1"/>
            </w14:solidFill>
          </w14:textFill>
        </w:rPr>
        <w:t>资产</w:t>
      </w:r>
      <w:r>
        <w:rPr>
          <w:rFonts w:ascii="楷体_GB2312" w:cs="楷体_GB2312" w:eastAsia="楷体_GB2312"/>
          <w:color w:themeColor="text1" w:val="000000"/>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产品在前一估值日内，产品资产净值</w:t>
      </w:r>
      <w:r>
        <w:rPr>
          <w:rFonts w:ascii="楷体_GB2312" w:cs="楷体_GB2312" w:eastAsia="楷体_GB2312"/>
          <w:color w:themeColor="text1" w:val="000000"/>
          <w:sz w:val="20"/>
          <w:szCs w:val="20"/>
          <w:highlight w:val="none"/>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highlight w:val="none"/>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highlight w:val="none"/>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遇</w:t>
      </w:r>
      <w:r>
        <w:rPr>
          <w:rFonts w:ascii="楷体_GB2312" w:cs="楷体_GB2312" w:eastAsia="楷体_GB2312"/>
          <w:color w:themeColor="text1" w:val="000000"/>
          <w:sz w:val="20"/>
          <w:szCs w:val="20"/>
          <w:highlight w:val="none"/>
          <w14:textFill>
            <w14:solidFill>
              <w14:schemeClr w14:val="tx1"/>
            </w14:solidFill>
          </w14:textFill>
        </w:rPr>
        <w:t>以上情形，</w:t>
      </w:r>
      <w:r>
        <w:rPr>
          <w:rFonts w:ascii="楷体_GB2312" w:cs="楷体_GB2312" w:eastAsia="楷体_GB2312" w:hint="eastAsia"/>
          <w:color w:themeColor="text1" w:val="000000"/>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highlight w:val="none"/>
          <w14:textFill>
            <w14:solidFill>
              <w14:schemeClr w14:val="tx1"/>
            </w14:solidFill>
          </w14:textFill>
        </w:rPr>
      </w:pPr>
    </w:p>
    <w:p w14:paraId="22FDF408">
      <w:pPr>
        <w:spacing w:line="300" w:lineRule="exact"/>
        <w:ind w:left="-2" w:leftChars="-1" w:right="36" w:rightChars="15"/>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十、产品不成立</w:t>
      </w:r>
    </w:p>
    <w:p w14:paraId="5A45DF60">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highlight w:val="none"/>
          <w14:textFill>
            <w14:solidFill>
              <w14:schemeClr w14:val="tx1"/>
            </w14:solidFill>
          </w14:textFill>
        </w:rPr>
        <w:t>情况</w:t>
      </w:r>
      <w:r>
        <w:rPr>
          <w:rFonts w:ascii="楷体_GB2312" w:cs="楷体_GB2312" w:eastAsia="楷体_GB2312" w:hint="eastAsia"/>
          <w:color w:themeColor="text1" w:val="000000"/>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highlight w:val="none"/>
          <w14:textFill>
            <w14:solidFill>
              <w14:schemeClr w14:val="tx1"/>
            </w14:solidFill>
          </w14:textFill>
        </w:rPr>
        <w:t>通知投资者</w:t>
      </w:r>
      <w:r>
        <w:rPr>
          <w:rFonts w:ascii="楷体_GB2312" w:cs="楷体_GB2312" w:eastAsia="楷体_GB2312" w:hint="eastAsia"/>
          <w:color w:themeColor="text1" w:val="000000"/>
          <w:sz w:val="20"/>
          <w:szCs w:val="20"/>
          <w:highlight w:val="none"/>
          <w14:textFill>
            <w14:solidFill>
              <w14:schemeClr w14:val="tx1"/>
            </w14:solidFill>
          </w14:textFill>
        </w:rPr>
        <w:t>。如信银理财通知产品不成立，将于通知产品不成立之日起【2】个工作日内返还投资者本金（</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扣款日至本金返还日期间是否计付利息以及利息计付规则以销售机构为准</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通过代销机构渠道购买</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产品的，</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本金</w:t>
      </w:r>
      <w:r>
        <w:rPr>
          <w:rFonts w:ascii="楷体_GB2312" w:cs="楷体_GB2312" w:eastAsia="楷体_GB2312" w:hint="eastAsia"/>
          <w:color w:themeColor="text1" w:val="000000"/>
          <w:sz w:val="20"/>
          <w:szCs w:val="20"/>
          <w:highlight w:val="none"/>
          <w14:textFill>
            <w14:solidFill>
              <w14:schemeClr w14:val="tx1"/>
            </w14:solidFill>
          </w14:textFill>
        </w:rPr>
        <w:t>划转至</w:t>
      </w:r>
      <w:r>
        <w:rPr>
          <w:rFonts w:ascii="楷体_GB2312" w:cs="楷体_GB2312" w:eastAsia="楷体_GB2312"/>
          <w:color w:themeColor="text1" w:val="000000"/>
          <w:sz w:val="20"/>
          <w:szCs w:val="20"/>
          <w:highlight w:val="none"/>
          <w14:textFill>
            <w14:solidFill>
              <w14:schemeClr w14:val="tx1"/>
            </w14:solidFill>
          </w14:textFill>
        </w:rPr>
        <w:t>投资者账户的时间以代销机构</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清算</w:t>
      </w:r>
      <w:r>
        <w:rPr>
          <w:rFonts w:ascii="楷体_GB2312" w:cs="楷体_GB2312" w:eastAsia="楷体_GB2312"/>
          <w:color w:themeColor="text1" w:val="000000"/>
          <w:sz w:val="20"/>
          <w:szCs w:val="20"/>
          <w:highlight w:val="none"/>
          <w14:textFill>
            <w14:solidFill>
              <w14:schemeClr w14:val="tx1"/>
            </w14:solidFill>
          </w14:textFill>
        </w:rPr>
        <w:t>时间为准。</w:t>
      </w:r>
    </w:p>
    <w:p w14:paraId="24DC171A">
      <w:pPr>
        <w:snapToGrid w:val="0"/>
        <w:ind w:left="-2" w:leftChars="-1" w:right="53" w:rightChars="22"/>
        <w:rPr>
          <w:color w:themeColor="text1" w:val="00000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7582A71E">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color w:val="000000"/>
          <w:sz w:val="20"/>
          <w:szCs w:val="20"/>
          <w:highlight w:val="none"/>
        </w:rPr>
        <w:t>1．</w:t>
      </w:r>
      <w:r>
        <w:rPr>
          <w:rFonts w:ascii="楷体_GB2312" w:cs="楷体_GB2312" w:eastAsia="楷体_GB2312" w:hint="eastAsia"/>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（1）遇不可</w:t>
      </w:r>
      <w:r>
        <w:rPr>
          <w:rFonts w:ascii="楷体_GB2312" w:cs="楷体_GB2312" w:eastAsia="楷体_GB2312"/>
          <w:color w:val="000000"/>
          <w:sz w:val="20"/>
          <w:szCs w:val="20"/>
          <w:highlight w:val="none"/>
        </w:rPr>
        <w:t>抗力事件</w:t>
      </w:r>
      <w:r>
        <w:rPr>
          <w:rFonts w:ascii="楷体_GB2312" w:cs="楷体_GB2312" w:eastAsia="楷体_GB2312" w:hint="eastAsia"/>
          <w:color w:val="000000"/>
          <w:sz w:val="20"/>
          <w:szCs w:val="20"/>
          <w:highlight w:val="none"/>
        </w:rPr>
        <w:t>、</w:t>
      </w:r>
      <w:r>
        <w:rPr>
          <w:rFonts w:ascii="楷体_GB2312" w:cs="楷体_GB2312" w:eastAsia="楷体_GB2312"/>
          <w:color w:val="000000"/>
          <w:sz w:val="20"/>
          <w:szCs w:val="20"/>
          <w:highlight w:val="none"/>
        </w:rPr>
        <w:t>法律法规</w:t>
      </w:r>
      <w:r>
        <w:rPr>
          <w:rFonts w:ascii="楷体_GB2312" w:cs="楷体_GB2312" w:eastAsia="楷体_GB2312" w:hint="eastAsia"/>
          <w:color w:val="000000"/>
          <w:sz w:val="20"/>
          <w:szCs w:val="20"/>
          <w:highlight w:val="none"/>
        </w:rPr>
        <w:t>规定、</w:t>
      </w:r>
      <w:r>
        <w:rPr>
          <w:rFonts w:ascii="楷体_GB2312" w:cs="楷体_GB2312" w:eastAsia="楷体_GB2312"/>
          <w:color w:val="000000"/>
          <w:sz w:val="20"/>
          <w:szCs w:val="20"/>
          <w:highlight w:val="none"/>
        </w:rPr>
        <w:t>国家有权机关强制要求等原因导致理财产品无法继续存续</w:t>
      </w:r>
      <w:r>
        <w:rPr>
          <w:rFonts w:ascii="楷体_GB2312" w:cs="楷体_GB2312" w:eastAsia="楷体_GB2312" w:hint="eastAsia"/>
          <w:color w:val="000000"/>
          <w:sz w:val="20"/>
          <w:szCs w:val="20"/>
          <w:highlight w:val="none"/>
        </w:rPr>
        <w:t>的；</w:t>
      </w:r>
    </w:p>
    <w:p w14:paraId="7011ECB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（2）遇国家金融政策出现重大调整，或本产品所投资资产市场价格大幅下滑，或信银理财认为将</w:t>
      </w:r>
      <w:r>
        <w:rPr>
          <w:rFonts w:ascii="楷体_GB2312" w:cs="楷体_GB2312" w:eastAsia="楷体_GB2312"/>
          <w:color w:val="000000"/>
          <w:sz w:val="20"/>
          <w:szCs w:val="20"/>
          <w:highlight w:val="none"/>
        </w:rPr>
        <w:t>影响理财产品正常运作</w:t>
      </w:r>
      <w:r>
        <w:rPr>
          <w:rFonts w:ascii="楷体_GB2312" w:cs="楷体_GB2312" w:eastAsia="楷体_GB2312" w:hint="eastAsia"/>
          <w:color w:val="000000"/>
          <w:sz w:val="20"/>
          <w:szCs w:val="20"/>
          <w:highlight w:val="none"/>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w:t>
      </w:r>
      <w:r>
        <w:rPr>
          <w:rFonts w:ascii="楷体_GB2312" w:cs="楷体_GB2312" w:eastAsia="楷体_GB2312"/>
          <w:color w:val="000000"/>
          <w:sz w:val="20"/>
          <w:szCs w:val="20"/>
          <w:highlight w:val="none"/>
        </w:rPr>
        <w:t>．</w:t>
      </w:r>
      <w:r>
        <w:rPr>
          <w:rFonts w:ascii="楷体_GB2312" w:cs="楷体_GB2312" w:eastAsia="楷体_GB2312" w:hint="eastAsia"/>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highlight w:val="none"/>
        </w:rPr>
        <w:t>资金</w:t>
      </w:r>
      <w:r>
        <w:rPr>
          <w:rFonts w:ascii="楷体_GB2312" w:cs="楷体_GB2312" w:eastAsia="楷体_GB2312" w:hint="eastAsia"/>
          <w:color w:val="000000"/>
          <w:sz w:val="20"/>
          <w:szCs w:val="20"/>
          <w:highlight w:val="none"/>
        </w:rPr>
        <w:t>。投资者通过</w:t>
      </w:r>
      <w:r>
        <w:rPr>
          <w:rFonts w:ascii="楷体_GB2312" w:cs="楷体_GB2312" w:eastAsia="楷体_GB2312"/>
          <w:color w:val="000000"/>
          <w:sz w:val="20"/>
          <w:szCs w:val="20"/>
          <w:highlight w:val="none"/>
        </w:rPr>
        <w:t>代销机构购买本理财产品的</w:t>
      </w:r>
      <w:r>
        <w:rPr>
          <w:rFonts w:ascii="楷体_GB2312" w:cs="楷体_GB2312" w:eastAsia="楷体_GB2312" w:hint="eastAsia"/>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w:t>
      </w:r>
      <w:r>
        <w:rPr>
          <w:rFonts w:ascii="楷体_GB2312" w:cs="楷体_GB2312" w:eastAsia="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highlight w:val="none"/>
        </w:rPr>
      </w:pPr>
    </w:p>
    <w:p w14:paraId="001E63B7">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highlight w:val="none"/>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w:t>
      </w:r>
      <w:r>
        <w:rPr>
          <w:rFonts w:ascii="Times New Roman" w:cs="楷体_GB2312" w:eastAsia="楷体_GB2312" w:hAnsi="Times New Roman"/>
          <w:b/>
          <w:color w:themeColor="text1" w:val="000000"/>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（7）</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（8）</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国</w:t>
      </w:r>
      <w:r>
        <w:rPr>
          <w:rFonts w:ascii="Times New Roman" w:cs="楷体_GB2312" w:eastAsia="楷体_GB2312" w:hAnsi="Times New Roman"/>
          <w:b/>
          <w:color w:themeColor="text1" w:val="000000"/>
          <w:sz w:val="20"/>
          <w:szCs w:val="20"/>
          <w:highlight w:val="none"/>
          <w14:textFill>
            <w14:solidFill>
              <w14:schemeClr w14:val="tx1"/>
            </w14:solidFill>
          </w14:textFill>
        </w:rPr>
        <w:t>或</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中</w:t>
      </w:r>
      <w:r>
        <w:rPr>
          <w:rFonts w:ascii="Times New Roman" w:cs="楷体_GB2312" w:eastAsia="楷体_GB2312" w:hAnsi="Times New Roman"/>
          <w:b/>
          <w:color w:themeColor="text1" w:val="000000"/>
          <w:sz w:val="20"/>
          <w:szCs w:val="20"/>
          <w:highlight w:val="none"/>
          <w14:textFill>
            <w14:solidFill>
              <w14:schemeClr w14:val="tx1"/>
            </w14:solidFill>
          </w14:textFill>
        </w:rPr>
        <w:t>国制裁的国家和地区；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（9）</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十四、保密</w:t>
      </w:r>
      <w:r>
        <w:rPr>
          <w:rFonts w:ascii="黑体" w:cs="黑体" w:eastAsia="黑体"/>
          <w:b/>
          <w:color w:themeColor="text1" w:val="000000"/>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highlight w:val="none"/>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十五、特别提示</w:t>
      </w:r>
    </w:p>
    <w:p w14:paraId="0293E191">
      <w:pPr>
        <w:spacing w:line="300" w:lineRule="exact"/>
        <w:ind w:firstLine="402" w:firstLineChars="200"/>
        <w:jc w:val="both"/>
        <w:rPr>
          <w:b/>
          <w:color w:themeColor="text1" w:val="00000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highlight w:val="none"/>
          <w14:textFill>
            <w14:solidFill>
              <w14:schemeClr w14:val="tx1"/>
            </w14:solidFill>
          </w14:textFill>
        </w:rPr>
        <w:t>理财</w:t>
      </w:r>
      <w:r>
        <w:rPr>
          <w:rFonts w:ascii="楷体_GB2312" w:cs="楷体_GB2312" w:eastAsia="楷体_GB2312"/>
          <w:b/>
          <w:color w:themeColor="text1" w:val="000000"/>
          <w:sz w:val="20"/>
          <w:szCs w:val="20"/>
          <w:highlight w:val="none"/>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highlight w:val="none"/>
          <w14:textFill>
            <w14:solidFill>
              <w14:schemeClr w14:val="tx1"/>
            </w14:solidFill>
          </w14:textFill>
        </w:rPr>
        <w:t>理财本金全部损失风险</w:t>
      </w:r>
      <w:r>
        <w:rPr>
          <w:rFonts w:ascii="楷体_GB2312" w:cs="楷体_GB2312" w:eastAsia="楷体_GB2312"/>
          <w:b/>
          <w:color w:themeColor="text1" w:val="000000"/>
          <w:sz w:val="20"/>
          <w:szCs w:val="20"/>
          <w:highlight w:val="none"/>
          <w14:textFill>
            <w14:solidFill>
              <w14:schemeClr w14:val="tx1"/>
            </w14:solidFill>
          </w14:textFill>
        </w:rPr>
        <w:t>、合作销售机构</w:t>
      </w:r>
      <w:r>
        <w:rPr>
          <w:rFonts w:ascii="楷体_GB2312" w:cs="楷体_GB2312" w:eastAsia="楷体_GB2312" w:hint="eastAsia"/>
          <w:b/>
          <w:color w:themeColor="text1" w:val="000000"/>
          <w:sz w:val="20"/>
          <w:szCs w:val="20"/>
          <w:highlight w:val="none"/>
          <w14:textFill>
            <w14:solidFill>
              <w14:schemeClr w14:val="tx1"/>
            </w14:solidFill>
          </w14:textFill>
        </w:rPr>
        <w:t>（代销机构）</w:t>
      </w:r>
      <w:r>
        <w:rPr>
          <w:rFonts w:ascii="楷体_GB2312" w:cs="楷体_GB2312" w:eastAsia="楷体_GB2312"/>
          <w:b/>
          <w:color w:themeColor="text1" w:val="000000"/>
          <w:sz w:val="20"/>
          <w:szCs w:val="20"/>
          <w:highlight w:val="none"/>
          <w14:textFill>
            <w14:solidFill>
              <w14:schemeClr w14:val="tx1"/>
            </w14:solidFill>
          </w14:textFill>
        </w:rPr>
        <w:t>风险、操作风险</w:t>
      </w:r>
      <w:r>
        <w:rPr>
          <w:rFonts w:ascii="楷体_GB2312" w:cs="楷体_GB2312" w:eastAsia="楷体_GB2312" w:hint="eastAsia"/>
          <w:b/>
          <w:color w:themeColor="text1" w:val="000000"/>
          <w:sz w:val="20"/>
          <w:szCs w:val="20"/>
          <w:highlight w:val="none"/>
          <w14:textFill>
            <w14:solidFill>
              <w14:schemeClr w14:val="tx1"/>
            </w14:solidFill>
          </w14:textFill>
        </w:rPr>
        <w:t>、关联交易风险</w:t>
      </w:r>
      <w:r>
        <w:rPr>
          <w:rFonts w:ascii="楷体_GB2312" w:cs="楷体_GB2312" w:eastAsia="楷体_GB2312"/>
          <w:b/>
          <w:color w:themeColor="text1" w:val="000000"/>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highlight w:val="none"/>
          <w14:textFill>
            <w14:solidFill>
              <w14:schemeClr w14:val="tx1"/>
            </w14:solidFill>
          </w14:textFill>
        </w:rPr>
        <w:t>或</w:t>
      </w:r>
      <w:r>
        <w:rPr>
          <w:rFonts w:ascii="楷体_GB2312" w:eastAsia="楷体_GB2312"/>
          <w:b/>
          <w:color w:themeColor="text1" w:val="000000"/>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投资者在信银</w:t>
      </w:r>
      <w:r>
        <w:rPr>
          <w:rFonts w:ascii="楷体_GB2312" w:eastAsia="楷体_GB2312"/>
          <w:color w:themeColor="text1" w:val="000000"/>
          <w:sz w:val="20"/>
          <w:szCs w:val="20"/>
          <w:highlight w:val="none"/>
          <w14:textFill>
            <w14:solidFill>
              <w14:schemeClr w14:val="tx1"/>
            </w14:solidFill>
          </w14:textFill>
        </w:rPr>
        <w:t>理财</w:t>
      </w:r>
      <w:r>
        <w:rPr>
          <w:rFonts w:ascii="楷体_GB2312" w:eastAsia="楷体_GB2312" w:hint="eastAsia"/>
          <w:color w:themeColor="text1" w:val="000000"/>
          <w:sz w:val="20"/>
          <w:szCs w:val="20"/>
          <w:highlight w:val="none"/>
          <w14:textFill>
            <w14:solidFill>
              <w14:schemeClr w14:val="tx1"/>
            </w14:solidFill>
          </w14:textFill>
        </w:rPr>
        <w:t>营业</w:t>
      </w:r>
      <w:r>
        <w:rPr>
          <w:rFonts w:ascii="楷体_GB2312" w:eastAsia="楷体_GB2312"/>
          <w:color w:themeColor="text1" w:val="000000"/>
          <w:sz w:val="20"/>
          <w:szCs w:val="20"/>
          <w:highlight w:val="none"/>
          <w14:textFill>
            <w14:solidFill>
              <w14:schemeClr w14:val="tx1"/>
            </w14:solidFill>
          </w14:textFill>
        </w:rPr>
        <w:t>场所购买理财产品的，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签字/盖章后生效。</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通过</w:t>
      </w:r>
      <w:r>
        <w:rPr>
          <w:rFonts w:ascii="楷体_GB2312" w:eastAsia="楷体_GB2312" w:hint="eastAsia"/>
          <w:color w:themeColor="text1" w:val="000000"/>
          <w:sz w:val="20"/>
          <w:szCs w:val="20"/>
          <w:highlight w:val="none"/>
          <w14:textFill>
            <w14:solidFill>
              <w14:schemeClr w14:val="tx1"/>
            </w14:solidFill>
          </w14:textFill>
        </w:rPr>
        <w:t>信银理财</w:t>
      </w:r>
      <w:r>
        <w:rPr>
          <w:rFonts w:ascii="楷体_GB2312" w:eastAsia="楷体_GB2312"/>
          <w:color w:themeColor="text1" w:val="000000"/>
          <w:sz w:val="20"/>
          <w:szCs w:val="20"/>
          <w:highlight w:val="none"/>
          <w14:textFill>
            <w14:solidFill>
              <w14:schemeClr w14:val="tx1"/>
            </w14:solidFill>
          </w14:textFill>
        </w:rPr>
        <w:t>电子渠道购买理财产品的，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其</w:t>
      </w:r>
      <w:r>
        <w:rPr>
          <w:rFonts w:ascii="楷体_GB2312" w:eastAsia="楷体_GB2312"/>
          <w:color w:themeColor="text1" w:val="000000"/>
          <w:sz w:val="20"/>
          <w:szCs w:val="20"/>
          <w:highlight w:val="none"/>
          <w14:textFill>
            <w14:solidFill>
              <w14:schemeClr w14:val="tx1"/>
            </w14:solidFill>
          </w14:textFill>
        </w:rPr>
        <w:t>在线</w:t>
      </w:r>
      <w:r>
        <w:rPr>
          <w:rFonts w:ascii="楷体_GB2312" w:eastAsia="楷体_GB2312" w:hint="eastAsia"/>
          <w:color w:themeColor="text1" w:val="000000"/>
          <w:sz w:val="20"/>
          <w:szCs w:val="20"/>
          <w:highlight w:val="none"/>
          <w14:textFill>
            <w14:solidFill>
              <w14:schemeClr w14:val="tx1"/>
            </w14:solidFill>
          </w14:textFill>
        </w:rPr>
        <w:t>勾选</w:t>
      </w:r>
      <w:r>
        <w:rPr>
          <w:rFonts w:ascii="楷体_GB2312" w:eastAsia="楷体_GB2312"/>
          <w:color w:themeColor="text1" w:val="000000"/>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如</w:t>
      </w:r>
      <w:r>
        <w:rPr>
          <w:rFonts w:ascii="楷体_GB2312" w:eastAsia="楷体_GB2312"/>
          <w:color w:themeColor="text1" w:val="000000"/>
          <w:sz w:val="20"/>
          <w:szCs w:val="20"/>
          <w:highlight w:val="none"/>
          <w14:textFill>
            <w14:solidFill>
              <w14:schemeClr w14:val="tx1"/>
            </w14:solidFill>
          </w14:textFill>
        </w:rPr>
        <w:t>投资者通过</w:t>
      </w:r>
      <w:r>
        <w:rPr>
          <w:rFonts w:ascii="楷体_GB2312" w:eastAsia="楷体_GB2312" w:hint="eastAsia"/>
          <w:color w:themeColor="text1" w:val="000000"/>
          <w:sz w:val="20"/>
          <w:szCs w:val="20"/>
          <w:highlight w:val="none"/>
          <w14:textFill>
            <w14:solidFill>
              <w14:schemeClr w14:val="tx1"/>
            </w14:solidFill>
          </w14:textFill>
        </w:rPr>
        <w:t>信银</w:t>
      </w:r>
      <w:r>
        <w:rPr>
          <w:rFonts w:ascii="楷体_GB2312" w:eastAsia="楷体_GB2312"/>
          <w:color w:themeColor="text1" w:val="000000"/>
          <w:sz w:val="20"/>
          <w:szCs w:val="20"/>
          <w:highlight w:val="none"/>
          <w14:textFill>
            <w14:solidFill>
              <w14:schemeClr w14:val="tx1"/>
            </w14:solidFill>
          </w14:textFill>
        </w:rPr>
        <w:t>理财合作销售机构</w:t>
      </w:r>
      <w:r>
        <w:rPr>
          <w:rFonts w:ascii="楷体_GB2312" w:eastAsia="楷体_GB2312" w:hint="eastAsia"/>
          <w:color w:themeColor="text1" w:val="000000"/>
          <w:sz w:val="20"/>
          <w:szCs w:val="20"/>
          <w:highlight w:val="none"/>
          <w14:textFill>
            <w14:solidFill>
              <w14:schemeClr w14:val="tx1"/>
            </w14:solidFill>
          </w14:textFill>
        </w:rPr>
        <w:t>（代销机构）</w:t>
      </w:r>
      <w:r>
        <w:rPr>
          <w:rFonts w:ascii="楷体_GB2312" w:eastAsia="楷体_GB2312"/>
          <w:color w:themeColor="text1" w:val="000000"/>
          <w:sz w:val="20"/>
          <w:szCs w:val="20"/>
          <w:highlight w:val="none"/>
          <w14:textFill>
            <w14:solidFill>
              <w14:schemeClr w14:val="tx1"/>
            </w14:solidFill>
          </w14:textFill>
        </w:rPr>
        <w:t>购买理财产品的，</w:t>
      </w:r>
      <w:r>
        <w:rPr>
          <w:rFonts w:ascii="楷体_GB2312" w:eastAsia="楷体_GB2312" w:hint="eastAsia"/>
          <w:color w:themeColor="text1" w:val="000000"/>
          <w:sz w:val="20"/>
          <w:szCs w:val="20"/>
          <w:highlight w:val="none"/>
          <w14:textFill>
            <w14:solidFill>
              <w14:schemeClr w14:val="tx1"/>
            </w14:solidFill>
          </w14:textFill>
        </w:rPr>
        <w:t>说明书</w:t>
      </w:r>
      <w:r>
        <w:rPr>
          <w:rFonts w:ascii="楷体_GB2312" w:eastAsia="楷体_GB2312"/>
          <w:color w:themeColor="text1" w:val="000000"/>
          <w:sz w:val="20"/>
          <w:szCs w:val="20"/>
          <w:highlight w:val="none"/>
          <w14:textFill>
            <w14:solidFill>
              <w14:schemeClr w14:val="tx1"/>
            </w14:solidFill>
          </w14:textFill>
        </w:rPr>
        <w:t>签署及生效方式以</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与</w:t>
      </w:r>
      <w:r>
        <w:rPr>
          <w:rFonts w:ascii="楷体_GB2312" w:eastAsia="楷体_GB2312" w:hint="eastAsia"/>
          <w:color w:themeColor="text1" w:val="000000"/>
          <w:sz w:val="20"/>
          <w:szCs w:val="20"/>
          <w:highlight w:val="none"/>
          <w14:textFill>
            <w14:solidFill>
              <w14:schemeClr w14:val="tx1"/>
            </w14:solidFill>
          </w14:textFill>
        </w:rPr>
        <w:t>代销机构约定</w:t>
      </w:r>
      <w:r>
        <w:rPr>
          <w:rFonts w:ascii="楷体_GB2312" w:eastAsia="楷体_GB2312"/>
          <w:color w:themeColor="text1" w:val="000000"/>
          <w:sz w:val="20"/>
          <w:szCs w:val="20"/>
          <w:highlight w:val="none"/>
          <w14:textFill>
            <w14:solidFill>
              <w14:schemeClr w14:val="tx1"/>
            </w14:solidFill>
          </w14:textFill>
        </w:rPr>
        <w:t>为准。</w:t>
      </w:r>
    </w:p>
    <w:p w14:paraId="67BD9647">
      <w:pPr>
        <w:pStyle w:val="20"/>
        <w:spacing w:line="300" w:lineRule="exact"/>
        <w:ind w:firstLine="0" w:firstLineChars="0" w:left="786" w:right="36" w:rightChars="15"/>
        <w:rPr>
          <w:rFonts w:ascii="楷体_GB2312" w:eastAsia="楷体_GB2312"/>
          <w:color w:themeColor="text1" w:val="000000"/>
          <w:sz w:val="20"/>
          <w:szCs w:val="20"/>
          <w:highlight w:val="none"/>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cs="楷体_GB2312" w:eastAsia="楷体_GB2312"/>
          <w:b/>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eastAsia="楷体_GB2312" w:hint="eastAsia"/>
          <w:b/>
          <w:color w:themeColor="text1" w:val="000000"/>
          <w:sz w:val="20"/>
          <w:szCs w:val="20"/>
          <w:highlight w:val="none"/>
          <w:lang w:eastAsia="zh-CN" w:val="en-US"/>
          <w14:textFill>
            <w14:solidFill>
              <w14:schemeClr w14:val="tx1"/>
            </w14:solidFill>
          </w14:textFill>
        </w:rPr>
        <w:t>2</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7FFDA4E7">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3</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（以下无正文）</w:t>
      </w:r>
    </w:p>
    <w:p w14:paraId="02C242E4">
      <w:pPr>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ascii="黑体" w:eastAsia="黑体" w:hint="eastAsia"/>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ascii="黑体" w:eastAsia="黑体" w:hint="eastAsia"/>
          <w:b/>
          <w:bCs/>
          <w:color w:val="000000"/>
          <w:highlight w:val="none"/>
        </w:rPr>
        <w:t>点击</w:t>
      </w:r>
      <w:r>
        <w:rPr>
          <w:rFonts w:ascii="黑体" w:eastAsia="黑体"/>
          <w:b/>
          <w:bCs/>
          <w:color w:val="000000"/>
          <w:highlight w:val="none"/>
        </w:rPr>
        <w:t>确认</w:t>
      </w:r>
      <w:r>
        <w:rPr>
          <w:rFonts w:ascii="黑体" w:eastAsia="黑体" w:hint="eastAsia"/>
          <w:b/>
          <w:bCs/>
          <w:color w:val="000000"/>
          <w:highlight w:val="none"/>
        </w:rPr>
        <w:t>即表示已知晓并同意本产品说明书的全部</w:t>
      </w:r>
      <w:r>
        <w:rPr>
          <w:rFonts w:ascii="黑体" w:eastAsia="黑体"/>
          <w:b/>
          <w:bCs/>
          <w:color w:val="000000"/>
          <w:highlight w:val="none"/>
        </w:rPr>
        <w:t>内容</w:t>
      </w:r>
      <w:r>
        <w:rPr>
          <w:rFonts w:ascii="黑体" w:eastAsia="黑体" w:hint="eastAsia"/>
          <w:b/>
          <w:bCs/>
          <w:color w:val="000000"/>
          <w:highlight w:val="none"/>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highlight w:val="none"/>
          <w14:textFill>
            <w14:solidFill>
              <w14:schemeClr w14:val="tx1"/>
            </w14:solidFill>
          </w14:textFill>
        </w:rPr>
      </w:pPr>
    </w:p>
    <w:p w14:paraId="36531B80">
      <w:pPr>
        <w:spacing w:line="300" w:lineRule="exact"/>
        <w:ind w:left="-2" w:leftChars="-1" w:right="36" w:rightChars="15"/>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个人客户（签字）：</w:t>
      </w:r>
      <w:r>
        <w:rPr>
          <w:rFonts w:ascii="黑体" w:eastAsia="黑体" w:hAnsi="Times New Roman"/>
          <w:color w:themeColor="text1" w:val="000000"/>
          <w:highlight w:val="none"/>
          <w14:textFill>
            <w14:solidFill>
              <w14:schemeClr w14:val="tx1"/>
            </w14:solidFill>
          </w14:textFill>
        </w:rPr>
        <w:t xml:space="preserve">            </w:t>
      </w:r>
    </w:p>
    <w:p w14:paraId="12D9C461">
      <w:pPr>
        <w:ind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color w:themeColor="text1" w:val="000000"/>
          <w:highlight w:val="none"/>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日期：年 月 日                      </w:t>
      </w:r>
      <w:r>
        <w:rPr>
          <w:rFonts w:ascii="黑体" w:cs="Arial" w:eastAsia="黑体" w:hAnsi="Times New Roman"/>
          <w:color w:themeColor="text1" w:val="000000"/>
          <w:highlight w:val="none"/>
          <w14:textFill>
            <w14:solidFill>
              <w14:schemeClr w14:val="tx1"/>
            </w14:solidFill>
          </w14:textFill>
        </w:rPr>
        <w:t xml:space="preserve"> </w:t>
      </w:r>
    </w:p>
    <w:p w14:paraId="77FB3896">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DF61205">
      <w:pPr>
        <w:ind w:right="-902" w:rightChars="-376"/>
        <w:rPr>
          <w:rFonts w:ascii="黑体" w:eastAsia="黑体" w:hAnsi="Times New Roman"/>
          <w:color w:themeColor="text1" w:val="000000"/>
          <w:highlight w:val="none"/>
          <w14:textFill>
            <w14:solidFill>
              <w14:schemeClr w14:val="tx1"/>
            </w14:solidFill>
          </w14:textFill>
        </w:rPr>
      </w:pPr>
    </w:p>
    <w:p w14:paraId="268B66FA">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机构客户（</w:t>
      </w:r>
      <w:r>
        <w:rPr>
          <w:rFonts w:ascii="黑体" w:eastAsia="黑体" w:hAnsi="Times New Roman" w:hint="eastAsia"/>
          <w:color w:themeColor="text1" w:val="000000"/>
          <w:highlight w:val="none"/>
          <w:lang w:eastAsia="zh-CN" w:val="en-US"/>
          <w14:textFill>
            <w14:solidFill>
              <w14:schemeClr w14:val="tx1"/>
            </w14:solidFill>
          </w14:textFill>
        </w:rPr>
        <w:t>盖章</w:t>
      </w:r>
      <w:r>
        <w:rPr>
          <w:rFonts w:ascii="黑体" w:eastAsia="黑体" w:hAnsi="Times New Roman" w:hint="eastAsia"/>
          <w:color w:themeColor="text1" w:val="000000"/>
          <w:highlight w:val="none"/>
          <w14:textFill>
            <w14:solidFill>
              <w14:schemeClr w14:val="tx1"/>
            </w14:solidFill>
          </w14:textFill>
        </w:rPr>
        <w:t>）：</w:t>
      </w:r>
      <w:r>
        <w:rPr>
          <w:rFonts w:ascii="黑体" w:eastAsia="黑体" w:hAnsi="Times New Roman"/>
          <w:color w:themeColor="text1" w:val="000000"/>
          <w:highlight w:val="none"/>
          <w14:textFill>
            <w14:solidFill>
              <w14:schemeClr w14:val="tx1"/>
            </w14:solidFill>
          </w14:textFill>
        </w:rPr>
        <w:t xml:space="preserve">                    </w:t>
      </w:r>
    </w:p>
    <w:p w14:paraId="7BC033DC">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0771BA6F">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法定代表人或负责人（签字或签章）：</w:t>
      </w:r>
    </w:p>
    <w:p w14:paraId="58BC0A8A">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CB3F808">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日期：年</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月</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425AB49C">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16E47E8C">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16</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hanging="425" w:left="425"/>
      </w:pPr>
      <w:rPr>
        <w:rFonts w:hint="default"/>
      </w:rPr>
    </w:lvl>
  </w:abstractNum>
  <w:abstractNum w:abstractNumId="1">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5">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7">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8">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10"/>
  <w:bordersDoNotSurroundHeader w:val="0"/>
  <w:bordersDoNotSurroundFooter w:val="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55D6"/>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ADF54C9"/>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B61DFB"/>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5271AC"/>
    <w:rsid w:val="2B8E7BE2"/>
    <w:rsid w:val="2BAA041B"/>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0F5E9F"/>
    <w:rsid w:val="38AA320E"/>
    <w:rsid w:val="391D0E7F"/>
    <w:rsid w:val="395F0A57"/>
    <w:rsid w:val="39C36502"/>
    <w:rsid w:val="3A7A5E93"/>
    <w:rsid w:val="3A887993"/>
    <w:rsid w:val="3AD774B7"/>
    <w:rsid w:val="3B5A0EDF"/>
    <w:rsid w:val="3C9712EE"/>
    <w:rsid w:val="3D0B5ABA"/>
    <w:rsid w:val="3EBB37EE"/>
    <w:rsid w:val="3ED41958"/>
    <w:rsid w:val="3EF8134F"/>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9DE3E7C"/>
    <w:rsid w:val="4A097F8F"/>
    <w:rsid w:val="4A221927"/>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222BCE"/>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D1B69A1"/>
    <w:rsid w:val="7D79C22C"/>
    <w:rsid w:val="7D9A67A9"/>
    <w:rsid w:val="7F3E5D45"/>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qFormat="1"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1" w:type="character">
    <w:name w:val="Default Paragraph Font"/>
    <w:semiHidden/>
    <w:unhideWhenUsed/>
    <w:qFormat/>
    <w:uiPriority w:val="1"/>
  </w:style>
  <w:style w:default="1" w:styleId="9"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8"/>
    <w:unhideWhenUsed/>
    <w:qFormat/>
    <w:uiPriority w:val="99"/>
  </w:style>
  <w:style w:styleId="3" w:type="paragraph">
    <w:name w:val="Balloon Text"/>
    <w:basedOn w:val="1"/>
    <w:link w:val="16"/>
    <w:qFormat/>
    <w:uiPriority w:val="0"/>
    <w:rPr>
      <w:sz w:val="18"/>
      <w:szCs w:val="18"/>
    </w:rPr>
  </w:style>
  <w:style w:styleId="4" w:type="paragraph">
    <w:name w:val="footer"/>
    <w:basedOn w:val="1"/>
    <w:link w:val="15"/>
    <w:qFormat/>
    <w:uiPriority w:val="99"/>
    <w:pPr>
      <w:tabs>
        <w:tab w:pos="4153" w:val="center"/>
        <w:tab w:pos="8306" w:val="right"/>
      </w:tabs>
      <w:snapToGrid w:val="0"/>
    </w:pPr>
    <w:rPr>
      <w:sz w:val="18"/>
      <w:szCs w:val="18"/>
    </w:rPr>
  </w:style>
  <w:style w:styleId="5" w:type="paragraph">
    <w:name w:val="header"/>
    <w:basedOn w:val="1"/>
    <w:link w:val="14"/>
    <w:qFormat/>
    <w:uiPriority w:val="99"/>
    <w:pPr>
      <w:pBdr>
        <w:bottom w:color="auto" w:space="1" w:sz="6" w:val="single"/>
      </w:pBdr>
      <w:tabs>
        <w:tab w:pos="4153" w:val="center"/>
        <w:tab w:pos="8306" w:val="right"/>
      </w:tabs>
      <w:snapToGrid w:val="0"/>
      <w:jc w:val="center"/>
    </w:pPr>
    <w:rPr>
      <w:sz w:val="18"/>
      <w:szCs w:val="18"/>
    </w:rPr>
  </w:style>
  <w:style w:styleId="6" w:type="paragraph">
    <w:name w:val="HTML Preformatted"/>
    <w:basedOn w:val="1"/>
    <w:semiHidden/>
    <w:unhideWhenUsed/>
    <w:qFormat/>
    <w:uiPriority w:val="0"/>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eastAsia="宋体" w:hAnsi="宋体" w:hint="eastAsia"/>
      <w:kern w:val="0"/>
      <w:sz w:val="24"/>
      <w:szCs w:val="24"/>
      <w:lang w:bidi="ar" w:eastAsia="zh-CN" w:val="en-US"/>
    </w:rPr>
  </w:style>
  <w:style w:styleId="7" w:type="paragraph">
    <w:name w:val="Normal (Web)"/>
    <w:basedOn w:val="1"/>
    <w:semiHidden/>
    <w:unhideWhenUsed/>
    <w:qFormat/>
    <w:uiPriority w:val="0"/>
    <w:pPr>
      <w:spacing w:afterAutospacing="1" w:beforeAutospacing="1"/>
    </w:pPr>
    <w:rPr>
      <w:rFonts w:cs="Times New Roman"/>
    </w:rPr>
  </w:style>
  <w:style w:styleId="8" w:type="paragraph">
    <w:name w:val="annotation subject"/>
    <w:basedOn w:val="2"/>
    <w:next w:val="2"/>
    <w:link w:val="19"/>
    <w:semiHidden/>
    <w:unhideWhenUsed/>
    <w:qFormat/>
    <w:uiPriority w:val="0"/>
    <w:rPr>
      <w:b/>
      <w:bCs/>
    </w:rPr>
  </w:style>
  <w:style w:styleId="10" w:type="table">
    <w:name w:val="Table Grid"/>
    <w:basedOn w:val="9"/>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2" w:type="character">
    <w:name w:val="Hyperlink"/>
    <w:basedOn w:val="11"/>
    <w:unhideWhenUsed/>
    <w:qFormat/>
    <w:uiPriority w:val="0"/>
    <w:rPr>
      <w:color w:themeColor="hyperlink" w:val="0000FF"/>
      <w:u w:val="single"/>
      <w14:textFill>
        <w14:solidFill>
          <w14:schemeClr w14:val="hlink"/>
        </w14:solidFill>
      </w14:textFill>
    </w:rPr>
  </w:style>
  <w:style w:styleId="13" w:type="character">
    <w:name w:val="annotation reference"/>
    <w:basedOn w:val="11"/>
    <w:semiHidden/>
    <w:unhideWhenUsed/>
    <w:qFormat/>
    <w:uiPriority w:val="0"/>
    <w:rPr>
      <w:sz w:val="21"/>
      <w:szCs w:val="21"/>
    </w:rPr>
  </w:style>
  <w:style w:customStyle="1" w:styleId="14" w:type="character">
    <w:name w:val="页眉 Char"/>
    <w:link w:val="5"/>
    <w:qFormat/>
    <w:uiPriority w:val="99"/>
    <w:rPr>
      <w:rFonts w:ascii="宋体" w:cs="宋体" w:eastAsia="宋体" w:hAnsi="宋体"/>
      <w:sz w:val="18"/>
      <w:szCs w:val="18"/>
    </w:rPr>
  </w:style>
  <w:style w:customStyle="1" w:styleId="15" w:type="character">
    <w:name w:val="页脚 Char"/>
    <w:link w:val="4"/>
    <w:qFormat/>
    <w:uiPriority w:val="99"/>
    <w:rPr>
      <w:rFonts w:ascii="宋体" w:cs="宋体" w:eastAsia="宋体" w:hAnsi="宋体"/>
      <w:sz w:val="18"/>
      <w:szCs w:val="18"/>
    </w:rPr>
  </w:style>
  <w:style w:customStyle="1" w:styleId="16" w:type="character">
    <w:name w:val="批注框文本 Char"/>
    <w:link w:val="3"/>
    <w:qFormat/>
    <w:uiPriority w:val="0"/>
    <w:rPr>
      <w:rFonts w:ascii="宋体" w:cs="宋体" w:eastAsia="宋体" w:hAnsi="宋体"/>
      <w:sz w:val="18"/>
      <w:szCs w:val="18"/>
    </w:rPr>
  </w:style>
  <w:style w:customStyle="1" w:styleId="17" w:type="paragraph">
    <w:name w:val="普通(网站)1"/>
    <w:basedOn w:val="1"/>
    <w:qFormat/>
    <w:uiPriority w:val="0"/>
    <w:pPr>
      <w:spacing w:after="100" w:afterAutospacing="1" w:before="100" w:beforeAutospacing="1"/>
    </w:pPr>
  </w:style>
  <w:style w:customStyle="1" w:styleId="18" w:type="character">
    <w:name w:val="批注文字 Char"/>
    <w:basedOn w:val="11"/>
    <w:link w:val="2"/>
    <w:qFormat/>
    <w:uiPriority w:val="99"/>
    <w:rPr>
      <w:rFonts w:ascii="宋体" w:cs="宋体" w:hAnsi="宋体"/>
      <w:sz w:val="24"/>
      <w:szCs w:val="24"/>
    </w:rPr>
  </w:style>
  <w:style w:customStyle="1" w:styleId="19" w:type="character">
    <w:name w:val="批注主题 Char"/>
    <w:basedOn w:val="18"/>
    <w:link w:val="8"/>
    <w:semiHidden/>
    <w:qFormat/>
    <w:uiPriority w:val="0"/>
    <w:rPr>
      <w:rFonts w:ascii="宋体" w:cs="宋体" w:hAnsi="宋体"/>
      <w:b/>
      <w:bCs/>
      <w:sz w:val="24"/>
      <w:szCs w:val="24"/>
    </w:rPr>
  </w:style>
  <w:style w:styleId="20" w:type="paragraph">
    <w:name w:val="List Paragraph"/>
    <w:basedOn w:val="1"/>
    <w:qFormat/>
    <w:uiPriority w:val="34"/>
    <w:pPr>
      <w:ind w:firstLine="420" w:firstLineChars="200"/>
    </w:pPr>
  </w:style>
  <w:style w:customStyle="1" w:styleId="21" w:type="paragraph">
    <w:name w:val="修订1"/>
    <w:hidden/>
    <w:semiHidden/>
    <w:qFormat/>
    <w:uiPriority w:val="99"/>
    <w:rPr>
      <w:rFonts w:ascii="宋体" w:cs="宋体" w:eastAsia="宋体" w:hAnsi="宋体"/>
      <w:sz w:val="24"/>
      <w:szCs w:val="24"/>
      <w:lang w:bidi="ar-SA" w:eastAsia="zh-CN" w:val="en-US"/>
    </w:rPr>
  </w:style>
  <w:style w:customStyle="1" w:styleId="22" w:type="paragraph">
    <w:name w:val="修订2"/>
    <w:hidden/>
    <w:semiHidden/>
    <w:qFormat/>
    <w:uiPriority w:val="99"/>
    <w:rPr>
      <w:rFonts w:ascii="宋体" w:cs="宋体" w:eastAsia="宋体" w:hAnsi="宋体"/>
      <w:sz w:val="24"/>
      <w:szCs w:val="24"/>
      <w:lang w:bidi="ar-SA" w:eastAsia="zh-CN" w:val="en-US"/>
    </w:rPr>
  </w:style>
  <w:style w:customStyle="1" w:styleId="23" w:type="paragraph">
    <w:name w:val="Char Char"/>
    <w:basedOn w:val="1"/>
    <w:qFormat/>
    <w:uiPriority w:val="0"/>
    <w:pPr>
      <w:widowControl w:val="0"/>
      <w:jc w:val="both"/>
    </w:pPr>
    <w:rPr>
      <w:rFonts w:ascii="Times New Roman" w:cs="Times New Roman" w:hAnsi="Times New Roman"/>
      <w:kern w:val="2"/>
      <w:sz w:val="21"/>
      <w:szCs w:val="20"/>
    </w:rPr>
  </w:style>
  <w:style w:customStyle="1" w:styleId="24"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5"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6" w:type="paragraph">
    <w:name w:val="修订3"/>
    <w:hidden/>
    <w:semiHidden/>
    <w:qFormat/>
    <w:uiPriority w:val="99"/>
    <w:rPr>
      <w:rFonts w:ascii="宋体" w:cs="宋体" w:eastAsia="宋体" w:hAnsi="宋体"/>
      <w:sz w:val="24"/>
      <w:szCs w:val="24"/>
      <w:lang w:bidi="ar-SA" w:eastAsia="zh-CN" w:val="en-US"/>
    </w:rPr>
  </w:style>
  <w:style w:customStyle="1" w:styleId="27" w:type="character">
    <w:name w:val="bjh-strong"/>
    <w:basedOn w:val="11"/>
    <w:qFormat/>
    <w:uiPriority w:val="0"/>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header2.xml" Type="http://schemas.openxmlformats.org/officeDocument/2006/relationships/header"/>
<Relationship Id="rId6" Target="header3.xml" Type="http://schemas.openxmlformats.org/officeDocument/2006/relationships/head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28</Pages>
  <Words>4237</Words>
  <Characters>24152</Characters>
  <Lines>201</Lines>
  <Paragraphs>56</Paragraphs>
  <TotalTime>27</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2026-08-11T01:13:23Z</dcterms:modified>
  <cp:revision>68</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2052-12.8.2.20793</vt:lpwstr>
  </property>
  <property fmtid="{D5CDD505-2E9C-101B-9397-08002B2CF9AE}" name="ICV" pid="3">
    <vt:lpwstr>8BF2B1701AE2498E5DCE0F67A2B84A9C_43</vt:lpwstr>
  </property>
</Properties>
</file>