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68A94D86">
      <w:pPr>
        <w:shd w:color="auto" w:fill="FFFFFF" w:val="clear"/>
        <w:spacing w:line="300" w:lineRule="exact"/>
        <w:jc w:val="center"/>
        <w:outlineLvl w:val="1"/>
        <w:rPr>
          <w:rFonts w:ascii="Times New Roman" w:cs="Times New Roman" w:eastAsia="黑体" w:hAnsi="Times New Roman"/>
          <w:b/>
          <w:bCs/>
          <w:sz w:val="22"/>
          <w:highlight w:val="none"/>
        </w:rPr>
      </w:pPr>
      <w:r>
        <w:rPr>
          <w:rFonts w:ascii="Times New Roman" w:cs="Times New Roman" w:eastAsia="黑体" w:hAnsi="Times New Roman" w:hint="eastAsia"/>
          <w:b/>
          <w:bCs/>
          <w:sz w:val="22"/>
          <w:highlight w:val="none"/>
        </w:rPr>
        <w:t>信银理财理财产品投资协议书</w:t>
      </w:r>
    </w:p>
    <w:p w14:paraId="52DE90FC">
      <w:pPr>
        <w:spacing w:line="300" w:lineRule="exact"/>
        <w:ind w:firstLine="480"/>
        <w:rPr>
          <w:rFonts w:ascii="Times New Roman" w:cs="Times New Roman" w:eastAsia="楷体_GB2312" w:hAnsi="Times New Roman"/>
          <w:sz w:val="20"/>
          <w:szCs w:val="20"/>
          <w:highlight w:val="none"/>
        </w:rPr>
      </w:pPr>
    </w:p>
    <w:p w14:paraId="79341D91">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甲方：投资者（投资者信息详见签署页）</w:t>
      </w:r>
    </w:p>
    <w:p w14:paraId="6A0D581D">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乙方：信银理财有限责任公司</w:t>
      </w:r>
    </w:p>
    <w:p w14:paraId="123DE34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sz w:val="20"/>
          <w:szCs w:val="20"/>
          <w:highlight w:val="none"/>
        </w:rPr>
        <w:t xml:space="preserve">   </w:t>
      </w:r>
    </w:p>
    <w:p w14:paraId="06049925">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经甲方和乙方平等协商，就甲方认购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申购乙方发行的理财产品（以下简称</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理财产品</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），达成本协议如下：</w:t>
      </w:r>
    </w:p>
    <w:p w14:paraId="48B1197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一、适用范围</w:t>
      </w:r>
    </w:p>
    <w:p w14:paraId="3083C71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甲方在认购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申购乙方发行的理财产品之前应签署本协议。本协议生效后，甲方认购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申购乙方发行的理财产品的，均适用本协议。</w:t>
      </w:r>
    </w:p>
    <w:p w14:paraId="4EDAF4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本协议为规范甲乙双方在理财业务中权利与义务的法律文件，与甲方认购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申购乙方多</w:t>
      </w:r>
      <w:r>
        <w:rPr>
          <w:rFonts w:ascii="Times New Roman" w:cs="Times New Roman" w:eastAsia="楷体_GB2312" w:hAnsi="Times New Roman" w:hint="eastAsia"/>
          <w:sz w:val="20"/>
          <w:szCs w:val="20"/>
          <w:highlight w:val="none"/>
          <w:lang w:eastAsia="zh-CN" w:val="en-US"/>
        </w:rPr>
        <w:t>只</w:t>
      </w:r>
      <w:r>
        <w:rPr>
          <w:rFonts w:ascii="Times New Roman" w:cs="Times New Roman" w:eastAsia="楷体_GB2312" w:hAnsi="Times New Roman" w:hint="eastAsia"/>
          <w:sz w:val="20"/>
          <w:szCs w:val="20"/>
          <w:highlight w:val="none"/>
        </w:rPr>
        <w:t>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本协议不作为甲方认购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申购或持有理财产品的凭证。</w:t>
      </w:r>
    </w:p>
    <w:p w14:paraId="00AD07E1">
      <w:pPr>
        <w:spacing w:line="300" w:lineRule="exact"/>
        <w:rPr>
          <w:rFonts w:ascii="Times New Roman" w:cs="Times New Roman" w:eastAsia="楷体_GB2312" w:hAnsi="Times New Roman"/>
          <w:sz w:val="20"/>
          <w:szCs w:val="20"/>
          <w:highlight w:val="none"/>
        </w:rPr>
      </w:pPr>
    </w:p>
    <w:p w14:paraId="34433425">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二、风险提示</w:t>
      </w:r>
    </w:p>
    <w:p w14:paraId="3786D10E">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本产品为</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固定收益类</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产品</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具体投资对象</w:t>
      </w:r>
      <w:r>
        <w:rPr>
          <w:rFonts w:ascii="Times New Roman" w:cs="Times New Roman" w:eastAsia="楷体_GB2312" w:hAnsi="Times New Roman"/>
          <w:b/>
          <w:bCs/>
          <w:sz w:val="20"/>
          <w:szCs w:val="20"/>
          <w:highlight w:val="none"/>
        </w:rPr>
        <w:t>投资比例如下：</w:t>
      </w:r>
    </w:p>
    <w:tbl>
      <w:tblPr>
        <w:tblStyle w:val="9"/>
        <w:tblW w:type="pct" w:w="3778"/>
        <w:tblInd w:type="dxa" w:w="79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top w:type="dxa" w:w="0"/>
          <w:left w:type="dxa" w:w="108"/>
          <w:bottom w:type="dxa" w:w="0"/>
          <w:right w:type="dxa" w:w="108"/>
        </w:tblCellMar>
      </w:tblPr>
      <w:tblGrid>
        <w:gridCol w:w="4253"/>
        <w:gridCol w:w="2191"/>
      </w:tblGrid>
      <w:tr w14:paraId="27F6A79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1FBCB2A0">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资产种类</w:t>
            </w:r>
          </w:p>
        </w:tc>
        <w:tc>
          <w:tcPr>
            <w:tcW w:type="pct" w:w="1699"/>
            <w:vAlign w:val="center"/>
          </w:tcPr>
          <w:p w14:paraId="6AB5185B">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投资比例</w:t>
            </w:r>
          </w:p>
        </w:tc>
      </w:tr>
      <w:tr w14:paraId="554C5718">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62E33C8">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债权类资产</w:t>
            </w:r>
          </w:p>
        </w:tc>
        <w:tc>
          <w:tcPr>
            <w:tcW w:type="pct" w:w="1699"/>
            <w:vAlign w:val="center"/>
          </w:tcPr>
          <w:p w14:paraId="78317B48">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【80%-100%</w:t>
            </w:r>
            <w:r>
              <w:rPr>
                <w:rFonts w:ascii="楷体" w:eastAsia="楷体" w:hAnsi="楷体"/>
                <w:sz w:val="20"/>
                <w:szCs w:val="20"/>
                <w:highlight w:val="none"/>
              </w:rPr>
              <w:t/>
            </w:r>
            <w:r>
              <w:rPr>
                <w:rFonts w:ascii="楷体" w:eastAsia="楷体" w:hAnsi="楷体" w:hint="eastAsia"/>
                <w:sz w:val="20"/>
                <w:szCs w:val="20"/>
                <w:highlight w:val="none"/>
              </w:rPr>
              <w:t>】</w:t>
            </w:r>
          </w:p>
        </w:tc>
      </w:tr>
      <w:tr w14:paraId="247B28D3">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F42DB1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其中</w:t>
            </w:r>
            <w:r>
              <w:rPr>
                <w:rFonts w:ascii="楷体" w:eastAsia="楷体" w:hAnsi="楷体"/>
                <w:color w:val="000000"/>
                <w:sz w:val="20"/>
                <w:szCs w:val="20"/>
                <w:highlight w:val="none"/>
              </w:rPr>
              <w:t>，非标准化债权类资产</w:t>
            </w:r>
          </w:p>
        </w:tc>
        <w:tc>
          <w:tcPr>
            <w:tcW w:type="pct" w:w="1699"/>
            <w:vAlign w:val="center"/>
          </w:tcPr>
          <w:p w14:paraId="6AD097A7">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【0%-49%</w:t>
            </w:r>
            <w:r>
              <w:rPr>
                <w:rFonts w:ascii="楷体" w:eastAsia="楷体" w:hAnsi="楷体"/>
                <w:sz w:val="20"/>
                <w:szCs w:val="20"/>
                <w:highlight w:val="none"/>
              </w:rPr>
              <w:t>】</w:t>
            </w:r>
          </w:p>
        </w:tc>
      </w:tr>
      <w:tr w14:paraId="2EBA9D5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5F654DE4">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权益类资产</w:t>
            </w:r>
          </w:p>
        </w:tc>
        <w:tc>
          <w:tcPr>
            <w:tcW w:type="pct" w:w="1699"/>
            <w:vAlign w:val="center"/>
          </w:tcPr>
          <w:p w14:paraId="586ECE09">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w:t>
            </w:r>
            <w:r>
              <w:rPr>
                <w:rFonts w:ascii="楷体" w:eastAsia="楷体" w:hAnsi="楷体"/>
                <w:sz w:val="20"/>
                <w:szCs w:val="20"/>
                <w:highlight w:val="none"/>
              </w:rPr>
              <w:t/>
            </w:r>
            <w:r>
              <w:rPr>
                <w:rFonts w:ascii="楷体" w:eastAsia="楷体" w:hAnsi="楷体" w:hint="eastAsia"/>
                <w:sz w:val="20"/>
                <w:szCs w:val="20"/>
                <w:highlight w:val="none"/>
              </w:rPr>
              <w:t>】</w:t>
            </w:r>
          </w:p>
        </w:tc>
      </w:tr>
      <w:tr w14:paraId="703672B4">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3C2B6D1B">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资产：持仓合约价值</w:t>
            </w:r>
          </w:p>
        </w:tc>
        <w:tc>
          <w:tcPr>
            <w:tcW w:type="pct" w:w="1699"/>
            <w:vAlign w:val="center"/>
          </w:tcPr>
          <w:p w14:paraId="6180547C">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06005549">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rPr>
          <w:trHeight w:hRule="atLeast" w:val="56"/>
        </w:trPr>
        <w:tc>
          <w:tcPr>
            <w:tcW w:type="pct" w:w="3300"/>
            <w:vAlign w:val="center"/>
          </w:tcPr>
          <w:p w14:paraId="173B0FB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资产：衍生品账户权益</w:t>
            </w:r>
          </w:p>
        </w:tc>
        <w:tc>
          <w:tcPr>
            <w:tcW w:type="pct" w:w="1699"/>
            <w:vAlign w:val="center"/>
          </w:tcPr>
          <w:p w14:paraId="6802913A">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bl>
    <w:p w14:paraId="12BA1F3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投资者投资本产品可能面临的特定风险主要包括（但不限于）</w:t>
      </w:r>
    </w:p>
    <w:p w14:paraId="5C815FBB">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（1）投资债权类资产的风险</w:t>
      </w:r>
    </w:p>
    <w:p w14:paraId="4F1920C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1）投资标准化债权类资产的风险</w:t>
      </w:r>
    </w:p>
    <w:p w14:paraId="0907430D">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）投资非标准化债权类资产的风险</w:t>
      </w:r>
    </w:p>
    <w:p w14:paraId="407FB6C8">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）投资权益类资产的风险</w:t>
      </w:r>
    </w:p>
    <w:p w14:paraId="7DED56E1">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1）投资普通股票可能面临的风险</w:t>
      </w:r>
    </w:p>
    <w:p w14:paraId="080C1D6F">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2）投资优先股可能面临的风险</w:t>
      </w:r>
    </w:p>
    <w:p w14:paraId="08F8364A">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3</w:t>
      </w:r>
      <w:r>
        <w:rPr>
          <w:rFonts w:ascii="Times New Roman" w:cs="Times New Roman" w:eastAsia="楷体_GB2312" w:hAnsi="Times New Roman" w:hint="eastAsia"/>
          <w:b/>
          <w:bCs/>
          <w:sz w:val="20"/>
          <w:szCs w:val="20"/>
          <w:highlight w:val="none"/>
        </w:rPr>
        <w:t>）投资商品及金融衍生品类资产的风险</w:t>
      </w:r>
    </w:p>
    <w:p w14:paraId="71AD651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cs="Times New Roman" w:eastAsia="楷体_GB2312" w:hAnsi="Times New Roman"/>
          <w:b/>
          <w:bCs/>
          <w:sz w:val="20"/>
          <w:szCs w:val="20"/>
          <w:highlight w:val="none"/>
        </w:rPr>
      </w:pPr>
    </w:p>
    <w:p w14:paraId="0C298D9E">
      <w:pPr>
        <w:spacing w:line="300" w:lineRule="exact"/>
        <w:ind w:firstLine="480"/>
        <w:rPr>
          <w:rFonts w:ascii="Times New Roman" w:cs="Times New Roman" w:eastAsia="楷体_GB2312" w:hAnsi="Times New Roman"/>
          <w:b/>
          <w:bCs/>
          <w:i/>
          <w:szCs w:val="20"/>
          <w:highlight w:val="none"/>
          <w:u w:val="single"/>
        </w:rPr>
      </w:pPr>
      <w:r>
        <w:rPr>
          <w:rFonts w:ascii="Times New Roman" w:cs="Times New Roman" w:eastAsia="楷体_GB2312" w:hAnsi="Times New Roman" w:hint="eastAsia"/>
          <w:b/>
          <w:bCs/>
          <w:i/>
          <w:szCs w:val="20"/>
          <w:highlight w:val="none"/>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cs="Times New Roman" w:eastAsia="楷体_GB2312" w:hAnsi="Times New Roman"/>
          <w:b/>
          <w:bCs/>
          <w:sz w:val="20"/>
          <w:szCs w:val="20"/>
          <w:highlight w:val="none"/>
        </w:rPr>
      </w:pPr>
    </w:p>
    <w:p w14:paraId="3B31B268">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理财非存款、产品有风险、投资须谨慎，理财产品过往业绩不代表其未来表现，不等于理财产品实际收益。投资者投资理财产品的，请关注产品各类</w:t>
      </w:r>
      <w:r>
        <w:rPr>
          <w:rFonts w:ascii="Times New Roman" w:cs="Times New Roman" w:eastAsia="楷体_GB2312" w:hAnsi="Times New Roman"/>
          <w:b/>
          <w:bCs/>
          <w:sz w:val="20"/>
          <w:szCs w:val="20"/>
          <w:highlight w:val="none"/>
        </w:rPr>
        <w:t>投资对象</w:t>
      </w:r>
      <w:r>
        <w:rPr>
          <w:rFonts w:ascii="Times New Roman" w:cs="Times New Roman" w:eastAsia="楷体_GB2312" w:hAnsi="Times New Roman" w:hint="eastAsia"/>
          <w:b/>
          <w:bCs/>
          <w:sz w:val="20"/>
          <w:szCs w:val="20"/>
          <w:highlight w:val="none"/>
        </w:rPr>
        <w:t>的</w:t>
      </w:r>
      <w:r>
        <w:rPr>
          <w:rFonts w:ascii="Times New Roman" w:cs="Times New Roman" w:eastAsia="楷体_GB2312" w:hAnsi="Times New Roman"/>
          <w:b/>
          <w:bCs/>
          <w:sz w:val="20"/>
          <w:szCs w:val="20"/>
          <w:highlight w:val="none"/>
        </w:rPr>
        <w:t>投资比例及相应</w:t>
      </w:r>
      <w:r>
        <w:rPr>
          <w:rFonts w:ascii="Times New Roman" w:cs="Times New Roman" w:eastAsia="楷体_GB2312" w:hAnsi="Times New Roman" w:hint="eastAsia"/>
          <w:b/>
          <w:bCs/>
          <w:sz w:val="20"/>
          <w:szCs w:val="20"/>
          <w:highlight w:val="none"/>
        </w:rPr>
        <w:t>投资</w:t>
      </w:r>
      <w:r>
        <w:rPr>
          <w:rFonts w:ascii="Times New Roman" w:cs="Times New Roman" w:eastAsia="楷体_GB2312" w:hAnsi="Times New Roman"/>
          <w:b/>
          <w:bCs/>
          <w:sz w:val="20"/>
          <w:szCs w:val="20"/>
          <w:highlight w:val="none"/>
        </w:rPr>
        <w:t>风险</w:t>
      </w:r>
      <w:r>
        <w:rPr>
          <w:rFonts w:ascii="Times New Roman" w:cs="Times New Roman" w:eastAsia="楷体_GB2312" w:hAnsi="Times New Roman" w:hint="eastAsia"/>
          <w:b/>
          <w:bCs/>
          <w:sz w:val="20"/>
          <w:szCs w:val="20"/>
          <w:highlight w:val="none"/>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申购的理财产品的《信银理财理财产品产品说明书》和《信银理财理财产品风险揭示书》中的相应条款。</w:t>
      </w:r>
    </w:p>
    <w:p w14:paraId="26F1CF61">
      <w:pPr>
        <w:spacing w:line="300" w:lineRule="exact"/>
        <w:ind w:firstLine="482"/>
        <w:rPr>
          <w:rFonts w:ascii="Times New Roman" w:cs="Times New Roman" w:eastAsia="楷体_GB2312" w:hAnsi="Times New Roman"/>
          <w:b/>
          <w:bCs/>
          <w:sz w:val="20"/>
          <w:szCs w:val="20"/>
          <w:highlight w:val="none"/>
        </w:rPr>
      </w:pPr>
    </w:p>
    <w:p w14:paraId="71C5DAF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三、投资条款</w:t>
      </w:r>
    </w:p>
    <w:p w14:paraId="3B4EE99C">
      <w:pPr>
        <w:spacing w:line="300" w:lineRule="exact"/>
        <w:ind w:firstLine="482"/>
        <w:rPr>
          <w:rFonts w:ascii="Times New Roman" w:cs="Times New Roman" w:eastAsia="楷体_GB2312" w:hAnsi="Times New Roman"/>
          <w:bCs/>
          <w:sz w:val="20"/>
          <w:szCs w:val="20"/>
          <w:highlight w:val="none"/>
        </w:rPr>
      </w:pPr>
      <w:r>
        <w:rPr>
          <w:rFonts w:ascii="Times New Roman" w:cs="Times New Roman" w:eastAsia="楷体_GB2312" w:hAnsi="Times New Roman" w:hint="eastAsia"/>
          <w:bCs/>
          <w:sz w:val="20"/>
          <w:szCs w:val="20"/>
          <w:highlight w:val="none"/>
        </w:rPr>
        <w:t>甲方认购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申购理财产品的具体认购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申购条件、流程、金额、份额、费用以及其他投资条款，由甲方实际认购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申购的理财产品的《信银理财理财产品产品说明书》具体约定。</w:t>
      </w:r>
    </w:p>
    <w:p w14:paraId="35EA177C">
      <w:pPr>
        <w:spacing w:line="300" w:lineRule="exact"/>
        <w:ind w:firstLine="482"/>
        <w:rPr>
          <w:rFonts w:ascii="Times New Roman" w:cs="Times New Roman" w:eastAsia="楷体_GB2312" w:hAnsi="Times New Roman"/>
          <w:bCs/>
          <w:sz w:val="20"/>
          <w:szCs w:val="20"/>
          <w:highlight w:val="none"/>
        </w:rPr>
      </w:pPr>
    </w:p>
    <w:p w14:paraId="06E12BFF">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四、甲方的权利与义务</w:t>
      </w:r>
    </w:p>
    <w:p w14:paraId="435D2F90">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（二）甲方保证以真实身份投资本理财产品，保证提供给产品管理人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代销机构的信息和资料均真实、准确、完整、合法。如甲方的信息和</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或资料发生变更，应当及时书面告知产品管理人或代销机构；</w:t>
      </w:r>
    </w:p>
    <w:p w14:paraId="19579FD4">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（三）甲方声明熟悉理财产品类型特征及不同销售渠道的法律法规规定；</w:t>
      </w:r>
    </w:p>
    <w:p w14:paraId="2F98994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（四）甲方承诺：如委托他人购买本产品，代理人须出具具有法律效力的授权委托书；</w:t>
      </w:r>
    </w:p>
    <w:p w14:paraId="52EE48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（五）甲方保证理财投资资金来源和用途合法，保证可向产品管理人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代销机构提供合法筹集的证明文件；</w:t>
      </w:r>
    </w:p>
    <w:p w14:paraId="0AFEFD6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（六）甲方不得利用理财业务及理财产品销售文件项下理财产品从事违法活动；</w:t>
      </w:r>
    </w:p>
    <w:p w14:paraId="36BF6B79">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（七）甲方保证遵守国家反洗钱法律、法规及相关政策要求，不从事涉及洗钱、恐怖融资、逃税、逃废债务、套取现金等违法违规活动，积极配合管理人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代销机构开展投资者身份识别、交易记录保存、投资者身份及交易背景尽职调查、大额和可疑交易报告等各项反洗钱工作，并按要求提供相关证明材料；</w:t>
      </w:r>
    </w:p>
    <w:p w14:paraId="15C81B4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（八）甲方不属于联合国制裁名单，及中国政府部门或有权机关发布的涉恐及反洗钱相关风险名单内的企业或个人；不位于被联合国或</w:t>
      </w:r>
      <w:r>
        <w:rPr>
          <w:rFonts w:ascii="Times New Roman" w:cs="Times New Roman" w:eastAsia="楷体_GB2312" w:hAnsi="Times New Roman" w:hint="eastAsia"/>
          <w:sz w:val="20"/>
          <w:szCs w:val="20"/>
          <w:highlight w:val="none"/>
          <w:lang w:eastAsia="zh-CN" w:val="en-US"/>
        </w:rPr>
        <w:t>中</w:t>
      </w:r>
      <w:r>
        <w:rPr>
          <w:rFonts w:ascii="Times New Roman" w:cs="Times New Roman" w:eastAsia="楷体_GB2312" w:hAnsi="Times New Roman" w:hint="eastAsia"/>
          <w:sz w:val="20"/>
          <w:szCs w:val="20"/>
          <w:highlight w:val="none"/>
        </w:rPr>
        <w:t>国制裁的国家和地区；</w:t>
      </w:r>
    </w:p>
    <w:p w14:paraId="5D2B2B2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cs="Times New Roman" w:eastAsia="楷体_GB2312" w:hAnsi="Times New Roman"/>
          <w:sz w:val="20"/>
          <w:szCs w:val="20"/>
          <w:highlight w:val="none"/>
        </w:rPr>
      </w:pPr>
    </w:p>
    <w:p w14:paraId="7E5686B6">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五、乙方的权利与义务</w:t>
      </w:r>
    </w:p>
    <w:p w14:paraId="4FB71CEA">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（一）乙方具有开办理财业务的经营资质，保证以诚实守信、勤勉尽职的原则管理和运用理财资金；</w:t>
      </w:r>
    </w:p>
    <w:p w14:paraId="544FA8EC">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（二）乙方具有完全适当的资格和能力订立与履行理财产品合同。</w:t>
      </w:r>
    </w:p>
    <w:p w14:paraId="1234881D">
      <w:pPr>
        <w:spacing w:line="300" w:lineRule="exact"/>
        <w:ind w:firstLine="482"/>
        <w:rPr>
          <w:rFonts w:ascii="Times New Roman" w:cs="Times New Roman" w:eastAsia="楷体_GB2312" w:hAnsi="Times New Roman"/>
          <w:sz w:val="20"/>
          <w:szCs w:val="20"/>
          <w:highlight w:val="none"/>
        </w:rPr>
      </w:pPr>
    </w:p>
    <w:p w14:paraId="4E72B39F">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六、违约责任</w:t>
      </w:r>
    </w:p>
    <w:p w14:paraId="47C2AF30">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双方因违反本协议约定而给对方造成损失的，违约方应赔偿因此给对方造成的直接损失。</w:t>
      </w:r>
    </w:p>
    <w:p w14:paraId="398A78FB">
      <w:pPr>
        <w:spacing w:line="300" w:lineRule="exact"/>
        <w:ind w:firstLine="482"/>
        <w:rPr>
          <w:rFonts w:ascii="Times New Roman" w:cs="Times New Roman" w:eastAsia="楷体_GB2312" w:hAnsi="Times New Roman"/>
          <w:b/>
          <w:bCs/>
          <w:sz w:val="20"/>
          <w:szCs w:val="20"/>
          <w:highlight w:val="none"/>
        </w:rPr>
      </w:pPr>
    </w:p>
    <w:p w14:paraId="03BB3CB4">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七、免责内容</w:t>
      </w:r>
    </w:p>
    <w:p w14:paraId="72B32606">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cs="Times New Roman" w:eastAsia="楷体_GB2312" w:hAnsi="Times New Roman"/>
          <w:b/>
          <w:bCs/>
          <w:sz w:val="20"/>
          <w:szCs w:val="20"/>
          <w:highlight w:val="none"/>
        </w:rPr>
        <w:t>。</w:t>
      </w:r>
    </w:p>
    <w:p w14:paraId="38271711">
      <w:pPr>
        <w:spacing w:line="300" w:lineRule="exact"/>
        <w:ind w:firstLine="482"/>
        <w:rPr>
          <w:rFonts w:ascii="Times New Roman" w:cs="Times New Roman" w:eastAsia="楷体_GB2312" w:hAnsi="Times New Roman"/>
          <w:b/>
          <w:bCs/>
          <w:sz w:val="20"/>
          <w:szCs w:val="20"/>
          <w:highlight w:val="none"/>
        </w:rPr>
      </w:pPr>
    </w:p>
    <w:p w14:paraId="44611FE9">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八、争议解决</w:t>
      </w:r>
    </w:p>
    <w:p w14:paraId="483B028B">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sz w:val="20"/>
          <w:szCs w:val="20"/>
          <w:highlight w:val="none"/>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（二）凡因</w:t>
      </w:r>
      <w:r>
        <w:rPr>
          <w:rFonts w:ascii="Times New Roman" w:cs="Times New Roman" w:eastAsia="楷体_GB2312" w:hAnsi="Times New Roman" w:hint="eastAsia"/>
          <w:b/>
          <w:sz w:val="20"/>
          <w:szCs w:val="20"/>
          <w:highlight w:val="none"/>
        </w:rPr>
        <w:t>本协议/</w:t>
      </w:r>
      <w:r>
        <w:rPr>
          <w:rFonts w:ascii="Times New Roman" w:cs="Times New Roman" w:eastAsia="楷体_GB2312" w:hAnsi="Times New Roman" w:hint="eastAsia"/>
          <w:b/>
          <w:bCs/>
          <w:sz w:val="20"/>
          <w:szCs w:val="20"/>
          <w:highlight w:val="none"/>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val="en-US"/>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6BE7B647">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（三）在协商或仲裁期间，对于本协议/理财产品合同不涉及争议部分的条款，双方仍须履行。</w:t>
      </w:r>
    </w:p>
    <w:p w14:paraId="66D3F2FE">
      <w:pPr>
        <w:spacing w:line="300" w:lineRule="exact"/>
        <w:ind w:firstLine="482"/>
        <w:rPr>
          <w:rFonts w:ascii="Times New Roman" w:cs="Times New Roman" w:eastAsia="楷体_GB2312" w:hAnsi="Times New Roman"/>
          <w:b/>
          <w:bCs/>
          <w:sz w:val="20"/>
          <w:szCs w:val="20"/>
          <w:highlight w:val="none"/>
        </w:rPr>
      </w:pPr>
    </w:p>
    <w:p w14:paraId="33DC896E">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九、附则</w:t>
      </w:r>
    </w:p>
    <w:p w14:paraId="43D5C269">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（一）本协议通过纸质形式签署的，自甲方签署（甲方为自然人的，应签字；甲方为机构或产品的，应加盖机构或产品管理人公章且其法定代表人或授权代表签章）且甲方产品认购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申购份额经乙方确认后生效。本协议通过电子形式签署的，自甲方通过乙方产品的各电子销售渠道（包括直销和代销）在线点击确认或勾选且甲方产品认购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申购份额经乙方确认后生效。甲方知悉并确认，乙方对于甲方认购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申购份额的确认即视为乙方对于本协议的签署和认可，甲方不得以乙方未在本协议上盖章为由主张本协议无效。</w:t>
      </w:r>
    </w:p>
    <w:p w14:paraId="4F35098E">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（二）本协议条款与《信银理财理财产品产品说明书》条款不一致的，以《信银理财理财产品产品说明书》的约定为准。</w:t>
      </w:r>
    </w:p>
    <w:p w14:paraId="487B8F4D">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cs="Times New Roman" w:eastAsia="楷体_GB2312" w:hAnsi="Times New Roman"/>
          <w:sz w:val="20"/>
          <w:szCs w:val="20"/>
          <w:highlight w:val="none"/>
        </w:rPr>
      </w:pPr>
    </w:p>
    <w:p w14:paraId="382E40CA">
      <w:pPr>
        <w:spacing w:line="300" w:lineRule="exact"/>
        <w:rPr>
          <w:rFonts w:ascii="Times New Roman" w:cs="Times New Roman" w:eastAsia="楷体_GB2312" w:hAnsi="Times New Roman"/>
          <w:sz w:val="20"/>
          <w:szCs w:val="20"/>
          <w:highlight w:val="none"/>
        </w:rPr>
      </w:pPr>
    </w:p>
    <w:p w14:paraId="684DC015">
      <w:pPr>
        <w:spacing w:line="300" w:lineRule="exact"/>
        <w:rPr>
          <w:rFonts w:ascii="Times New Roman" w:cs="Times New Roman" w:eastAsia="楷体_GB2312" w:hAnsi="Times New Roman"/>
          <w:sz w:val="20"/>
          <w:szCs w:val="20"/>
          <w:highlight w:val="none"/>
        </w:rPr>
      </w:pPr>
      <w:r>
        <w:rPr>
          <w:rFonts w:ascii="Times New Roman" w:cs="Times New Roman" w:eastAsia="楷体_GB2312" w:hAnsi="Times New Roman"/>
          <w:b/>
          <w:sz w:val="20"/>
          <w:szCs w:val="20"/>
          <w:highlight w:val="none"/>
        </w:rPr>
        <w:t>甲方</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个人投资者（签字）</w:t>
      </w:r>
      <w:r>
        <w:rPr>
          <w:rFonts w:ascii="Times New Roman" w:cs="Times New Roman" w:eastAsia="楷体_GB2312" w:hAnsi="Times New Roman"/>
          <w:sz w:val="20"/>
          <w:szCs w:val="20"/>
          <w:highlight w:val="none"/>
        </w:rPr>
        <w:t xml:space="preserve">:               </w:t>
      </w:r>
    </w:p>
    <w:p w14:paraId="75E89A50">
      <w:pPr>
        <w:spacing w:line="300" w:lineRule="exact"/>
        <w:ind w:firstLine="600" w:firstLineChars="300"/>
        <w:rPr>
          <w:rFonts w:ascii="Times New Roman" w:cs="Times New Roman" w:eastAsia="楷体_GB2312" w:hAnsi="Times New Roman"/>
          <w:sz w:val="20"/>
          <w:szCs w:val="20"/>
          <w:highlight w:val="none"/>
        </w:rPr>
      </w:pPr>
    </w:p>
    <w:p w14:paraId="4799ED60">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机构投资者（公章）</w:t>
      </w:r>
      <w:r>
        <w:rPr>
          <w:rFonts w:ascii="Times New Roman" w:cs="Times New Roman" w:eastAsia="楷体_GB2312" w:hAnsi="Times New Roman"/>
          <w:sz w:val="20"/>
          <w:szCs w:val="20"/>
          <w:highlight w:val="none"/>
        </w:rPr>
        <w:t xml:space="preserve">:               </w:t>
      </w:r>
    </w:p>
    <w:p w14:paraId="285D1965">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法定代表人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负责人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授权代表（签字</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盖章）：</w:t>
      </w:r>
    </w:p>
    <w:p w14:paraId="6742F1FA">
      <w:pPr>
        <w:spacing w:line="300" w:lineRule="exact"/>
        <w:ind w:firstLine="600" w:firstLineChars="300"/>
        <w:rPr>
          <w:rFonts w:ascii="Times New Roman" w:cs="Times New Roman" w:eastAsia="楷体_GB2312" w:hAnsi="Times New Roman"/>
          <w:sz w:val="20"/>
          <w:szCs w:val="20"/>
          <w:highlight w:val="none"/>
        </w:rPr>
      </w:pPr>
    </w:p>
    <w:p w14:paraId="4912DB02">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证件类别（个人投资者）：</w:t>
      </w:r>
      <w:r>
        <w:rPr>
          <w:rFonts w:ascii="Times New Roman" w:cs="Times New Roman" w:eastAsia="楷体_GB2312" w:hAnsi="Times New Roman"/>
          <w:sz w:val="20"/>
          <w:szCs w:val="20"/>
          <w:highlight w:val="none"/>
        </w:rPr>
        <w:t xml:space="preserve">             </w:t>
      </w:r>
    </w:p>
    <w:p w14:paraId="06AC3C35">
      <w:pPr>
        <w:spacing w:line="300" w:lineRule="exact"/>
        <w:ind w:firstLine="600" w:firstLineChars="300"/>
        <w:rPr>
          <w:rFonts w:ascii="Times New Roman" w:cs="Times New Roman" w:eastAsia="楷体_GB2312" w:hAnsi="Times New Roman"/>
          <w:sz w:val="20"/>
          <w:szCs w:val="20"/>
          <w:highlight w:val="none"/>
        </w:rPr>
      </w:pPr>
    </w:p>
    <w:p w14:paraId="3FAF2438">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证件号（个人投资者）：</w:t>
      </w:r>
      <w:r>
        <w:rPr>
          <w:rFonts w:ascii="Times New Roman" w:cs="Times New Roman" w:eastAsia="楷体_GB2312" w:hAnsi="Times New Roman"/>
          <w:sz w:val="20"/>
          <w:szCs w:val="20"/>
          <w:highlight w:val="none"/>
        </w:rPr>
        <w:t xml:space="preserve">                </w:t>
      </w:r>
    </w:p>
    <w:p w14:paraId="26E7EA65">
      <w:pPr>
        <w:spacing w:line="300" w:lineRule="exact"/>
        <w:ind w:firstLine="600" w:firstLineChars="300"/>
        <w:rPr>
          <w:rFonts w:ascii="Times New Roman" w:cs="Times New Roman" w:eastAsia="楷体_GB2312" w:hAnsi="Times New Roman"/>
          <w:sz w:val="20"/>
          <w:szCs w:val="20"/>
          <w:highlight w:val="none"/>
        </w:rPr>
        <w:sectPr>
          <w:headerReference r:id="rId3" w:type="default"/>
          <w:footerReference r:id="rId4" w:type="default"/>
          <w:pgSz w:h="16838" w:w="11906"/>
          <w:pgMar w:bottom="1440" w:footer="992" w:gutter="0" w:header="851" w:left="1797" w:right="1797" w:top="1440"/>
          <w:pgNumType w:start="1"/>
          <w:cols w:num="1" w:space="720"/>
          <w:docGrid w:charSpace="0" w:linePitch="326"/>
        </w:sectPr>
      </w:pPr>
      <w:r>
        <w:rPr>
          <w:rFonts w:ascii="Times New Roman" w:cs="Times New Roman" w:eastAsia="楷体_GB2312" w:hAnsi="Times New Roman"/>
          <w:sz w:val="20"/>
          <w:szCs w:val="20"/>
          <w:highlight w:val="none"/>
        </w:rPr>
        <w:t xml:space="preserve">             </w:t>
      </w:r>
    </w:p>
    <w:p w14:paraId="547FBD6A">
      <w:pPr>
        <w:spacing w:line="300" w:lineRule="exact"/>
        <w:ind w:left="-821" w:leftChars="-342" w:right="-792" w:rightChars="-330"/>
        <w:jc w:val="center"/>
        <w:rPr>
          <w:rFonts w:ascii="黑体" w:cs="黑体" w:eastAsia="黑体" w:hAnsi="楷体_GB2312"/>
          <w:b/>
          <w:bCs/>
          <w:color w:themeColor="text1" w:val="000000"/>
          <w:highlight w:val="none"/>
          <w14:textFill>
            <w14:solidFill>
              <w14:schemeClr w14:val="tx1"/>
            </w14:solidFill>
          </w14:textFill>
        </w:rPr>
      </w:pPr>
      <w:bookmarkStart w:id="0" w:name="_Hlk142658372"/>
      <w:r>
        <w:rPr>
          <w:rFonts w:ascii="黑体" w:cs="黑体" w:eastAsia="黑体" w:hAnsi="楷体_GB2312" w:hint="eastAsia"/>
          <w:b/>
          <w:bCs/>
          <w:color w:themeColor="text1" w:val="000000"/>
          <w:highlight w:val="none"/>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themeColor="text1" w:val="000000"/>
          <w:highlight w:val="none"/>
          <w14:textFill>
            <w14:solidFill>
              <w14:schemeClr w14:val="tx1"/>
            </w14:solidFill>
          </w14:textFill>
        </w:rPr>
      </w:pPr>
      <w:r>
        <w:rPr>
          <w:rFonts w:ascii="黑体" w:eastAsia="黑体"/>
          <w:b/>
          <w:bCs/>
          <w:color w:themeColor="text1" w:val="000000"/>
          <w:highlight w:val="none"/>
          <w14:textFill>
            <w14:solidFill>
              <w14:schemeClr w14:val="tx1"/>
            </w14:solidFill>
          </w14:textFill>
        </w:rPr>
        <w:t> </w:t>
      </w:r>
    </w:p>
    <w:p w14:paraId="520BC4F8">
      <w:pP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尊敬的客户：</w:t>
      </w:r>
      <w:r>
        <w:rPr>
          <w:rFonts w:ascii="楷体_GB2312" w:cs="楷体_GB2312" w:eastAsia="楷体_GB2312" w:hAnsi="Arial"/>
          <w:color w:themeColor="text1" w:val="000000"/>
          <w:highlight w:val="none"/>
          <w14:textFill>
            <w14:solidFill>
              <w14:schemeClr w14:val="tx1"/>
            </w14:solidFill>
          </w14:textFill>
        </w:rPr>
        <w:t xml:space="preserve"> </w:t>
      </w:r>
    </w:p>
    <w:p w14:paraId="2828AEF3">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ascii="楷体_GB2312" w:cs="楷体_GB2312" w:eastAsia="楷体_GB2312" w:hAnsi="Arial" w:hint="eastAsia"/>
          <w:b/>
          <w:color w:themeColor="text1" w:val="000000"/>
          <w:highlight w:val="none"/>
          <w14:textFill>
            <w14:solidFill>
              <w14:schemeClr w14:val="tx1"/>
            </w14:solidFill>
          </w14:textFill>
        </w:rPr>
        <w:t>理财本金全部损失风险</w:t>
      </w:r>
      <w:r>
        <w:rPr>
          <w:rFonts w:ascii="楷体_GB2312" w:cs="楷体_GB2312" w:eastAsia="楷体_GB2312" w:hAnsi="Arial"/>
          <w:b/>
          <w:color w:themeColor="text1" w:val="000000"/>
          <w:highlight w:val="none"/>
          <w14:textFill>
            <w14:solidFill>
              <w14:schemeClr w14:val="tx1"/>
            </w14:solidFill>
          </w14:textFill>
        </w:rPr>
        <w:t>、合作销售机构</w:t>
      </w:r>
      <w:r>
        <w:rPr>
          <w:rFonts w:ascii="楷体_GB2312" w:cs="楷体_GB2312" w:eastAsia="楷体_GB2312" w:hAnsi="Arial" w:hint="eastAsia"/>
          <w:b/>
          <w:color w:themeColor="text1" w:val="000000"/>
          <w:highlight w:val="none"/>
          <w14:textFill>
            <w14:solidFill>
              <w14:schemeClr w14:val="tx1"/>
            </w14:solidFill>
          </w14:textFill>
        </w:rPr>
        <w:t>（代销机构）</w:t>
      </w:r>
      <w:r>
        <w:rPr>
          <w:rFonts w:ascii="楷体_GB2312" w:cs="楷体_GB2312" w:eastAsia="楷体_GB2312" w:hAnsi="Arial"/>
          <w:b/>
          <w:color w:themeColor="text1" w:val="000000"/>
          <w:highlight w:val="none"/>
          <w14:textFill>
            <w14:solidFill>
              <w14:schemeClr w14:val="tx1"/>
            </w14:solidFill>
          </w14:textFill>
        </w:rPr>
        <w:t>风险、操作风险</w:t>
      </w:r>
      <w:r>
        <w:rPr>
          <w:rFonts w:ascii="楷体_GB2312" w:cs="楷体_GB2312" w:eastAsia="楷体_GB2312" w:hAnsi="Arial" w:hint="eastAsia"/>
          <w:b/>
          <w:color w:themeColor="text1" w:val="000000"/>
          <w:highlight w:val="none"/>
          <w14:textFill>
            <w14:solidFill>
              <w14:schemeClr w14:val="tx1"/>
            </w14:solidFill>
          </w14:textFill>
        </w:rPr>
        <w:t>、关联交易风险</w:t>
      </w:r>
      <w:r>
        <w:rPr>
          <w:rFonts w:ascii="楷体_GB2312" w:cs="楷体_GB2312" w:eastAsia="楷体_GB2312" w:hAnsi="Arial"/>
          <w:b/>
          <w:color w:themeColor="text1" w:val="000000"/>
          <w:highlight w:val="none"/>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ascii="楷体_GB2312" w:cs="楷体_GB2312" w:eastAsia="楷体_GB2312" w:hAnsi="Arial" w:hint="eastAsia"/>
          <w:b/>
          <w:bCs/>
          <w:color w:themeColor="text1" w:val="000000"/>
          <w:highlight w:val="none"/>
          <w14:textFill>
            <w14:solidFill>
              <w14:schemeClr w14:val="tx1"/>
            </w14:solidFill>
          </w14:textFill>
        </w:rPr>
        <w:t>。</w:t>
      </w:r>
    </w:p>
    <w:p w14:paraId="26EAF464">
      <w:pPr>
        <w:ind w:firstLine="480" w:firstLineChars="200"/>
        <w:jc w:val="both"/>
        <w:rPr>
          <w:rFonts w:ascii="楷体_GB2312" w:eastAsia="楷体_GB2312"/>
          <w:color w:themeColor="text1" w:val="000000"/>
          <w:highlight w:val="none"/>
          <w14:textFill>
            <w14:solidFill>
              <w14:schemeClr w14:val="tx1"/>
            </w14:solidFill>
          </w14:textFill>
        </w:rPr>
      </w:pPr>
    </w:p>
    <w:p w14:paraId="5F6FEF9B">
      <w:pPr>
        <w:ind w:firstLine="480" w:firstLineChars="200"/>
        <w:jc w:val="both"/>
        <w:rPr>
          <w:rFonts w:ascii="楷体_GB2312" w:cs="楷体_GB2312" w:eastAsia="楷体_GB2312" w:hAnsi="Arial"/>
          <w:color w:val="000000"/>
          <w:highlight w:val="none"/>
        </w:rPr>
      </w:pPr>
      <w:r>
        <w:rPr>
          <w:rFonts w:ascii="Arial" w:cs="楷体_GB2312" w:eastAsia="楷体_GB2312" w:hAnsi="Arial" w:hint="eastAsia"/>
          <w:color w:themeColor="text1" w:val="000000"/>
          <w:highlight w:val="none"/>
          <w14:textFill>
            <w14:solidFill>
              <w14:schemeClr w14:val="tx1"/>
            </w14:solidFill>
          </w14:textFill>
        </w:rPr>
        <w:t>本理财产品名称为</w:t>
      </w: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val="000000"/>
          <w:highlight w:val="none"/>
        </w:rPr>
        <w:t>信银理财安盈象固收稳利封闭式1132号理财产品</w:t>
      </w:r>
      <w:r>
        <w:rPr>
          <w:rFonts w:ascii="楷体_GB2312" w:cs="楷体_GB2312" w:eastAsia="楷体_GB2312" w:hAnsi="楷体_GB2312"/>
          <w:b/>
          <w:bCs/>
          <w:color w:val="000000"/>
          <w:highlight w:val="none"/>
        </w:rPr>
        <w:t/>
      </w:r>
      <w:r>
        <w:rPr>
          <w:rFonts w:ascii="楷体_GB2312" w:cs="楷体_GB2312" w:eastAsia="楷体_GB2312" w:hAnsi="楷体_GB2312" w:hint="eastAsia"/>
          <w:b/>
          <w:bCs/>
          <w:color w:val="000000"/>
          <w:highlight w:val="none"/>
        </w:rPr>
        <w:t/>
      </w:r>
      <w:r>
        <w:rPr>
          <w:rFonts w:ascii="楷体_GB2312" w:cs="楷体_GB2312" w:eastAsia="楷体_GB2312" w:hAnsi="楷体_GB2312"/>
          <w:b/>
          <w:bCs/>
          <w:color w:val="000000"/>
          <w:highlight w:val="none"/>
        </w:rPr>
        <w:t/>
      </w:r>
      <w:r>
        <w:rPr>
          <w:rFonts w:ascii="楷体_GB2312" w:cs="楷体_GB2312" w:eastAsia="楷体_GB2312" w:hAnsi="楷体_GB2312"/>
          <w:b/>
          <w:bCs/>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，产品代码为【</w:t>
      </w:r>
      <w:r>
        <w:rPr>
          <w:rFonts w:ascii="楷体_GB2312" w:cs="楷体_GB2312" w:eastAsia="楷体_GB2312" w:hAnsi="Arial"/>
          <w:color w:val="000000"/>
          <w:highlight w:val="none"/>
        </w:rPr>
        <w:t>AF265271</w:t>
      </w:r>
      <w:r>
        <w:rPr>
          <w:rFonts w:ascii="楷体_GB2312" w:cs="楷体_GB2312" w:eastAsia="楷体_GB2312" w:hAnsi="Arial" w:hint="eastAsia"/>
          <w:color w:themeColor="text1" w:val="000000"/>
          <w:highlight w:val="none"/>
          <w14:textFill>
            <w14:solidFill>
              <w14:schemeClr w14:val="tx1"/>
            </w14:solidFill>
          </w14:textFill>
        </w:rPr>
        <w:t>】，类型为公募</w:t>
      </w:r>
      <w:r>
        <w:rPr>
          <w:rFonts w:ascii="楷体_GB2312" w:cs="楷体_GB2312" w:eastAsia="楷体_GB2312" w:hAnsi="Arial"/>
          <w:color w:themeColor="text1" w:val="000000"/>
          <w:highlight w:val="none"/>
          <w14:textFill>
            <w14:solidFill>
              <w14:schemeClr w14:val="tx1"/>
            </w14:solidFill>
          </w14:textFill>
        </w:rPr>
        <w:t/>
      </w:r>
      <w:r>
        <w:rPr>
          <w:rFonts w:ascii="楷体_GB2312" w:cs="楷体_GB2312" w:eastAsia="楷体_GB2312" w:hAnsi="Arial" w:hint="eastAsia"/>
          <w:color w:themeColor="text1" w:val="000000"/>
          <w:highlight w:val="none"/>
          <w14:textFill>
            <w14:solidFill>
              <w14:schemeClr w14:val="tx1"/>
            </w14:solidFill>
          </w14:textFill>
        </w:rPr>
        <w:t>、【固定收益类</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w:t>
      </w:r>
      <w:r>
        <w:rPr>
          <w:rFonts w:ascii="楷体_GB2312" w:cs="楷体_GB2312" w:eastAsia="楷体_GB2312" w:hAnsi="Arial"/>
          <w:color w:themeColor="text1" w:val="000000"/>
          <w:highlight w:val="none"/>
          <w14:textFill>
            <w14:solidFill>
              <w14:schemeClr w14:val="tx1"/>
            </w14:solidFill>
          </w14:textFill>
        </w:rPr>
        <w:t>封闭式</w:t>
      </w:r>
      <w:r>
        <w:rPr>
          <w:rFonts w:ascii="楷体_GB2312" w:cs="楷体_GB2312" w:eastAsia="楷体_GB2312" w:hAnsi="Arial" w:hint="eastAsia"/>
          <w:color w:themeColor="text1" w:val="000000"/>
          <w:highlight w:val="none"/>
          <w14:textFill>
            <w14:solidFill>
              <w14:schemeClr w14:val="tx1"/>
            </w14:solidFill>
          </w14:textFill>
        </w:rPr>
        <w:t>产品，期限为【</w:t>
      </w:r>
      <w:r>
        <w:rPr>
          <w:rFonts w:ascii="楷体_GB2312" w:cs="楷体_GB2312" w:eastAsia="楷体_GB2312" w:hAnsi="Arial"/>
          <w:color w:themeColor="text1" w:val="000000"/>
          <w:highlight w:val="none"/>
          <w14:textFill>
            <w14:solidFill>
              <w14:schemeClr w14:val="tx1"/>
            </w14:solidFill>
          </w14:textFill>
        </w:rPr>
        <w:t>190</w:t>
      </w:r>
      <w:r>
        <w:rPr>
          <w:rFonts w:ascii="楷体_GB2312" w:cs="楷体_GB2312" w:eastAsia="楷体_GB2312" w:hAnsi="Arial" w:hint="eastAsia"/>
          <w:color w:themeColor="text1" w:val="000000"/>
          <w:highlight w:val="none"/>
          <w14:textFill>
            <w14:solidFill>
              <w14:schemeClr w14:val="tx1"/>
            </w14:solidFill>
          </w14:textFill>
        </w:rPr>
        <w:t>】天，</w:t>
      </w:r>
      <w:r>
        <w:rPr>
          <w:rFonts w:ascii="楷体_GB2312" w:cs="楷体_GB2312" w:eastAsia="楷体_GB2312" w:hAnsi="Arial" w:hint="eastAsia"/>
          <w:color w:val="000000"/>
          <w:highlight w:val="none"/>
        </w:rPr>
        <w:t>风险评级为【</w:t>
      </w:r>
      <w:r>
        <w:rPr>
          <w:rFonts w:ascii="楷体_GB2312" w:cs="楷体_GB2312" w:eastAsia="楷体_GB2312" w:hAnsi="Arial" w:hint="eastAsia"/>
          <w:highlight w:val="none"/>
        </w:rPr>
        <w:t>PR2</w:t>
      </w:r>
      <w:r>
        <w:rPr>
          <w:rFonts w:ascii="楷体_GB2312" w:cs="楷体_GB2312" w:eastAsia="楷体_GB2312" w:hAnsi="Arial"/>
          <w:highlight w:val="none"/>
        </w:rPr>
        <w:t/>
      </w:r>
      <w:r>
        <w:rPr>
          <w:rFonts w:ascii="楷体_GB2312" w:cs="楷体_GB2312" w:eastAsia="楷体_GB2312" w:hAnsi="Arial" w:hint="eastAsia"/>
          <w:color w:val="000000"/>
          <w:highlight w:val="none"/>
        </w:rPr>
        <w:t>】，适合购买客户为风险承受能力为【</w:t>
      </w:r>
      <w:r>
        <w:rPr>
          <w:rFonts w:ascii="楷体_GB2312" w:cs="楷体_GB2312" w:eastAsia="楷体_GB2312" w:hAnsi="Arial"/>
          <w:highlight w:val="none"/>
        </w:rPr>
        <w:t>稳健型</w:t>
      </w:r>
      <w:r>
        <w:rPr>
          <w:rFonts w:ascii="楷体_GB2312" w:cs="楷体_GB2312" w:eastAsia="楷体_GB2312" w:hAnsi="Arial" w:hint="eastAsia"/>
          <w:color w:val="000000"/>
          <w:highlight w:val="none"/>
        </w:rPr>
        <w:t>】及以上的客户。【固定收益类产品仅是按照投资性质分类，并非指收益固定或保本。】</w:t>
      </w:r>
      <w:r>
        <w:rPr>
          <w:rFonts w:ascii="楷体_GB2312" w:cs="楷体_GB2312" w:eastAsia="楷体_GB2312" w:hAnsi="Arial"/>
          <w:color w:val="000000"/>
          <w:highlight w:val="none"/>
        </w:rPr>
        <w:t/>
      </w:r>
    </w:p>
    <w:p w14:paraId="48CC1CE5">
      <w:pPr>
        <w:ind w:firstLine="480" w:firstLineChars="200"/>
        <w:jc w:val="both"/>
        <w:rPr>
          <w:rFonts w:ascii="Arial" w:cs="楷体_GB2312" w:eastAsia="楷体_GB2312" w:hAnsi="Arial" w:hint="default"/>
          <w:color w:themeColor="text1" w:val="000000"/>
          <w:highlight w:val="none"/>
          <w:lang w:eastAsia="zh-CN" w:val="en-US"/>
          <w14:textFill>
            <w14:solidFill>
              <w14:schemeClr w14:val="tx1"/>
            </w14:solidFill>
          </w14:textFill>
        </w:rPr>
      </w:pPr>
      <w:r>
        <w:rPr>
          <w:rFonts w:ascii="Arial" w:cs="楷体_GB2312" w:eastAsia="楷体_GB2312" w:hAnsi="Arial" w:hint="eastAsia"/>
          <w:color w:themeColor="text1" w:val="000000"/>
          <w:highlight w:val="none"/>
          <w:lang w:eastAsia="zh-CN" w:val="en-US"/>
          <w14:textFill>
            <w14:solidFill>
              <w14:schemeClr w14:val="tx1"/>
            </w14:solidFill>
          </w14:textFill>
        </w:rPr>
        <w:t>信银理财有权根据市场变化对产品风险等级进行调整，</w:t>
      </w:r>
      <w:r>
        <w:rPr>
          <w:rFonts w:ascii="Arial" w:cs="楷体_GB2312" w:eastAsia="楷体_GB2312" w:hAnsi="Arial" w:hint="eastAsia"/>
          <w:color w:themeColor="text1" w:val="000000"/>
          <w:highlight w:val="none"/>
          <w14:textFill>
            <w14:solidFill>
              <w14:schemeClr w14:val="tx1"/>
            </w14:solidFill>
          </w14:textFill>
        </w:rPr>
        <w:t>并最迟于调整生效前【2】个工作日以本说明书约定的方式向投资者发布相关信息。</w:t>
      </w:r>
    </w:p>
    <w:p w14:paraId="092BC0C8">
      <w:pPr>
        <w:jc w:val="both"/>
        <w:rPr>
          <w:rFonts w:ascii="楷体_GB2312" w:cs="楷体_GB2312" w:eastAsia="楷体_GB2312" w:hAnsi="Arial"/>
          <w:color w:themeColor="text1" w:val="000000"/>
          <w:highlight w:val="none"/>
          <w14:textFill>
            <w14:solidFill>
              <w14:schemeClr w14:val="tx1"/>
            </w14:solidFill>
          </w14:textFill>
        </w:rPr>
      </w:pPr>
    </w:p>
    <w:p w14:paraId="5F0247FB">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r>
        <w:rPr>
          <w:rFonts w:ascii="黑体" w:cs="黑体" w:eastAsia="黑体" w:hAnsi="Times New Roman" w:hint="eastAsia"/>
          <w:color w:themeColor="text1" w:val="000000"/>
          <w:highlight w:val="none"/>
          <w14:textFill>
            <w14:solidFill>
              <w14:schemeClr w14:val="tx1"/>
            </w14:solidFill>
          </w14:textFill>
        </w:rPr>
        <w:t>重要提示</w:t>
      </w:r>
      <w:r>
        <w:rPr>
          <w:rFonts w:ascii="楷体_GB2312" w:cs="楷体_GB2312" w:eastAsia="楷体_GB2312" w:hAnsi="Arial" w:hint="eastAsia"/>
          <w:color w:themeColor="text1" w:val="000000"/>
          <w:highlight w:val="none"/>
          <w14:textFill>
            <w14:solidFill>
              <w14:schemeClr w14:val="tx1"/>
            </w14:solidFill>
          </w14:textFill>
        </w:rPr>
        <w:t>：信银理财</w:t>
      </w:r>
      <w:r>
        <w:rPr>
          <w:rFonts w:ascii="楷体_GB2312" w:cs="楷体_GB2312" w:eastAsia="楷体_GB2312" w:hAnsi="Arial"/>
          <w:color w:themeColor="text1" w:val="000000"/>
          <w:highlight w:val="none"/>
          <w14:textFill>
            <w14:solidFill>
              <w14:schemeClr w14:val="tx1"/>
            </w14:solidFill>
          </w14:textFill>
        </w:rPr>
        <w:t>作为本理财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管理人承诺以诚实守信、</w:t>
      </w:r>
      <w:r>
        <w:rPr>
          <w:rFonts w:ascii="楷体_GB2312" w:cs="楷体_GB2312" w:eastAsia="楷体_GB2312" w:hAnsi="Arial" w:hint="eastAsia"/>
          <w:color w:themeColor="text1" w:val="000000"/>
          <w:highlight w:val="none"/>
          <w14:textFill>
            <w14:solidFill>
              <w14:schemeClr w14:val="tx1"/>
            </w14:solidFill>
          </w14:textFill>
        </w:rPr>
        <w:t>勤勉</w:t>
      </w:r>
      <w:r>
        <w:rPr>
          <w:rFonts w:ascii="楷体_GB2312" w:cs="楷体_GB2312" w:eastAsia="楷体_GB2312" w:hAnsi="Arial"/>
          <w:color w:themeColor="text1" w:val="000000"/>
          <w:highlight w:val="none"/>
          <w14:textFill>
            <w14:solidFill>
              <w14:schemeClr w14:val="tx1"/>
            </w14:solidFill>
          </w14:textFill>
        </w:rPr>
        <w:t>尽职的原则管理和运用理财产品</w:t>
      </w:r>
      <w:r>
        <w:rPr>
          <w:rFonts w:ascii="楷体_GB2312" w:cs="楷体_GB2312" w:eastAsia="楷体_GB2312" w:hAnsi="Arial" w:hint="eastAsia"/>
          <w:color w:themeColor="text1" w:val="000000"/>
          <w:highlight w:val="none"/>
          <w14:textFill>
            <w14:solidFill>
              <w14:schemeClr w14:val="tx1"/>
            </w14:solidFill>
          </w14:textFill>
        </w:rPr>
        <w:t>资金</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但</w:t>
      </w:r>
      <w:r>
        <w:rPr>
          <w:rFonts w:ascii="楷体_GB2312" w:cs="楷体_GB2312" w:eastAsia="楷体_GB2312" w:hAnsi="Arial"/>
          <w:b/>
          <w:color w:themeColor="text1" w:val="000000"/>
          <w:highlight w:val="none"/>
          <w14:textFill>
            <w14:solidFill>
              <w14:schemeClr w14:val="tx1"/>
            </w14:solidFill>
          </w14:textFill>
        </w:rPr>
        <w:t>不保证</w:t>
      </w:r>
      <w:r>
        <w:rPr>
          <w:rFonts w:ascii="楷体_GB2312" w:cs="楷体_GB2312" w:eastAsia="楷体_GB2312" w:hAnsi="Arial" w:hint="eastAsia"/>
          <w:b/>
          <w:color w:themeColor="text1" w:val="000000"/>
          <w:highlight w:val="none"/>
          <w14:textFill>
            <w14:solidFill>
              <w14:schemeClr w14:val="tx1"/>
            </w14:solidFill>
          </w14:textFill>
        </w:rPr>
        <w:t>本金和</w:t>
      </w:r>
      <w:r>
        <w:rPr>
          <w:rFonts w:ascii="楷体_GB2312" w:cs="楷体_GB2312" w:eastAsia="楷体_GB2312" w:hAnsi="Arial"/>
          <w:b/>
          <w:color w:themeColor="text1" w:val="000000"/>
          <w:highlight w:val="none"/>
          <w14:textFill>
            <w14:solidFill>
              <w14:schemeClr w14:val="tx1"/>
            </w14:solidFill>
          </w14:textFill>
        </w:rPr>
        <w:t>收益，您可能因市场变动</w:t>
      </w:r>
      <w:r>
        <w:rPr>
          <w:rFonts w:ascii="楷体_GB2312" w:cs="楷体_GB2312" w:eastAsia="楷体_GB2312" w:hAnsi="Arial" w:hint="eastAsia"/>
          <w:b/>
          <w:color w:themeColor="text1" w:val="000000"/>
          <w:highlight w:val="none"/>
          <w14:textFill>
            <w14:solidFill>
              <w14:schemeClr w14:val="tx1"/>
            </w14:solidFill>
          </w14:textFill>
        </w:rPr>
        <w:t>而</w:t>
      </w:r>
      <w:r>
        <w:rPr>
          <w:rFonts w:ascii="楷体_GB2312" w:cs="楷体_GB2312" w:eastAsia="楷体_GB2312" w:hAnsi="Arial"/>
          <w:b/>
          <w:color w:themeColor="text1" w:val="000000"/>
          <w:highlight w:val="none"/>
          <w14:textFill>
            <w14:solidFill>
              <w14:schemeClr w14:val="tx1"/>
            </w14:solidFill>
          </w14:textFill>
        </w:rPr>
        <w:t>损失全部本金</w:t>
      </w:r>
      <w:r>
        <w:rPr>
          <w:rFonts w:ascii="楷体_GB2312" w:cs="楷体_GB2312" w:eastAsia="楷体_GB2312" w:hAnsi="Arial" w:hint="eastAsia"/>
          <w:b/>
          <w:color w:themeColor="text1" w:val="000000"/>
          <w:highlight w:val="none"/>
          <w14:textFill>
            <w14:solidFill>
              <w14:schemeClr w14:val="tx1"/>
            </w14:solidFill>
          </w14:textFill>
        </w:rPr>
        <w:t>且</w:t>
      </w:r>
      <w:r>
        <w:rPr>
          <w:rFonts w:ascii="楷体_GB2312" w:cs="楷体_GB2312" w:eastAsia="楷体_GB2312" w:hAnsi="Arial"/>
          <w:b/>
          <w:color w:themeColor="text1" w:val="000000"/>
          <w:highlight w:val="none"/>
          <w14:textFill>
            <w14:solidFill>
              <w14:schemeClr w14:val="tx1"/>
            </w14:solidFill>
          </w14:textFill>
        </w:rPr>
        <w:t>无法取得任何收益</w:t>
      </w:r>
      <w:r>
        <w:rPr>
          <w:rFonts w:ascii="楷体_GB2312" w:cs="楷体_GB2312" w:eastAsia="楷体_GB2312" w:hAnsi="Arial" w:hint="eastAsia"/>
          <w:color w:themeColor="text1" w:val="000000"/>
          <w:highlight w:val="none"/>
          <w14:textFill>
            <w14:solidFill>
              <w14:schemeClr w14:val="tx1"/>
            </w14:solidFill>
          </w14:textFill>
        </w:rPr>
        <w:t>。</w:t>
      </w:r>
      <w:r>
        <w:rPr>
          <w:rFonts w:ascii="楷体" w:eastAsia="楷体" w:hAnsi="楷体" w:hint="eastAsia"/>
          <w:b/>
          <w:highlight w:val="none"/>
        </w:rPr>
        <w:t>理财产品过往业绩不代表其未来表现，不等于理财产品实际收益，投资须谨慎。</w:t>
      </w:r>
      <w:r>
        <w:rPr>
          <w:rFonts w:ascii="楷体_GB2312" w:cs="楷体_GB2312" w:eastAsia="楷体_GB2312" w:hAnsi="Arial"/>
          <w:color w:themeColor="text1" w:val="000000"/>
          <w:highlight w:val="none"/>
          <w14:textFill>
            <w14:solidFill>
              <w14:schemeClr w14:val="tx1"/>
            </w14:solidFill>
          </w14:textFill>
        </w:rPr>
        <w:t>信银理财</w:t>
      </w:r>
      <w:r>
        <w:rPr>
          <w:rFonts w:ascii="楷体_GB2312" w:cs="楷体_GB2312" w:eastAsia="楷体_GB2312" w:hAnsi="Arial" w:hint="eastAsia"/>
          <w:color w:themeColor="text1" w:val="000000"/>
          <w:highlight w:val="none"/>
          <w14:textFill>
            <w14:solidFill>
              <w14:schemeClr w14:val="tx1"/>
            </w14:solidFill>
          </w14:textFill>
        </w:rPr>
        <w:t>提醒您</w:t>
      </w:r>
      <w:r>
        <w:rPr>
          <w:rFonts w:ascii="楷体_GB2312" w:cs="楷体_GB2312" w:eastAsia="楷体_GB2312" w:hAnsi="Arial"/>
          <w:color w:themeColor="text1" w:val="000000"/>
          <w:highlight w:val="none"/>
          <w14:textFill>
            <w14:solidFill>
              <w14:schemeClr w14:val="tx1"/>
            </w14:solidFill>
          </w14:textFill>
        </w:rPr>
        <w:t>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投资</w:t>
      </w:r>
      <w:r>
        <w:rPr>
          <w:rFonts w:ascii="楷体_GB2312" w:cs="楷体_GB2312" w:eastAsia="楷体_GB2312" w:hAnsi="Arial" w:hint="eastAsia"/>
          <w:color w:themeColor="text1" w:val="000000"/>
          <w:highlight w:val="none"/>
          <w14:textFill>
            <w14:solidFill>
              <w14:schemeClr w14:val="tx1"/>
            </w14:solidFill>
          </w14:textFill>
        </w:rPr>
        <w:t>风险</w:t>
      </w:r>
      <w:r>
        <w:rPr>
          <w:rFonts w:ascii="楷体_GB2312" w:cs="楷体_GB2312" w:eastAsia="楷体_GB2312" w:hAnsi="Arial"/>
          <w:color w:themeColor="text1" w:val="000000"/>
          <w:highlight w:val="none"/>
          <w14:textFill>
            <w14:solidFill>
              <w14:schemeClr w14:val="tx1"/>
            </w14:solidFill>
          </w14:textFill>
        </w:rPr>
        <w:t>由</w:t>
      </w:r>
      <w:r>
        <w:rPr>
          <w:rFonts w:ascii="楷体_GB2312" w:cs="楷体_GB2312" w:eastAsia="楷体_GB2312" w:hAnsi="Arial" w:hint="eastAsia"/>
          <w:color w:themeColor="text1" w:val="000000"/>
          <w:highlight w:val="none"/>
          <w14:textFill>
            <w14:solidFill>
              <w14:schemeClr w14:val="tx1"/>
            </w14:solidFill>
          </w14:textFill>
        </w:rPr>
        <w:t>买者自负</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您应充分认识投资风险，谨慎投资！</w:t>
      </w:r>
    </w:p>
    <w:p w14:paraId="3E5A27E4">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p>
    <w:p w14:paraId="4E6B2A47">
      <w:pPr>
        <w:ind w:firstLine="482" w:firstLineChars="200"/>
        <w:jc w:val="both"/>
        <w:rPr>
          <w:rFonts w:ascii="楷体_GB2312" w:cs="楷体_GB2312" w:eastAsia="楷体_GB2312" w:hAnsi="楷体_GB2312"/>
          <w:b/>
          <w:bCs/>
          <w:color w:themeColor="text1" w:val="000000"/>
          <w:highlight w:val="none"/>
          <w14:textFill>
            <w14:solidFill>
              <w14:schemeClr w14:val="tx1"/>
            </w14:solidFill>
          </w14:textFill>
        </w:rPr>
      </w:pP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themeColor="text1" w:val="000000"/>
          <w:highlight w:val="none"/>
          <w:lang w:eastAsia="zh-CN" w:val="en-US"/>
          <w14:textFill>
            <w14:solidFill>
              <w14:schemeClr w14:val="tx1"/>
            </w14:solidFill>
          </w14:textFill>
        </w:rPr>
        <w:t>最不利投资情形</w:t>
      </w:r>
      <w:r>
        <w:rPr>
          <w:rFonts w:ascii="楷体_GB2312" w:cs="楷体_GB2312" w:eastAsia="楷体_GB2312" w:hAnsi="楷体_GB2312" w:hint="eastAsia"/>
          <w:b/>
          <w:bCs/>
          <w:color w:themeColor="text1" w:val="000000"/>
          <w:highlight w:val="none"/>
          <w14:textFill>
            <w14:solidFill>
              <w14:schemeClr w14:val="tx1"/>
            </w14:solidFill>
          </w14:textFill>
        </w:rPr>
        <w:t>示例】：若投资者购买本理财产品，假设理财产品本金为</w:t>
      </w:r>
      <w:r>
        <w:rPr>
          <w:rFonts w:ascii="楷体_GB2312" w:cs="楷体_GB2312" w:eastAsia="楷体_GB2312" w:hAnsi="楷体_GB2312"/>
          <w:b/>
          <w:bCs/>
          <w:color w:themeColor="text1" w:val="000000"/>
          <w:highlight w:val="none"/>
          <w14:textFill>
            <w14:solidFill>
              <w14:schemeClr w14:val="tx1"/>
            </w14:solidFill>
          </w14:textFill>
        </w:rPr>
        <w:t>1</w:t>
      </w:r>
      <w:r>
        <w:rPr>
          <w:rFonts w:ascii="楷体_GB2312" w:cs="楷体_GB2312" w:eastAsia="楷体_GB2312" w:hAnsi="楷体_GB2312" w:hint="eastAsia"/>
          <w:b/>
          <w:bCs/>
          <w:color w:themeColor="text1" w:val="000000"/>
          <w:highlight w:val="none"/>
          <w14:textFill>
            <w14:solidFill>
              <w14:schemeClr w14:val="tx1"/>
            </w14:solidFill>
          </w14:textFill>
        </w:rPr>
        <w:t>.00亿元，在最不利情况下，理财本金及收益全部损失。</w:t>
      </w:r>
    </w:p>
    <w:p w14:paraId="1FF2D2D5">
      <w:pPr>
        <w:jc w:val="both"/>
        <w:rPr>
          <w:rFonts w:ascii="楷体_GB2312" w:cs="楷体_GB2312" w:eastAsia="楷体_GB2312" w:hAnsi="楷体_GB2312"/>
          <w:b/>
          <w:bCs/>
          <w:color w:themeColor="text1" w:val="000000"/>
          <w:highlight w:val="none"/>
          <w14:textFill>
            <w14:solidFill>
              <w14:schemeClr w14:val="tx1"/>
            </w14:solidFill>
          </w14:textFill>
        </w:rPr>
      </w:pPr>
    </w:p>
    <w:p w14:paraId="3F62ABD2">
      <w:pPr>
        <w:ind w:firstLine="482" w:firstLineChars="200"/>
        <w:jc w:val="both"/>
        <w:rPr>
          <w:rFonts w:ascii="黑体" w:eastAsia="黑体" w:hAnsi="黑体"/>
          <w:b/>
          <w:color w:themeColor="text1" w:val="000000"/>
          <w:highlight w:val="none"/>
          <w14:textFill>
            <w14:solidFill>
              <w14:schemeClr w14:val="tx1"/>
            </w14:solidFill>
          </w14:textFill>
        </w:rPr>
      </w:pPr>
      <w:r>
        <w:rPr>
          <w:rFonts w:ascii="黑体" w:eastAsia="黑体" w:hAnsi="黑体" w:hint="eastAsia"/>
          <w:b/>
          <w:color w:themeColor="text1" w:val="000000"/>
          <w:highlight w:val="none"/>
          <w14:textFill>
            <w14:solidFill>
              <w14:schemeClr w14:val="tx1"/>
            </w14:solidFill>
          </w14:textFill>
        </w:rPr>
        <w:t>理财非存款</w:t>
      </w:r>
      <w:r>
        <w:rPr>
          <w:rFonts w:ascii="黑体" w:eastAsia="黑体" w:hAnsi="黑体"/>
          <w:b/>
          <w:color w:themeColor="text1" w:val="000000"/>
          <w:highlight w:val="none"/>
          <w14:textFill>
            <w14:solidFill>
              <w14:schemeClr w14:val="tx1"/>
            </w14:solidFill>
          </w14:textFill>
        </w:rPr>
        <w:t>、产品</w:t>
      </w:r>
      <w:r>
        <w:rPr>
          <w:rFonts w:ascii="黑体" w:eastAsia="黑体" w:hAnsi="黑体" w:hint="eastAsia"/>
          <w:b/>
          <w:color w:themeColor="text1" w:val="000000"/>
          <w:highlight w:val="none"/>
          <w14:textFill>
            <w14:solidFill>
              <w14:schemeClr w14:val="tx1"/>
            </w14:solidFill>
          </w14:textFill>
        </w:rPr>
        <w:t>有</w:t>
      </w:r>
      <w:r>
        <w:rPr>
          <w:rFonts w:ascii="黑体" w:eastAsia="黑体" w:hAnsi="黑体"/>
          <w:b/>
          <w:color w:themeColor="text1" w:val="000000"/>
          <w:highlight w:val="none"/>
          <w14:textFill>
            <w14:solidFill>
              <w14:schemeClr w14:val="tx1"/>
            </w14:solidFill>
          </w14:textFill>
        </w:rPr>
        <w:t>风险、投资须谨慎</w:t>
      </w:r>
      <w:r>
        <w:rPr>
          <w:rFonts w:ascii="黑体" w:eastAsia="黑体" w:hAnsi="黑体" w:hint="eastAsia"/>
          <w:b/>
          <w:color w:themeColor="text1" w:val="000000"/>
          <w:highlight w:val="none"/>
          <w14:textFill>
            <w14:solidFill>
              <w14:schemeClr w14:val="tx1"/>
            </w14:solidFill>
          </w14:textFill>
        </w:rPr>
        <w:t>！</w:t>
      </w:r>
    </w:p>
    <w:p w14:paraId="1CDE6969">
      <w:pPr>
        <w:ind w:firstLine="482" w:firstLineChars="200"/>
        <w:jc w:val="both"/>
        <w:rPr>
          <w:rFonts w:ascii="黑体" w:eastAsia="黑体" w:hAnsi="黑体"/>
          <w:b/>
          <w:color w:themeColor="text1" w:val="000000"/>
          <w:highlight w:val="none"/>
          <w14:textFill>
            <w14:solidFill>
              <w14:schemeClr w14:val="tx1"/>
            </w14:solidFill>
          </w14:textFill>
        </w:rPr>
      </w:pPr>
    </w:p>
    <w:p w14:paraId="6131B3EA">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如影响您风险承受能力的因素发生变化，请及时完成风险承受能力评估。</w:t>
      </w:r>
      <w:r>
        <w:rPr>
          <w:rFonts w:ascii="楷体_GB2312" w:cs="楷体_GB2312" w:eastAsia="楷体_GB2312" w:hAnsi="Arial"/>
          <w:color w:themeColor="text1" w:val="000000"/>
          <w:highlight w:val="none"/>
          <w14:textFill>
            <w14:solidFill>
              <w14:schemeClr w14:val="tx1"/>
            </w14:solidFill>
          </w14:textFill>
        </w:rPr>
        <w:t xml:space="preserve"> </w:t>
      </w:r>
    </w:p>
    <w:p w14:paraId="0EB74BAF">
      <w:pPr>
        <w:jc w:val="right"/>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风险揭示方：信银理财有限责任公司</w:t>
      </w:r>
    </w:p>
    <w:p w14:paraId="7D9DAD7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27025074">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6FF55B5C">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EA580B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CA64456">
      <w:pPr>
        <w:jc w:val="cente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u w:val="single"/>
          <w14:textFill>
            <w14:solidFill>
              <w14:schemeClr w14:val="tx1"/>
            </w14:solidFill>
          </w14:textFill>
        </w:rPr>
        <w:t>客</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户</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确</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认</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栏</w:t>
      </w:r>
    </w:p>
    <w:p w14:paraId="045B8D76">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本人/本单位确认，本人/本单位购买该理财产品为本人/本单位真实的意思表示</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cs="楷体_GB2312" w:eastAsia="楷体_GB2312" w:hAnsi="Arial"/>
          <w:color w:themeColor="text1" w:val="000000"/>
          <w:highlight w:val="none"/>
          <w14:textFill>
            <w14:solidFill>
              <w14:schemeClr w14:val="tx1"/>
            </w14:solidFill>
          </w14:textFill>
        </w:rPr>
        <w:t>代销机构</w:t>
      </w:r>
      <w:r>
        <w:rPr>
          <w:rFonts w:ascii="楷体_GB2312" w:cs="楷体_GB2312" w:eastAsia="楷体_GB2312" w:hAnsi="Arial" w:hint="eastAsia"/>
          <w:color w:themeColor="text1" w:val="000000"/>
          <w:highlight w:val="none"/>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cs="楷体_GB2312" w:eastAsia="楷体_GB2312" w:hAnsi="Arial"/>
          <w:color w:themeColor="text1" w:val="000000"/>
          <w:highlight w:val="none"/>
          <w14:textFill>
            <w14:solidFill>
              <w14:schemeClr w14:val="tx1"/>
            </w14:solidFill>
          </w14:textFill>
        </w:rPr>
        <w:t>单位</w:t>
      </w:r>
      <w:r>
        <w:rPr>
          <w:rFonts w:ascii="楷体_GB2312" w:cs="楷体_GB2312" w:eastAsia="楷体_GB2312" w:hAnsi="Arial" w:hint="eastAsia"/>
          <w:color w:themeColor="text1" w:val="000000"/>
          <w:highlight w:val="none"/>
          <w14:textFill>
            <w14:solidFill>
              <w14:schemeClr w14:val="tx1"/>
            </w14:solidFill>
          </w14:textFill>
        </w:rPr>
        <w:t>予以说明，本人/本单位已完全理解并自愿接受。</w:t>
      </w:r>
      <w:r>
        <w:rPr>
          <w:rFonts w:ascii="楷体_GB2312" w:cs="楷体_GB2312" w:eastAsia="楷体_GB2312" w:hAnsi="Arial"/>
          <w:color w:themeColor="text1" w:val="000000"/>
          <w:highlight w:val="none"/>
          <w14:textFill>
            <w14:solidFill>
              <w14:schemeClr w14:val="tx1"/>
            </w14:solidFill>
          </w14:textFill>
        </w:rPr>
        <w:t xml:space="preserve"> </w:t>
      </w:r>
    </w:p>
    <w:p w14:paraId="59F21140">
      <w:pPr>
        <w:pStyle w:val="20"/>
        <w:ind w:firstLine="480" w:firstLineChars="0"/>
        <w:jc w:val="both"/>
        <w:rPr>
          <w:rFonts w:ascii="楷体_GB2312" w:eastAsia="楷体_GB2312"/>
          <w:color w:themeColor="text1" w:val="000000"/>
          <w:highlight w:val="none"/>
          <w14:textFill>
            <w14:solidFill>
              <w14:schemeClr w14:val="tx1"/>
            </w14:solidFill>
          </w14:textFill>
        </w:rPr>
      </w:pPr>
    </w:p>
    <w:p w14:paraId="45A516E4">
      <w:pPr>
        <w:pStyle w:val="20"/>
        <w:ind w:firstLine="480" w:firstLineChars="0"/>
        <w:jc w:val="both"/>
        <w:rPr>
          <w:rFonts w:ascii="楷体_GB2312" w:eastAsia="楷体_GB2312"/>
          <w:b/>
          <w:color w:themeColor="text1" w:val="000000"/>
          <w:highlight w:val="none"/>
          <w14:textFill>
            <w14:solidFill>
              <w14:schemeClr w14:val="tx1"/>
            </w14:solidFill>
          </w14:textFill>
        </w:rPr>
      </w:pPr>
      <w:r>
        <w:rPr>
          <w:rFonts w:ascii="楷体_GB2312" w:eastAsia="楷体_GB2312" w:hint="eastAsia"/>
          <w:b/>
          <w:color w:themeColor="text1" w:val="000000"/>
          <w:highlight w:val="none"/>
          <w14:textFill>
            <w14:solidFill>
              <w14:schemeClr w14:val="tx1"/>
            </w14:solidFill>
          </w14:textFill>
        </w:rPr>
        <w:t>本人</w:t>
      </w:r>
      <w:r>
        <w:rPr>
          <w:rFonts w:ascii="楷体_GB2312" w:cs="楷体_GB2312" w:eastAsia="楷体_GB2312" w:hAnsi="Arial" w:hint="eastAsia"/>
          <w:b/>
          <w:color w:themeColor="text1" w:val="000000"/>
          <w:highlight w:val="none"/>
          <w14:textFill>
            <w14:solidFill>
              <w14:schemeClr w14:val="tx1"/>
            </w14:solidFill>
          </w14:textFill>
        </w:rPr>
        <w:t>/本单位</w:t>
      </w:r>
      <w:r>
        <w:rPr>
          <w:rFonts w:ascii="楷体_GB2312" w:eastAsia="楷体_GB2312" w:hint="eastAsia"/>
          <w:b/>
          <w:color w:themeColor="text1" w:val="000000"/>
          <w:highlight w:val="none"/>
          <w14:textFill>
            <w14:solidFill>
              <w14:schemeClr w14:val="tx1"/>
            </w14:solidFill>
          </w14:textFill>
        </w:rPr>
        <w:t>确认，将向本理财产品销售机构真实提供信息，自主作出认购等决定，独立对销售文件进行签字</w:t>
      </w:r>
      <w:r>
        <w:rPr>
          <w:rFonts w:ascii="楷体_GB2312" w:eastAsia="楷体_GB2312"/>
          <w:b/>
          <w:color w:themeColor="text1" w:val="000000"/>
          <w:highlight w:val="none"/>
          <w14:textFill>
            <w14:solidFill>
              <w14:schemeClr w14:val="tx1"/>
            </w14:solidFill>
          </w14:textFill>
        </w:rPr>
        <w:t>/盖章确认，自主承担投资风险。本人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拒绝向销售机构提供或者未按照要求提供信息的，销售机构有权告知本人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相应的后果和责任，并有权拒绝向本人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提供销售服务。</w:t>
      </w:r>
    </w:p>
    <w:p w14:paraId="452C132D">
      <w:pPr>
        <w:pStyle w:val="20"/>
        <w:ind w:firstLine="480" w:firstLineChars="0"/>
        <w:jc w:val="both"/>
        <w:rPr>
          <w:rFonts w:ascii="楷体_GB2312" w:eastAsia="楷体_GB2312"/>
          <w:color w:themeColor="text1" w:val="000000"/>
          <w:highlight w:val="none"/>
          <w14:textFill>
            <w14:solidFill>
              <w14:schemeClr w14:val="tx1"/>
            </w14:solidFill>
          </w14:textFill>
        </w:rPr>
      </w:pPr>
      <w:r>
        <w:rPr>
          <w:rFonts w:ascii="楷体_GB2312" w:eastAsia="楷体_GB2312" w:hint="eastAsia"/>
          <w:color w:themeColor="text1" w:val="000000"/>
          <w:highlight w:val="none"/>
          <w14:textFill>
            <w14:solidFill>
              <w14:schemeClr w14:val="tx1"/>
            </w14:solidFill>
          </w14:textFill>
        </w:rPr>
        <w:t>本人</w:t>
      </w:r>
      <w:r>
        <w:rPr>
          <w:rFonts w:ascii="楷体_GB2312" w:cs="楷体_GB2312" w:eastAsia="楷体_GB2312" w:hAnsi="Arial" w:hint="eastAsia"/>
          <w:color w:themeColor="text1" w:val="000000"/>
          <w:highlight w:val="none"/>
          <w14:textFill>
            <w14:solidFill>
              <w14:schemeClr w14:val="tx1"/>
            </w14:solidFill>
          </w14:textFill>
        </w:rPr>
        <w:t>/本单位</w:t>
      </w:r>
      <w:r>
        <w:rPr>
          <w:rFonts w:ascii="楷体_GB2312" w:eastAsia="楷体_GB2312" w:hint="eastAsia"/>
          <w:color w:themeColor="text1" w:val="000000"/>
          <w:highlight w:val="none"/>
          <w14:textFill>
            <w14:solidFill>
              <w14:schemeClr w14:val="tx1"/>
            </w14:solidFill>
          </w14:textFill>
        </w:rPr>
        <w:t>确认</w:t>
      </w:r>
      <w:r>
        <w:rPr>
          <w:rFonts w:ascii="楷体_GB2312" w:eastAsia="楷体_GB2312"/>
          <w:color w:themeColor="text1" w:val="000000"/>
          <w:highlight w:val="none"/>
          <w14:textFill>
            <w14:solidFill>
              <w14:schemeClr w14:val="tx1"/>
            </w14:solidFill>
          </w14:textFill>
        </w:rPr>
        <w:t>，</w:t>
      </w:r>
      <w:r>
        <w:rPr>
          <w:rFonts w:ascii="楷体_GB2312" w:eastAsia="楷体_GB2312" w:hint="eastAsia"/>
          <w:color w:themeColor="text1" w:val="000000"/>
          <w:highlight w:val="none"/>
          <w14:textFill>
            <w14:solidFill>
              <w14:schemeClr w14:val="tx1"/>
            </w14:solidFill>
          </w14:textFill>
        </w:rPr>
        <w:t>投资</w:t>
      </w:r>
      <w:r>
        <w:rPr>
          <w:rFonts w:ascii="楷体_GB2312" w:eastAsia="楷体_GB2312"/>
          <w:color w:themeColor="text1" w:val="000000"/>
          <w:highlight w:val="none"/>
          <w14:textFill>
            <w14:solidFill>
              <w14:schemeClr w14:val="tx1"/>
            </w14:solidFill>
          </w14:textFill>
        </w:rPr>
        <w:t>本理财产品的</w:t>
      </w:r>
      <w:r>
        <w:rPr>
          <w:rFonts w:ascii="楷体_GB2312" w:eastAsia="楷体_GB2312" w:hint="eastAsia"/>
          <w:color w:themeColor="text1" w:val="000000"/>
          <w:highlight w:val="none"/>
          <w14:textFill>
            <w14:solidFill>
              <w14:schemeClr w14:val="tx1"/>
            </w14:solidFill>
          </w14:textFill>
        </w:rPr>
        <w:t>资金非贷款</w:t>
      </w:r>
      <w:r>
        <w:rPr>
          <w:rFonts w:ascii="楷体_GB2312" w:eastAsia="楷体_GB2312"/>
          <w:color w:themeColor="text1" w:val="000000"/>
          <w:highlight w:val="none"/>
          <w14:textFill>
            <w14:solidFill>
              <w14:schemeClr w14:val="tx1"/>
            </w14:solidFill>
          </w14:textFill>
        </w:rPr>
        <w:t>、发行债券等募集的非自有资金。</w:t>
      </w:r>
    </w:p>
    <w:p w14:paraId="3CFFB98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本人/本单位确认已阅知客户权益须知，完全清楚理财产品购买流程、风险评估、产品评级含义、信息披露方式及渠道、信银</w:t>
      </w:r>
      <w:r>
        <w:rPr>
          <w:rFonts w:ascii="楷体_GB2312" w:cs="楷体_GB2312" w:eastAsia="楷体_GB2312" w:hAnsi="Arial"/>
          <w:color w:themeColor="text1" w:val="000000"/>
          <w:highlight w:val="none"/>
          <w14:textFill>
            <w14:solidFill>
              <w14:schemeClr w14:val="tx1"/>
            </w14:solidFill>
          </w14:textFill>
        </w:rPr>
        <w:t>理财及代销机构</w:t>
      </w:r>
      <w:r>
        <w:rPr>
          <w:rFonts w:ascii="楷体_GB2312" w:cs="楷体_GB2312" w:eastAsia="楷体_GB2312" w:hAnsi="Arial" w:hint="eastAsia"/>
          <w:color w:themeColor="text1" w:val="000000"/>
          <w:highlight w:val="none"/>
          <w14:textFill>
            <w14:solidFill>
              <w14:schemeClr w14:val="tx1"/>
            </w14:solidFill>
          </w14:textFill>
        </w:rPr>
        <w:t>联系方式及投诉程序等内容。</w:t>
      </w:r>
    </w:p>
    <w:p w14:paraId="63C2AE0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56A3E1B8">
      <w:pPr>
        <w:ind w:firstLine="480" w:firstLineChars="200"/>
        <w:jc w:val="both"/>
        <w:rPr>
          <w:color w:themeColor="text1" w:val="000000"/>
          <w:highlight w:val="none"/>
          <w14:textFill>
            <w14:solidFill>
              <w14:schemeClr w14:val="tx1"/>
            </w14:solidFill>
          </w14:textFill>
        </w:rPr>
      </w:pPr>
    </w:p>
    <w:p w14:paraId="17873AF1">
      <w:pPr>
        <w:ind w:firstLine="480" w:firstLineChars="200"/>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本人/本单位确认如下：</w:t>
      </w:r>
      <w:r>
        <w:rPr>
          <w:rFonts w:ascii="楷体_GB2312" w:cs="楷体_GB2312" w:eastAsia="楷体_GB2312" w:hAnsi="Arial"/>
          <w:color w:themeColor="text1" w:val="000000"/>
          <w:highlight w:val="none"/>
          <w14:textFill>
            <w14:solidFill>
              <w14:schemeClr w14:val="tx1"/>
            </w14:solidFill>
          </w14:textFill>
        </w:rPr>
        <w:t xml:space="preserve"> </w:t>
      </w:r>
    </w:p>
    <w:p w14:paraId="4E19D756">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21546DCB">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本理财产品可能委托信银理财的关联方</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托管或</w:t>
      </w:r>
      <w:r>
        <w:rPr>
          <w:rFonts w:ascii="楷体_GB2312" w:cs="楷体_GB2312" w:eastAsia="楷体_GB2312" w:hAnsi="Arial" w:hint="eastAsia"/>
          <w:b/>
          <w:bCs/>
          <w:color w:themeColor="text1" w:val="000000"/>
          <w:highlight w:val="none"/>
          <w14:textFill>
            <w14:solidFill>
              <w14:schemeClr w14:val="tx1"/>
            </w14:solidFill>
          </w14:textFill>
        </w:rPr>
        <w:t>销售</w:t>
      </w:r>
      <w:r>
        <w:rPr>
          <w:rFonts w:ascii="楷体_GB2312" w:cs="楷体_GB2312" w:eastAsia="楷体_GB2312" w:hAnsi="Arial" w:hint="eastAsia"/>
          <w:b/>
          <w:bCs/>
          <w:color w:themeColor="text1" w:val="000000"/>
          <w:highlight w:val="none"/>
          <w:lang w:eastAsia="zh-CN"/>
          <w14:textFill>
            <w14:solidFill>
              <w14:schemeClr w14:val="tx1"/>
            </w14:solidFill>
          </w14:textFill>
        </w:rPr>
        <w:t>。</w:t>
      </w:r>
      <w:r>
        <w:rPr>
          <w:rFonts w:ascii="楷体_GB2312" w:cs="楷体_GB2312" w:eastAsia="楷体_GB2312" w:hAnsi="Arial" w:hint="eastAsia"/>
          <w:b/>
          <w:bCs/>
          <w:color w:themeColor="text1" w:val="000000"/>
          <w:highlight w:val="none"/>
          <w14:textFill>
            <w14:solidFill>
              <w14:schemeClr w14:val="tx1"/>
            </w14:solidFill>
          </w14:textFill>
        </w:rPr>
        <w:t>信银理财委托</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关联方托管或</w:t>
      </w:r>
      <w:r>
        <w:rPr>
          <w:rFonts w:ascii="楷体_GB2312" w:cs="楷体_GB2312" w:eastAsia="楷体_GB2312" w:hAnsi="Arial" w:hint="eastAsia"/>
          <w:b/>
          <w:bCs/>
          <w:color w:themeColor="text1" w:val="000000"/>
          <w:highlight w:val="none"/>
          <w14:textFill>
            <w14:solidFill>
              <w14:schemeClr w14:val="tx1"/>
            </w14:solidFill>
          </w14:textFill>
        </w:rPr>
        <w:t>销售本理财产品的，存在关联交易风险，请投资者仔细阅读</w:t>
      </w:r>
      <w:r>
        <w:rPr>
          <w:rFonts w:ascii="楷体_GB2312" w:cs="楷体_GB2312" w:eastAsia="楷体_GB2312" w:hAnsi="Arial" w:hint="eastAsia"/>
          <w:b/>
          <w:color w:themeColor="text1" w:val="000000"/>
          <w:highlight w:val="none"/>
          <w14:textFill>
            <w14:solidFill>
              <w14:schemeClr w14:val="tx1"/>
            </w14:solidFill>
          </w14:textFill>
        </w:rPr>
        <w:t>理财产品说明书中相应风险揭示部分</w:t>
      </w:r>
      <w:r>
        <w:rPr>
          <w:rFonts w:ascii="楷体_GB2312" w:cs="楷体_GB2312" w:eastAsia="楷体_GB2312" w:hAnsi="Arial" w:hint="eastAsia"/>
          <w:b/>
          <w:color w:themeColor="text1" w:val="000000"/>
          <w:highlight w:val="none"/>
          <w:lang w:eastAsia="zh-CN" w:val="en-US"/>
          <w14:textFill>
            <w14:solidFill>
              <w14:schemeClr w14:val="tx1"/>
            </w14:solidFill>
          </w14:textFill>
        </w:rPr>
        <w:t>以及本理财产品披露的销售机构及托管人</w:t>
      </w:r>
      <w:r>
        <w:rPr>
          <w:rFonts w:ascii="楷体_GB2312" w:cs="楷体_GB2312" w:eastAsia="楷体_GB2312" w:hAnsi="Arial" w:hint="eastAsia"/>
          <w:b/>
          <w:bCs/>
          <w:color w:themeColor="text1" w:val="000000"/>
          <w:highlight w:val="none"/>
          <w14:textFill>
            <w14:solidFill>
              <w14:schemeClr w14:val="tx1"/>
            </w14:solidFill>
          </w14:textFill>
        </w:rPr>
        <w:t>。</w:t>
      </w:r>
    </w:p>
    <w:p w14:paraId="012CD0F3">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本人/本单位确认，已知悉上述关联交易，愿意承担相应投资风险。</w:t>
      </w:r>
    </w:p>
    <w:p w14:paraId="566B1FB3">
      <w:pPr>
        <w:rPr>
          <w:rFonts w:ascii="楷体_GB2312" w:eastAsia="楷体_GB2312"/>
          <w:color w:themeColor="text1" w:val="000000"/>
          <w:highlight w:val="none"/>
          <w14:textFill>
            <w14:solidFill>
              <w14:schemeClr w14:val="tx1"/>
            </w14:solidFill>
          </w14:textFill>
        </w:rPr>
      </w:pPr>
    </w:p>
    <w:p w14:paraId="57B32EB0">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本人/本单位风险承受能力评级为（由个人客户本人/机构客户授权经办人填写）：</w:t>
      </w:r>
      <w:r>
        <w:rPr>
          <w:rFonts w:ascii="楷体_GB2312" w:eastAsia="楷体_GB2312" w:hAnsi="Arial"/>
          <w:color w:themeColor="text1" w:val="000000"/>
          <w:highlight w:val="none"/>
          <w14:textFill>
            <w14:solidFill>
              <w14:schemeClr w14:val="tx1"/>
            </w14:solidFill>
          </w14:textFill>
        </w:rPr>
        <w:t> </w:t>
      </w:r>
      <w:r>
        <w:rPr>
          <w:rFonts w:ascii="Arial" w:cs="Arial" w:hAnsi="Arial"/>
          <w:color w:themeColor="text1" w:val="000000"/>
          <w:sz w:val="18"/>
          <w:szCs w:val="18"/>
          <w:highlight w:val="none"/>
          <w14:textFill>
            <w14:solidFill>
              <w14:schemeClr w14:val="tx1"/>
            </w14:solidFill>
          </w14:textFill>
        </w:rPr>
        <w:t> </w:t>
      </w:r>
    </w:p>
    <w:p w14:paraId="2C680FE1">
      <w:pPr>
        <w:snapToGrid w:val="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个人客户本人/机构客户授权经办人需全文抄录以下文字以完成确认</w:t>
      </w: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int="eastAsia"/>
          <w:b/>
          <w:bCs/>
          <w:color w:themeColor="text1" w:val="000000"/>
          <w:highlight w:val="none"/>
          <w14:textFill>
            <w14:solidFill>
              <w14:schemeClr w14:val="tx1"/>
            </w14:solidFill>
          </w14:textFill>
        </w:rPr>
        <w:t>本人/本单位已经阅读风险揭示，愿意承担投资风险</w:t>
      </w:r>
      <w:r>
        <w:rPr>
          <w:rFonts w:ascii="楷体_GB2312" w:cs="楷体_GB2312" w:eastAsia="楷体_GB2312" w:hint="eastAsia"/>
          <w:color w:themeColor="text1" w:val="000000"/>
          <w:highlight w:val="none"/>
          <w14:textFill>
            <w14:solidFill>
              <w14:schemeClr w14:val="tx1"/>
            </w14:solidFill>
          </w14:textFill>
        </w:rPr>
        <w:t>。）</w:t>
      </w:r>
    </w:p>
    <w:p w14:paraId="49D6EBD1">
      <w:pPr>
        <w:snapToGrid w:val="0"/>
        <w:rPr>
          <w:rFonts w:ascii="楷体_GB2312" w:eastAsia="楷体_GB2312"/>
          <w:color w:themeColor="text1" w:val="000000"/>
          <w:highlight w:val="none"/>
          <w:u w:val="single"/>
          <w14:textFill>
            <w14:solidFill>
              <w14:schemeClr w14:val="tx1"/>
            </w14:solidFill>
          </w14:textFill>
        </w:rPr>
      </w:pP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p>
    <w:p w14:paraId="767C37E0">
      <w:pPr>
        <w:snapToGrid w:val="0"/>
        <w:rPr>
          <w:rFonts w:ascii="楷体_GB2312" w:eastAsia="楷体_GB2312"/>
          <w:color w:themeColor="text1" w:val="000000"/>
          <w:highlight w:val="none"/>
          <w:u w:val="single"/>
          <w14:textFill>
            <w14:solidFill>
              <w14:schemeClr w14:val="tx1"/>
            </w14:solidFill>
          </w14:textFill>
        </w:rPr>
      </w:pPr>
    </w:p>
    <w:p w14:paraId="3283F598">
      <w:pPr>
        <w:snapToGrid w:val="0"/>
        <w:ind w:right="440"/>
        <w:rPr>
          <w:rFonts w:ascii="楷体_GB2312" w:cs="楷体_GB2312" w:eastAsia="楷体_GB2312"/>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个人客户（签字）：                机构客户（盖章）：</w:t>
      </w:r>
    </w:p>
    <w:p w14:paraId="090DF99D">
      <w:pPr>
        <w:snapToGrid w:val="0"/>
        <w:ind w:left="-426" w:right="440"/>
        <w:rPr>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                               法定代表人或负责人（签字或签章）：</w:t>
      </w:r>
    </w:p>
    <w:p w14:paraId="37549A0E">
      <w:pPr>
        <w:snapToGrid w:val="0"/>
        <w:ind w:right="440"/>
        <w:rPr>
          <w:color w:themeColor="text1" w:val="000000"/>
          <w:highlight w:val="none"/>
          <w14:textFill>
            <w14:solidFill>
              <w14:schemeClr w14:val="tx1"/>
            </w14:solidFill>
          </w14:textFill>
        </w:rPr>
      </w:pPr>
      <w:r>
        <w:rPr>
          <w:color w:themeColor="text1" w:val="000000"/>
          <w:highlight w:val="none"/>
          <w14:textFill>
            <w14:solidFill>
              <w14:schemeClr w14:val="tx1"/>
            </w14:solidFill>
          </w14:textFill>
        </w:rPr>
        <w:t> </w:t>
      </w:r>
    </w:p>
    <w:p w14:paraId="4602A6ED">
      <w:pPr>
        <w:snapToGrid w:val="0"/>
        <w:ind w:right="440"/>
        <w:rPr>
          <w:rFonts w:ascii="黑体" w:cs="Arial" w:eastAsia="黑体" w:hAnsi="Times New Roman"/>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日期：年 月 日                    日期：年 月 日</w:t>
      </w:r>
    </w:p>
    <w:bookmarkEnd w:id="0"/>
    <w:p w14:paraId="44EB9DE1">
      <w:pPr>
        <w:snapToGrid w:val="0"/>
        <w:ind w:right="440"/>
        <w:rPr>
          <w:rFonts w:ascii="黑体" w:cs="Arial" w:eastAsia="黑体" w:hAnsi="Times New Roman"/>
          <w:highlight w:val="none"/>
        </w:rPr>
      </w:pPr>
    </w:p>
    <w:p w14:paraId="7B37D738">
      <w:pPr>
        <w:snapToGrid w:val="0"/>
        <w:ind w:right="440"/>
        <w:rPr>
          <w:rFonts w:ascii="黑体" w:cs="Arial" w:eastAsia="黑体" w:hAnsi="Times New Roman"/>
          <w:highlight w:val="none"/>
        </w:rPr>
        <w:sectPr>
          <w:headerReference r:id="rId5" w:type="default"/>
          <w:pgSz w:h="16838" w:w="11906"/>
          <w:pgMar w:bottom="1440" w:footer="992" w:gutter="0" w:header="851" w:left="1797" w:right="1797" w:top="1440"/>
          <w:pgNumType w:start="1"/>
          <w:cols w:num="1" w:space="720"/>
          <w:docGrid w:charSpace="0" w:linePitch="326"/>
        </w:sectPr>
      </w:pPr>
    </w:p>
    <w:p w14:paraId="06C40A91">
      <w:pPr>
        <w:spacing w:line="300" w:lineRule="exact"/>
        <w:jc w:val="both"/>
        <w:rPr>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理财产品登记编码:</w:t>
      </w:r>
      <w:r>
        <w:rPr>
          <w:rFonts w:hint="eastAsia"/>
          <w:color w:themeColor="text1" w:val="000000"/>
          <w:highlight w:val="none"/>
          <w14:textFill>
            <w14:solidFill>
              <w14:schemeClr w14:val="tx1"/>
            </w14:solidFill>
          </w14:textFill>
        </w:rPr>
        <w:t>【</w:t>
      </w:r>
      <w:r>
        <w:rPr>
          <w:color w:themeColor="text1" w:val="000000"/>
          <w:highlight w:val="none"/>
          <w14:textFill>
            <w14:solidFill>
              <w14:schemeClr w14:val="tx1"/>
            </w14:solidFill>
          </w14:textFill>
        </w:rPr>
        <w:t>Z7002626001274】</w:t>
      </w:r>
    </w:p>
    <w:p w14:paraId="14894ADD">
      <w:pPr>
        <w:spacing w:line="300" w:lineRule="exact"/>
        <w:ind w:right="89" w:rightChars="37"/>
        <w:rPr>
          <w:rFonts w:ascii="黑体" w:eastAsia="黑体" w:hAnsi="黑体"/>
          <w:sz w:val="21"/>
          <w:szCs w:val="21"/>
          <w:highlight w:val="none"/>
        </w:rPr>
      </w:pPr>
      <w:r>
        <w:rPr>
          <w:rFonts w:ascii="黑体" w:eastAsia="黑体" w:hAnsi="黑体" w:hint="eastAsia"/>
          <w:sz w:val="21"/>
          <w:szCs w:val="21"/>
          <w:highlight w:val="none"/>
        </w:rPr>
        <w:t>理财产品登记编码为本产品在全国银行业理财信息登记系统取得的理财产品登记编码，投资者可以依据该理财产品登记编码在金融产品查询平台（www.jrcpcx.cn）或中国理财网（</w:t>
      </w:r>
      <w:r>
        <w:rPr>
          <w:rFonts w:ascii="黑体" w:eastAsia="黑体" w:hAnsi="黑体"/>
          <w:sz w:val="21"/>
          <w:szCs w:val="21"/>
          <w:highlight w:val="none"/>
        </w:rPr>
        <w:t>www.chinawealth.com.cn）上查询本产品相关信息。</w:t>
      </w:r>
    </w:p>
    <w:p w14:paraId="11882F74">
      <w:pPr>
        <w:spacing w:line="300" w:lineRule="exact"/>
        <w:ind w:right="89" w:rightChars="37"/>
        <w:rPr>
          <w:rFonts w:ascii="黑体" w:eastAsia="黑体" w:hAnsi="黑体"/>
          <w:sz w:val="21"/>
          <w:szCs w:val="21"/>
          <w:highlight w:val="none"/>
        </w:rPr>
      </w:pPr>
    </w:p>
    <w:p w14:paraId="60039533">
      <w:pPr>
        <w:spacing w:line="300" w:lineRule="exact"/>
        <w:ind w:right="89" w:rightChars="37"/>
        <w:rPr>
          <w:rFonts w:ascii="黑体" w:eastAsia="黑体" w:hAnsi="黑体"/>
          <w:b/>
          <w:sz w:val="28"/>
          <w:szCs w:val="28"/>
          <w:highlight w:val="none"/>
        </w:rPr>
      </w:pPr>
      <w:r>
        <w:rPr>
          <w:rFonts w:ascii="黑体" w:eastAsia="黑体" w:hAnsi="黑体" w:hint="eastAsia"/>
          <w:b/>
          <w:sz w:val="28"/>
          <w:szCs w:val="28"/>
          <w:highlight w:val="none"/>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eastAsia="黑体" w:hAnsi="黑体"/>
          <w:b/>
          <w:sz w:val="28"/>
          <w:szCs w:val="28"/>
          <w:highlight w:val="none"/>
        </w:rPr>
        <w:t>www.chinawealth.com.cn）上查询到产品相关信息，则该产品非信银理财发行产品。</w:t>
      </w:r>
    </w:p>
    <w:p w14:paraId="6AFAA48A">
      <w:pPr>
        <w:spacing w:line="300" w:lineRule="exact"/>
        <w:ind w:right="-792" w:rightChars="-330"/>
        <w:rPr>
          <w:rFonts w:ascii="黑体" w:eastAsia="黑体" w:hAnsi="黑体"/>
          <w:color w:themeColor="text1" w:val="000000"/>
          <w:sz w:val="21"/>
          <w:szCs w:val="21"/>
          <w:highlight w:val="none"/>
          <w14:textFill>
            <w14:solidFill>
              <w14:schemeClr w14:val="tx1"/>
            </w14:solidFill>
          </w14:textFill>
        </w:rPr>
      </w:pPr>
    </w:p>
    <w:p w14:paraId="2006040B">
      <w:pPr>
        <w:spacing w:line="300" w:lineRule="exact"/>
        <w:ind w:right="-792" w:rightChars="-330"/>
        <w:jc w:val="center"/>
        <w:rPr>
          <w:rFonts w:ascii="黑体" w:cs="黑体" w:eastAsia="黑体"/>
          <w:b/>
          <w:bCs/>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信银理财理财产品说明书</w:t>
      </w:r>
    </w:p>
    <w:p w14:paraId="0D7ED81A">
      <w:pPr>
        <w:widowControl w:val="0"/>
        <w:spacing w:line="300" w:lineRule="exact"/>
        <w:ind w:right="-792" w:rightChars="-330"/>
        <w:jc w:val="center"/>
        <w:rPr>
          <w:rFonts w:ascii="黑体" w:cs="黑体" w:eastAsia="黑体" w:hAnsi="Calibri"/>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color w:themeColor="text1" w:val="000000"/>
          <w:sz w:val="20"/>
          <w:szCs w:val="20"/>
          <w:highlight w:val="none"/>
          <w14:textFill>
            <w14:solidFill>
              <w14:schemeClr w14:val="tx1"/>
            </w14:solidFill>
          </w14:textFill>
        </w:rPr>
        <w:t>产品</w:t>
      </w:r>
      <w:r>
        <w:rPr>
          <w:rFonts w:ascii="黑体" w:cs="黑体" w:eastAsia="黑体" w:hAnsi="Times New Roman" w:hint="eastAsia"/>
          <w:b/>
          <w:bCs/>
          <w:color w:themeColor="text1" w:val="000000"/>
          <w:sz w:val="20"/>
          <w:szCs w:val="20"/>
          <w:highlight w:val="none"/>
          <w14:textFill>
            <w14:solidFill>
              <w14:schemeClr w14:val="tx1"/>
            </w14:solidFill>
          </w14:textFill>
        </w:rPr>
        <w:t>名称：</w:t>
      </w:r>
      <w:r>
        <w:rPr>
          <w:rFonts w:ascii="黑体" w:cs="黑体" w:eastAsia="黑体" w:hAnsi="Calibri"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sz w:val="20"/>
          <w:szCs w:val="20"/>
          <w:highlight w:val="none"/>
        </w:rPr>
        <w:t>信银理财安盈象固收稳利封闭式1132号理财产品</w:t>
      </w:r>
      <w:r>
        <w:rPr>
          <w:rFonts w:ascii="黑体" w:cs="黑体" w:eastAsia="黑体" w:hAnsi="Calibri"/>
          <w:b/>
          <w:bCs/>
          <w:sz w:val="20"/>
          <w:szCs w:val="20"/>
          <w:highlight w:val="none"/>
        </w:rPr>
        <w:t/>
      </w:r>
      <w:r>
        <w:rPr>
          <w:rFonts w:ascii="黑体" w:cs="黑体" w:eastAsia="黑体" w:hAnsi="Calibri" w:hint="eastAsia"/>
          <w:b/>
          <w:bCs/>
          <w:color w:themeColor="text1" w:val="000000"/>
          <w:sz w:val="20"/>
          <w:szCs w:val="20"/>
          <w:highlight w:val="none"/>
          <w14:textFill>
            <w14:solidFill>
              <w14:schemeClr w14:val="tx1"/>
            </w14:solidFill>
          </w14:textFill>
        </w:rPr>
        <w:t xml:space="preserve">】  </w:t>
      </w:r>
    </w:p>
    <w:p w14:paraId="6F12700F">
      <w:pPr>
        <w:widowControl w:val="0"/>
        <w:spacing w:line="300" w:lineRule="exact"/>
        <w:ind w:right="-792" w:rightChars="-330"/>
        <w:jc w:val="center"/>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Calibri" w:hint="eastAsia"/>
          <w:b/>
          <w:bCs/>
          <w:color w:themeColor="text1" w:val="000000"/>
          <w:sz w:val="20"/>
          <w:szCs w:val="20"/>
          <w:highlight w:val="none"/>
          <w14:textFill>
            <w14:solidFill>
              <w14:schemeClr w14:val="tx1"/>
            </w14:solidFill>
          </w14:textFill>
        </w:rPr>
        <w:t>产品代码</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Calibri"/>
          <w:b/>
          <w:bCs/>
          <w:sz w:val="20"/>
          <w:szCs w:val="20"/>
          <w:highlight w:val="none"/>
        </w:rPr>
        <w:t>AF265271</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7FE49EE9">
      <w:pPr>
        <w:spacing w:line="300" w:lineRule="exact"/>
        <w:ind w:right="-792" w:rightChars="-330"/>
        <w:rPr>
          <w:color w:themeColor="text1" w:val="000000"/>
          <w:highlight w:val="none"/>
          <w14:textFill>
            <w14:solidFill>
              <w14:schemeClr w14:val="tx1"/>
            </w14:solidFill>
          </w14:textFill>
        </w:rPr>
      </w:pPr>
    </w:p>
    <w:p w14:paraId="0D4AD127">
      <w:pPr>
        <w:spacing w:line="300" w:lineRule="exact"/>
        <w:ind w:right="-792" w:rightChars="-330"/>
        <w:rPr>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重要须知</w:t>
      </w:r>
      <w:r>
        <w:rPr>
          <w:rFonts w:ascii="黑体" w:cs="黑体" w:eastAsia="黑体" w:hAnsi="Times New Roman" w:hint="eastAsia"/>
          <w:color w:themeColor="text1" w:val="000000"/>
          <w:sz w:val="20"/>
          <w:szCs w:val="20"/>
          <w:highlight w:val="none"/>
          <w14:textFill>
            <w14:solidFill>
              <w14:schemeClr w14:val="tx1"/>
            </w14:solidFill>
          </w14:textFill>
        </w:rPr>
        <w:t>：</w:t>
      </w:r>
    </w:p>
    <w:p w14:paraId="575147D5">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1</w:t>
      </w:r>
      <w:r>
        <w:rPr>
          <w:rFonts w:ascii="黑体" w:cs="黑体" w:eastAsia="黑体" w:hAnsi="Times New Roman" w:hint="eastAsia"/>
          <w:b/>
          <w:color w:themeColor="text1" w:val="000000"/>
          <w:sz w:val="20"/>
          <w:szCs w:val="20"/>
          <w:highlight w:val="none"/>
          <w14:textFill>
            <w14:solidFill>
              <w14:schemeClr w14:val="tx1"/>
            </w14:solidFill>
          </w14:textFill>
        </w:rPr>
        <w:t>．本理财产品的产品期限为【</w:t>
      </w:r>
      <w:r>
        <w:rPr>
          <w:rFonts w:ascii="黑体" w:cs="黑体" w:eastAsia="黑体" w:hAnsi="Times New Roman"/>
          <w:b/>
          <w:color w:themeColor="text1" w:val="000000"/>
          <w:sz w:val="20"/>
          <w:szCs w:val="20"/>
          <w:highlight w:val="none"/>
          <w14:textFill>
            <w14:solidFill>
              <w14:schemeClr w14:val="tx1"/>
            </w14:solidFill>
          </w14:textFill>
        </w:rPr>
        <w:t>190</w:t>
      </w:r>
      <w:r>
        <w:rPr>
          <w:rFonts w:ascii="黑体" w:cs="黑体" w:eastAsia="黑体" w:hAnsi="Times New Roman" w:hint="eastAsia"/>
          <w:b/>
          <w:color w:themeColor="text1" w:val="000000"/>
          <w:sz w:val="20"/>
          <w:szCs w:val="20"/>
          <w:highlight w:val="none"/>
          <w14:textFill>
            <w14:solidFill>
              <w14:schemeClr w14:val="tx1"/>
            </w14:solidFill>
          </w14:textFill>
        </w:rPr>
        <w:t>】天，到期日为</w:t>
      </w:r>
      <w:r>
        <w:rPr>
          <w:rFonts w:ascii="黑体" w:cs="黑体" w:eastAsia="黑体" w:hAnsi="Times New Roman"/>
          <w:b/>
          <w:color w:themeColor="text1" w:val="000000"/>
          <w:sz w:val="20"/>
          <w:szCs w:val="20"/>
          <w:highlight w:val="none"/>
          <w14:textFill>
            <w14:solidFill>
              <w14:schemeClr w14:val="tx1"/>
            </w14:solidFill>
          </w14:textFill>
        </w:rPr>
        <w:t>【2027】年【2】月【17】日</w:t>
      </w:r>
      <w:r>
        <w:rPr>
          <w:rFonts w:ascii="黑体" w:cs="黑体" w:eastAsia="黑体" w:hAnsi="Times New Roman" w:hint="eastAsia"/>
          <w:b/>
          <w:color w:themeColor="text1" w:val="000000"/>
          <w:sz w:val="20"/>
          <w:szCs w:val="20"/>
          <w:highlight w:val="none"/>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2</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本</w:t>
      </w:r>
      <w:r>
        <w:rPr>
          <w:rFonts w:ascii="黑体" w:cs="黑体" w:eastAsia="黑体" w:hAnsi="Times New Roman" w:hint="eastAsia"/>
          <w:color w:themeColor="text1" w:val="000000"/>
          <w:sz w:val="20"/>
          <w:szCs w:val="20"/>
          <w:highlight w:val="none"/>
          <w14:textFill>
            <w14:solidFill>
              <w14:schemeClr w14:val="tx1"/>
            </w14:solidFill>
          </w14:textFill>
        </w:rPr>
        <w:t>理财产品的《信银理财理财</w:t>
      </w:r>
      <w:r>
        <w:rPr>
          <w:rFonts w:ascii="黑体" w:cs="黑体" w:eastAsia="黑体" w:hAnsi="Times New Roman"/>
          <w:color w:themeColor="text1" w:val="000000"/>
          <w:sz w:val="20"/>
          <w:szCs w:val="20"/>
          <w:highlight w:val="none"/>
          <w14:textFill>
            <w14:solidFill>
              <w14:schemeClr w14:val="tx1"/>
            </w14:solidFill>
          </w14:textFill>
        </w:rPr>
        <w:t>产品说明书</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信银</w:t>
      </w:r>
      <w:r>
        <w:rPr>
          <w:rFonts w:ascii="黑体" w:cs="黑体" w:eastAsia="黑体" w:hAnsi="Times New Roman"/>
          <w:color w:themeColor="text1" w:val="000000"/>
          <w:sz w:val="20"/>
          <w:szCs w:val="20"/>
          <w:highlight w:val="none"/>
          <w14:textFill>
            <w14:solidFill>
              <w14:schemeClr w14:val="tx1"/>
            </w14:solidFill>
          </w14:textFill>
        </w:rPr>
        <w:t>理财理财产品风险揭示书》</w:t>
      </w:r>
      <w:r>
        <w:rPr>
          <w:rFonts w:ascii="黑体" w:cs="黑体" w:eastAsia="黑体" w:hAnsi="Times New Roman" w:hint="eastAsia"/>
          <w:color w:themeColor="text1" w:val="000000"/>
          <w:sz w:val="20"/>
          <w:szCs w:val="20"/>
          <w:highlight w:val="none"/>
          <w14:textFill>
            <w14:solidFill>
              <w14:schemeClr w14:val="tx1"/>
            </w14:solidFill>
          </w14:textFill>
        </w:rPr>
        <w:t>、《信银理财理财产品投资协议书》</w:t>
      </w:r>
      <w:r>
        <w:rPr>
          <w:rFonts w:ascii="黑体" w:cs="黑体" w:eastAsia="黑体" w:hAnsi="Times New Roman"/>
          <w:color w:themeColor="text1" w:val="000000"/>
          <w:sz w:val="20"/>
          <w:szCs w:val="20"/>
          <w:highlight w:val="none"/>
          <w14:textFill>
            <w14:solidFill>
              <w14:schemeClr w14:val="tx1"/>
            </w14:solidFill>
          </w14:textFill>
        </w:rPr>
        <w:t>与《信银理财理财产品销售总协议》（含附件：客户权益须知专页）（或合作销售机构向投资者提供的理财产品销售协议文本）</w:t>
      </w:r>
      <w:r>
        <w:rPr>
          <w:rFonts w:ascii="黑体" w:cs="黑体" w:eastAsia="黑体" w:hAnsi="Times New Roman" w:hint="eastAsia"/>
          <w:color w:themeColor="text1" w:val="000000"/>
          <w:sz w:val="20"/>
          <w:szCs w:val="20"/>
          <w:highlight w:val="none"/>
          <w14:textFill>
            <w14:solidFill>
              <w14:schemeClr w14:val="tx1"/>
            </w14:solidFill>
          </w14:textFill>
        </w:rPr>
        <w:t>等文件及其不时有效修订与补充</w:t>
      </w:r>
      <w:r>
        <w:rPr>
          <w:rFonts w:ascii="黑体" w:cs="黑体" w:eastAsia="黑体" w:hAnsi="Times New Roman"/>
          <w:color w:themeColor="text1" w:val="000000"/>
          <w:sz w:val="20"/>
          <w:szCs w:val="20"/>
          <w:highlight w:val="none"/>
          <w14:textFill>
            <w14:solidFill>
              <w14:schemeClr w14:val="tx1"/>
            </w14:solidFill>
          </w14:textFill>
        </w:rPr>
        <w:t>共同构成</w:t>
      </w:r>
      <w:r>
        <w:rPr>
          <w:rFonts w:ascii="黑体" w:cs="黑体" w:eastAsia="黑体" w:hAnsi="Times New Roman" w:hint="eastAsia"/>
          <w:color w:themeColor="text1" w:val="000000"/>
          <w:sz w:val="20"/>
          <w:szCs w:val="20"/>
          <w:highlight w:val="none"/>
          <w14:textFill>
            <w14:solidFill>
              <w14:schemeClr w14:val="tx1"/>
            </w14:solidFill>
          </w14:textFill>
        </w:rPr>
        <w:t>理财产品销售文件</w:t>
      </w:r>
      <w:r>
        <w:rPr>
          <w:rFonts w:ascii="黑体" w:cs="黑体" w:eastAsia="黑体" w:hAnsi="Times New Roman"/>
          <w:color w:themeColor="text1" w:val="000000"/>
          <w:sz w:val="20"/>
          <w:szCs w:val="20"/>
          <w:highlight w:val="none"/>
          <w14:textFill>
            <w14:solidFill>
              <w14:schemeClr w14:val="tx1"/>
            </w14:solidFill>
          </w14:textFill>
        </w:rPr>
        <w:t>。</w:t>
      </w:r>
    </w:p>
    <w:p w14:paraId="3297E99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3</w:t>
      </w:r>
      <w:r>
        <w:rPr>
          <w:rFonts w:ascii="黑体" w:cs="黑体" w:eastAsia="黑体" w:hAnsi="Times New Roman" w:hint="eastAsia"/>
          <w:color w:themeColor="text1" w:val="000000"/>
          <w:sz w:val="20"/>
          <w:szCs w:val="20"/>
          <w:highlight w:val="none"/>
          <w14:textFill>
            <w14:solidFill>
              <w14:schemeClr w14:val="tx1"/>
            </w14:solidFill>
          </w14:textFill>
        </w:rPr>
        <w:t>．本理财产品不等同于银行存款。</w:t>
      </w:r>
    </w:p>
    <w:p w14:paraId="56DCE51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4</w:t>
      </w:r>
      <w:r>
        <w:rPr>
          <w:rFonts w:ascii="黑体" w:cs="黑体" w:eastAsia="黑体" w:hAnsi="Times New Roman" w:hint="eastAsia"/>
          <w:color w:themeColor="text1" w:val="000000"/>
          <w:sz w:val="20"/>
          <w:szCs w:val="20"/>
          <w:highlight w:val="none"/>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cs="黑体" w:eastAsia="黑体" w:hAnsi="Times New Roman"/>
          <w:color w:themeColor="text1" w:val="000000"/>
          <w:sz w:val="20"/>
          <w:szCs w:val="20"/>
          <w:highlight w:val="none"/>
          <w14:textFill>
            <w14:solidFill>
              <w14:schemeClr w14:val="tx1"/>
            </w14:solidFill>
          </w14:textFill>
        </w:rPr>
        <w:t>机构</w:t>
      </w:r>
      <w:r>
        <w:rPr>
          <w:rFonts w:ascii="黑体" w:cs="黑体" w:eastAsia="黑体" w:hAnsi="Times New Roman" w:hint="eastAsia"/>
          <w:color w:themeColor="text1" w:val="000000"/>
          <w:sz w:val="20"/>
          <w:szCs w:val="20"/>
          <w:highlight w:val="none"/>
          <w14:textFill>
            <w14:solidFill>
              <w14:schemeClr w14:val="tx1"/>
            </w14:solidFill>
          </w14:textFill>
        </w:rPr>
        <w:t>各营业场所或营业</w:t>
      </w:r>
      <w:r>
        <w:rPr>
          <w:rFonts w:ascii="黑体" w:cs="黑体" w:eastAsia="黑体" w:hAnsi="Times New Roman"/>
          <w:color w:themeColor="text1" w:val="000000"/>
          <w:sz w:val="20"/>
          <w:szCs w:val="20"/>
          <w:highlight w:val="none"/>
          <w14:textFill>
            <w14:solidFill>
              <w14:schemeClr w14:val="tx1"/>
            </w14:solidFill>
          </w14:textFill>
        </w:rPr>
        <w:t>网点</w:t>
      </w:r>
      <w:r>
        <w:rPr>
          <w:rFonts w:ascii="黑体" w:cs="黑体" w:eastAsia="黑体" w:hAnsi="Times New Roman" w:hint="eastAsia"/>
          <w:color w:themeColor="text1" w:val="000000"/>
          <w:sz w:val="20"/>
          <w:szCs w:val="20"/>
          <w:highlight w:val="none"/>
          <w14:textFill>
            <w14:solidFill>
              <w14:schemeClr w14:val="tx1"/>
            </w14:solidFill>
          </w14:textFill>
        </w:rPr>
        <w:t>咨询。</w:t>
      </w:r>
    </w:p>
    <w:p w14:paraId="422532DF">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5</w:t>
      </w:r>
      <w:r>
        <w:rPr>
          <w:rFonts w:ascii="黑体" w:cs="黑体" w:eastAsia="黑体" w:hAnsi="Times New Roman" w:hint="eastAsia"/>
          <w:color w:themeColor="text1" w:val="000000"/>
          <w:sz w:val="20"/>
          <w:szCs w:val="20"/>
          <w:highlight w:val="none"/>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6</w:t>
      </w:r>
      <w:r>
        <w:rPr>
          <w:rFonts w:ascii="黑体" w:cs="黑体" w:eastAsia="黑体" w:hAnsi="Times New Roman" w:hint="eastAsia"/>
          <w:b/>
          <w:color w:themeColor="text1" w:val="000000"/>
          <w:sz w:val="20"/>
          <w:szCs w:val="20"/>
          <w:highlight w:val="none"/>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themeColor="text1" w:val="000000"/>
          <w:highlight w:val="none"/>
          <w14:textFill>
            <w14:solidFill>
              <w14:schemeClr w14:val="tx1"/>
            </w14:solidFill>
          </w14:textFill>
        </w:rPr>
      </w:pPr>
      <w:r>
        <w:rPr>
          <w:rFonts w:ascii="黑体" w:eastAsia="黑体" w:hAnsi="Times New Roman"/>
          <w:color w:themeColor="text1" w:val="000000"/>
          <w:sz w:val="20"/>
          <w:szCs w:val="20"/>
          <w:highlight w:val="none"/>
          <w14:textFill>
            <w14:solidFill>
              <w14:schemeClr w14:val="tx1"/>
            </w14:solidFill>
          </w14:textFill>
        </w:rPr>
        <w:t> </w:t>
      </w:r>
    </w:p>
    <w:p w14:paraId="25097462">
      <w:pPr>
        <w:snapToGrid w:val="0"/>
        <w:ind w:firstLine="200"/>
        <w:jc w:val="both"/>
        <w:rPr>
          <w:b/>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风险提示：</w:t>
      </w:r>
    </w:p>
    <w:p w14:paraId="7B53214D">
      <w:pPr>
        <w:snapToGrid w:val="0"/>
        <w:ind w:firstLine="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4．提前终止风险：如发生提前终止条款约定情形，可能导致本产品提前终止。</w:t>
      </w:r>
      <w:r>
        <w:rPr>
          <w:rFonts w:ascii="黑体" w:eastAsia="黑体" w:hint="eastAsia"/>
          <w:b/>
          <w:color w:themeColor="text1" w:val="000000"/>
          <w:sz w:val="20"/>
          <w:szCs w:val="20"/>
          <w:highlight w:val="none"/>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6．</w:t>
      </w:r>
      <w:r>
        <w:rPr>
          <w:rFonts w:ascii="黑体" w:eastAsia="黑体" w:hAnsi="Times New Roman" w:hint="eastAsia"/>
          <w:b/>
          <w:color w:themeColor="text1" w:val="000000"/>
          <w:sz w:val="20"/>
          <w:szCs w:val="20"/>
          <w:highlight w:val="none"/>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ascii="黑体" w:eastAsia="黑体" w:hint="eastAsia"/>
          <w:b/>
          <w:color w:themeColor="text1" w:val="000000"/>
          <w:sz w:val="20"/>
          <w:szCs w:val="20"/>
          <w:highlight w:val="none"/>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的有效联系方式变更的，应及时通知信银理财或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。如投资者未及时告知信银理财或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联系方式变更的，或因投资者其他原因导致信银理财或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8．延期清算风险：</w:t>
      </w:r>
      <w:r>
        <w:rPr>
          <w:rFonts w:ascii="黑体" w:eastAsia="黑体" w:hint="eastAsia"/>
          <w:b/>
          <w:color w:themeColor="text1" w:val="000000"/>
          <w:sz w:val="20"/>
          <w:szCs w:val="20"/>
          <w:highlight w:val="none"/>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eastAsia="黑体"/>
          <w:b/>
          <w:color w:themeColor="text1" w:val="000000"/>
          <w:sz w:val="20"/>
          <w:szCs w:val="20"/>
          <w:highlight w:val="none"/>
          <w14:textFill>
            <w14:solidFill>
              <w14:schemeClr w14:val="tx1"/>
            </w14:solidFill>
          </w14:textFill>
        </w:rPr>
        <w:t>9</w:t>
      </w:r>
      <w:r>
        <w:rPr>
          <w:rFonts w:ascii="黑体" w:eastAsia="黑体" w:hint="eastAsia"/>
          <w:b/>
          <w:color w:themeColor="text1" w:val="000000"/>
          <w:sz w:val="20"/>
          <w:szCs w:val="20"/>
          <w:highlight w:val="none"/>
          <w14:textFill>
            <w14:solidFill>
              <w14:schemeClr w14:val="tx1"/>
            </w14:solidFill>
          </w14:textFill>
        </w:rPr>
        <w:t>．</w:t>
      </w:r>
      <w:r>
        <w:rPr>
          <w:rFonts w:ascii="黑体" w:eastAsia="黑体"/>
          <w:b/>
          <w:color w:themeColor="text1" w:val="000000"/>
          <w:sz w:val="20"/>
          <w:szCs w:val="20"/>
          <w:highlight w:val="none"/>
          <w14:textFill>
            <w14:solidFill>
              <w14:schemeClr w14:val="tx1"/>
            </w14:solidFill>
          </w14:textFill>
        </w:rPr>
        <w:t>理财产品不成立风险：如发生理财产品不成立条款约定之情形，信银理财有权通知</w:t>
      </w:r>
      <w:r>
        <w:rPr>
          <w:rFonts w:ascii="黑体" w:eastAsia="黑体" w:hint="eastAsia"/>
          <w:b/>
          <w:color w:themeColor="text1" w:val="000000"/>
          <w:sz w:val="20"/>
          <w:szCs w:val="20"/>
          <w:highlight w:val="none"/>
          <w14:textFill>
            <w14:solidFill>
              <w14:schemeClr w14:val="tx1"/>
            </w14:solidFill>
          </w14:textFill>
        </w:rPr>
        <w:t>（或</w:t>
      </w:r>
      <w:r>
        <w:rPr>
          <w:rFonts w:ascii="黑体" w:eastAsia="黑体"/>
          <w:b/>
          <w:color w:themeColor="text1" w:val="000000"/>
          <w:sz w:val="20"/>
          <w:szCs w:val="20"/>
          <w:highlight w:val="none"/>
          <w14:textFill>
            <w14:solidFill>
              <w14:schemeClr w14:val="tx1"/>
            </w14:solidFill>
          </w14:textFill>
        </w:rPr>
        <w:t>通过代销机构通知）投资者产品不成立。</w:t>
      </w:r>
    </w:p>
    <w:p w14:paraId="57F91A8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10．不可抗力及意外事件风险：由于自然灾害、战争等不可抗力因素的出现或系统故障、通讯故障、投资市场停止交易</w:t>
      </w:r>
      <w:r>
        <w:rPr>
          <w:rFonts w:ascii="黑体" w:cs="黑体" w:eastAsia="黑体" w:hAnsi="Times New Roman" w:hint="eastAsia"/>
          <w:b/>
          <w:color w:themeColor="text1" w:val="000000"/>
          <w:sz w:val="20"/>
          <w:szCs w:val="20"/>
          <w:highlight w:val="none"/>
          <w:lang w:eastAsia="zh-CN"/>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11．</w:t>
      </w:r>
      <w:r>
        <w:rPr>
          <w:rFonts w:ascii="黑体" w:eastAsia="黑体" w:hint="eastAsia"/>
          <w:b/>
          <w:color w:themeColor="text1" w:val="000000"/>
          <w:sz w:val="20"/>
          <w:szCs w:val="20"/>
          <w:highlight w:val="none"/>
          <w:lang w:eastAsia="zh-CN" w:val="en-US"/>
          <w14:textFill>
            <w14:solidFill>
              <w14:schemeClr w14:val="tx1"/>
            </w14:solidFill>
          </w14:textFill>
        </w:rPr>
        <w:t>最不利的投资情形</w:t>
      </w:r>
      <w:r>
        <w:rPr>
          <w:rFonts w:ascii="黑体" w:eastAsia="黑体"/>
          <w:b/>
          <w:color w:themeColor="text1" w:val="000000"/>
          <w:sz w:val="20"/>
          <w:szCs w:val="20"/>
          <w:highlight w:val="none"/>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 xml:space="preserve">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12</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合作销售机构</w:t>
      </w:r>
      <w:r>
        <w:rPr>
          <w:rFonts w:ascii="黑体" w:eastAsia="黑体" w:hAnsi="黑体" w:hint="eastAsia"/>
          <w:b/>
          <w:color w:themeColor="text1" w:val="000000"/>
          <w:sz w:val="20"/>
          <w:szCs w:val="20"/>
          <w:highlight w:val="none"/>
          <w14:textFill>
            <w14:solidFill>
              <w14:schemeClr w14:val="tx1"/>
            </w14:solidFill>
          </w14:textFill>
        </w:rPr>
        <w:t>（代销</w:t>
      </w:r>
      <w:r>
        <w:rPr>
          <w:rFonts w:ascii="黑体" w:eastAsia="黑体" w:hAnsi="黑体"/>
          <w:b/>
          <w:color w:themeColor="text1" w:val="000000"/>
          <w:sz w:val="20"/>
          <w:szCs w:val="20"/>
          <w:highlight w:val="none"/>
          <w14:textFill>
            <w14:solidFill>
              <w14:schemeClr w14:val="tx1"/>
            </w14:solidFill>
          </w14:textFill>
        </w:rPr>
        <w:t>机构）风险：投资者</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合作销售机构购买本理财产品</w:t>
      </w:r>
      <w:r>
        <w:rPr>
          <w:rFonts w:ascii="黑体" w:eastAsia="黑体" w:hAnsi="黑体" w:hint="eastAsia"/>
          <w:b/>
          <w:color w:themeColor="text1" w:val="000000"/>
          <w:sz w:val="20"/>
          <w:szCs w:val="20"/>
          <w:highlight w:val="none"/>
          <w14:textFill>
            <w14:solidFill>
              <w14:schemeClr w14:val="tx1"/>
            </w14:solidFill>
          </w14:textFill>
        </w:rPr>
        <w:t>的</w:t>
      </w:r>
      <w:r>
        <w:rPr>
          <w:rFonts w:ascii="黑体" w:eastAsia="黑体" w:hAnsi="黑体"/>
          <w:b/>
          <w:color w:themeColor="text1" w:val="000000"/>
          <w:sz w:val="20"/>
          <w:szCs w:val="20"/>
          <w:highlight w:val="none"/>
          <w14:textFill>
            <w14:solidFill>
              <w14:schemeClr w14:val="tx1"/>
            </w14:solidFill>
          </w14:textFill>
        </w:rPr>
        <w:t>，资金清算将通过合作销售机构进行</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如因合作销售机构</w:t>
      </w:r>
      <w:r>
        <w:rPr>
          <w:rFonts w:ascii="黑体" w:eastAsia="黑体" w:hAnsi="黑体" w:hint="eastAsia"/>
          <w:b/>
          <w:color w:themeColor="text1" w:val="000000"/>
          <w:sz w:val="20"/>
          <w:szCs w:val="20"/>
          <w:highlight w:val="none"/>
          <w14:textFill>
            <w14:solidFill>
              <w14:schemeClr w14:val="tx1"/>
            </w14:solidFill>
          </w14:textFill>
        </w:rPr>
        <w:t>资金清算</w:t>
      </w:r>
      <w:r>
        <w:rPr>
          <w:rFonts w:ascii="黑体" w:eastAsia="黑体" w:hAnsi="黑体"/>
          <w:b/>
          <w:color w:themeColor="text1" w:val="000000"/>
          <w:sz w:val="20"/>
          <w:szCs w:val="20"/>
          <w:highlight w:val="none"/>
          <w14:textFill>
            <w14:solidFill>
              <w14:schemeClr w14:val="tx1"/>
            </w14:solidFill>
          </w14:textFill>
        </w:rPr>
        <w:t>账户余额不足或合作销售机构未及时办理资金清算或违背相关合作协议约定、处理事务不当等，可能导致</w:t>
      </w:r>
      <w:r>
        <w:rPr>
          <w:rFonts w:ascii="黑体" w:eastAsia="黑体" w:hAnsi="黑体" w:hint="eastAsia"/>
          <w:b/>
          <w:color w:themeColor="text1" w:val="000000"/>
          <w:sz w:val="20"/>
          <w:szCs w:val="20"/>
          <w:highlight w:val="none"/>
          <w14:textFill>
            <w14:solidFill>
              <w14:schemeClr w14:val="tx1"/>
            </w14:solidFill>
          </w14:textFill>
        </w:rPr>
        <w:t>投资者</w:t>
      </w:r>
      <w:r>
        <w:rPr>
          <w:rFonts w:ascii="黑体" w:eastAsia="黑体" w:hAnsi="黑体"/>
          <w:b/>
          <w:color w:themeColor="text1" w:val="000000"/>
          <w:sz w:val="20"/>
          <w:szCs w:val="20"/>
          <w:highlight w:val="none"/>
          <w14:textFill>
            <w14:solidFill>
              <w14:schemeClr w14:val="tx1"/>
            </w14:solidFill>
          </w14:textFill>
        </w:rPr>
        <w:t>认购失败或</w:t>
      </w:r>
      <w:r>
        <w:rPr>
          <w:rFonts w:ascii="黑体" w:eastAsia="黑体" w:hAnsi="黑体" w:hint="eastAsia"/>
          <w:b/>
          <w:color w:themeColor="text1" w:val="000000"/>
          <w:sz w:val="20"/>
          <w:szCs w:val="20"/>
          <w:highlight w:val="none"/>
          <w14:textFill>
            <w14:solidFill>
              <w14:schemeClr w14:val="tx1"/>
            </w14:solidFill>
          </w14:textFill>
        </w:rPr>
        <w:t>理财</w:t>
      </w:r>
      <w:r>
        <w:rPr>
          <w:rFonts w:ascii="黑体" w:eastAsia="黑体" w:hAnsi="黑体"/>
          <w:b/>
          <w:color w:themeColor="text1" w:val="000000"/>
          <w:sz w:val="20"/>
          <w:szCs w:val="20"/>
          <w:highlight w:val="none"/>
          <w14:textFill>
            <w14:solidFill>
              <w14:schemeClr w14:val="tx1"/>
            </w14:solidFill>
          </w14:textFill>
        </w:rPr>
        <w:t>资金遭受损失。</w:t>
      </w:r>
      <w:r>
        <w:rPr>
          <w:rFonts w:ascii="黑体" w:eastAsia="黑体" w:hAnsi="黑体" w:hint="eastAsia"/>
          <w:b/>
          <w:color w:themeColor="text1" w:val="000000"/>
          <w:sz w:val="20"/>
          <w:szCs w:val="20"/>
          <w:highlight w:val="none"/>
          <w14:textFill>
            <w14:solidFill>
              <w14:schemeClr w14:val="tx1"/>
            </w14:solidFill>
          </w14:textFill>
        </w:rPr>
        <w:t>在</w:t>
      </w:r>
      <w:r>
        <w:rPr>
          <w:rFonts w:ascii="黑体" w:eastAsia="黑体" w:hAnsi="黑体"/>
          <w:b/>
          <w:color w:themeColor="text1" w:val="000000"/>
          <w:sz w:val="20"/>
          <w:szCs w:val="20"/>
          <w:highlight w:val="none"/>
          <w14:textFill>
            <w14:solidFill>
              <w14:schemeClr w14:val="tx1"/>
            </w14:solidFill>
          </w14:textFill>
        </w:rPr>
        <w:t>认购时，如果投资者在合作销售机构的资金账户余额</w:t>
      </w:r>
      <w:r>
        <w:rPr>
          <w:rFonts w:ascii="黑体" w:eastAsia="黑体" w:hAnsi="黑体" w:hint="eastAsia"/>
          <w:b/>
          <w:color w:themeColor="text1" w:val="000000"/>
          <w:sz w:val="20"/>
          <w:szCs w:val="20"/>
          <w:highlight w:val="none"/>
          <w14:textFill>
            <w14:solidFill>
              <w14:schemeClr w14:val="tx1"/>
            </w14:solidFill>
          </w14:textFill>
        </w:rPr>
        <w:t>不足</w:t>
      </w:r>
      <w:r>
        <w:rPr>
          <w:rFonts w:ascii="黑体" w:eastAsia="黑体" w:hAnsi="黑体"/>
          <w:b/>
          <w:color w:themeColor="text1" w:val="000000"/>
          <w:sz w:val="20"/>
          <w:szCs w:val="20"/>
          <w:highlight w:val="none"/>
          <w14:textFill>
            <w14:solidFill>
              <w14:schemeClr w14:val="tx1"/>
            </w14:solidFill>
          </w14:textFill>
        </w:rPr>
        <w:t>，或合作销售机构</w:t>
      </w:r>
      <w:r>
        <w:rPr>
          <w:rFonts w:ascii="黑体" w:eastAsia="黑体" w:hAnsi="黑体" w:hint="eastAsia"/>
          <w:b/>
          <w:color w:themeColor="text1" w:val="000000"/>
          <w:sz w:val="20"/>
          <w:szCs w:val="20"/>
          <w:highlight w:val="none"/>
          <w14:textFill>
            <w14:solidFill>
              <w14:schemeClr w14:val="tx1"/>
            </w14:solidFill>
          </w14:textFill>
        </w:rPr>
        <w:t>未及时将投资者认购</w:t>
      </w:r>
      <w:r>
        <w:rPr>
          <w:rFonts w:ascii="黑体" w:eastAsia="黑体" w:hAnsi="黑体"/>
          <w:b/>
          <w:color w:themeColor="text1" w:val="000000"/>
          <w:sz w:val="20"/>
          <w:szCs w:val="20"/>
          <w:highlight w:val="none"/>
          <w14:textFill>
            <w14:solidFill>
              <w14:schemeClr w14:val="tx1"/>
            </w14:solidFill>
          </w14:textFill>
        </w:rPr>
        <w:t>资金划转至信银理财，将导致投资者无法完成认购，因此造成的损失信银理财不承担责任；在</w:t>
      </w:r>
      <w:r>
        <w:rPr>
          <w:rFonts w:ascii="黑体" w:eastAsia="黑体" w:hAnsi="黑体" w:hint="eastAsia"/>
          <w:b/>
          <w:color w:themeColor="text1" w:val="000000"/>
          <w:sz w:val="20"/>
          <w:szCs w:val="20"/>
          <w:highlight w:val="none"/>
          <w14:textFill>
            <w14:solidFill>
              <w14:schemeClr w14:val="tx1"/>
            </w14:solidFill>
          </w14:textFill>
        </w:rPr>
        <w:t>赎回和</w:t>
      </w:r>
      <w:r>
        <w:rPr>
          <w:rFonts w:ascii="黑体" w:eastAsia="黑体" w:hAnsi="黑体"/>
          <w:b/>
          <w:color w:themeColor="text1" w:val="000000"/>
          <w:sz w:val="20"/>
          <w:szCs w:val="20"/>
          <w:highlight w:val="none"/>
          <w14:textFill>
            <w14:solidFill>
              <w14:schemeClr w14:val="tx1"/>
            </w14:solidFill>
          </w14:textFill>
        </w:rPr>
        <w:t>到期时，信银理财将投资者应得资金划转至合作</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b/>
          <w:color w:themeColor="text1" w:val="000000"/>
          <w:sz w:val="20"/>
          <w:szCs w:val="20"/>
          <w:highlight w:val="none"/>
          <w14:textFill>
            <w14:solidFill>
              <w14:schemeClr w14:val="tx1"/>
            </w14:solidFill>
          </w14:textFill>
        </w:rPr>
        <w:t>机构</w:t>
      </w:r>
      <w:r>
        <w:rPr>
          <w:rFonts w:ascii="黑体" w:eastAsia="黑体" w:hAnsi="黑体" w:hint="eastAsia"/>
          <w:b/>
          <w:color w:themeColor="text1" w:val="000000"/>
          <w:sz w:val="20"/>
          <w:szCs w:val="20"/>
          <w:highlight w:val="none"/>
          <w14:textFill>
            <w14:solidFill>
              <w14:schemeClr w14:val="tx1"/>
            </w14:solidFill>
          </w14:textFill>
        </w:rPr>
        <w:t>指定账户</w:t>
      </w:r>
      <w:r>
        <w:rPr>
          <w:rFonts w:ascii="黑体" w:eastAsia="黑体" w:hAnsi="黑体"/>
          <w:b/>
          <w:color w:themeColor="text1" w:val="000000"/>
          <w:sz w:val="20"/>
          <w:szCs w:val="20"/>
          <w:highlight w:val="none"/>
          <w14:textFill>
            <w14:solidFill>
              <w14:schemeClr w14:val="tx1"/>
            </w14:solidFill>
          </w14:textFill>
        </w:rPr>
        <w:t>后，由合作销售机构将相应应得资金划转至投资者账户</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若</w:t>
      </w:r>
      <w:r>
        <w:rPr>
          <w:rFonts w:ascii="黑体" w:eastAsia="黑体" w:hAnsi="黑体" w:hint="eastAsia"/>
          <w:b/>
          <w:color w:themeColor="text1" w:val="000000"/>
          <w:sz w:val="20"/>
          <w:szCs w:val="20"/>
          <w:highlight w:val="none"/>
          <w14:textFill>
            <w14:solidFill>
              <w14:schemeClr w14:val="tx1"/>
            </w14:solidFill>
          </w14:textFill>
        </w:rPr>
        <w:t>合作</w:t>
      </w:r>
      <w:r>
        <w:rPr>
          <w:rFonts w:ascii="黑体" w:eastAsia="黑体" w:hAnsi="黑体"/>
          <w:b/>
          <w:color w:themeColor="text1" w:val="000000"/>
          <w:sz w:val="20"/>
          <w:szCs w:val="20"/>
          <w:highlight w:val="none"/>
          <w14:textFill>
            <w14:solidFill>
              <w14:schemeClr w14:val="tx1"/>
            </w14:solidFill>
          </w14:textFill>
        </w:rPr>
        <w:t>销售机构未及时进行划付，因此造成的</w:t>
      </w:r>
      <w:r>
        <w:rPr>
          <w:rFonts w:ascii="黑体" w:eastAsia="黑体" w:hAnsi="黑体" w:hint="eastAsia"/>
          <w:b/>
          <w:color w:themeColor="text1" w:val="000000"/>
          <w:sz w:val="20"/>
          <w:szCs w:val="20"/>
          <w:highlight w:val="none"/>
          <w14:textFill>
            <w14:solidFill>
              <w14:schemeClr w14:val="tx1"/>
            </w14:solidFill>
          </w14:textFill>
        </w:rPr>
        <w:t>损失</w:t>
      </w:r>
      <w:r>
        <w:rPr>
          <w:rFonts w:ascii="黑体" w:eastAsia="黑体" w:hAnsi="黑体"/>
          <w:b/>
          <w:color w:themeColor="text1" w:val="000000"/>
          <w:sz w:val="20"/>
          <w:szCs w:val="20"/>
          <w:highlight w:val="none"/>
          <w14:textFill>
            <w14:solidFill>
              <w14:schemeClr w14:val="tx1"/>
            </w14:solidFill>
          </w14:textFill>
        </w:rPr>
        <w:t>信银理财不承担任何责任。</w:t>
      </w:r>
    </w:p>
    <w:p w14:paraId="74EAAF49">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13</w:t>
      </w:r>
      <w:r>
        <w:rPr>
          <w:rFonts w:ascii="黑体" w:eastAsia="黑体" w:hAnsi="黑体" w:hint="eastAsia"/>
          <w:b/>
          <w:color w:themeColor="text1" w:val="000000"/>
          <w:sz w:val="20"/>
          <w:szCs w:val="20"/>
          <w:highlight w:val="none"/>
          <w14:textFill>
            <w14:solidFill>
              <w14:schemeClr w14:val="tx1"/>
            </w14:solidFill>
          </w14:textFill>
        </w:rPr>
        <w:t>．操作风险：如本理财产品管理人、</w:t>
      </w:r>
      <w:r>
        <w:rPr>
          <w:rFonts w:ascii="黑体" w:eastAsia="黑体" w:hAnsi="黑体"/>
          <w:b/>
          <w:color w:themeColor="text1" w:val="000000"/>
          <w:sz w:val="20"/>
          <w:szCs w:val="20"/>
          <w:highlight w:val="none"/>
          <w14:textFill>
            <w14:solidFill>
              <w14:schemeClr w14:val="tx1"/>
            </w14:solidFill>
          </w14:textFill>
        </w:rPr>
        <w:t>代销机构</w:t>
      </w:r>
      <w:r>
        <w:rPr>
          <w:rFonts w:ascii="黑体" w:eastAsia="黑体" w:hAnsi="黑体" w:hint="eastAsia"/>
          <w:b/>
          <w:color w:themeColor="text1" w:val="000000"/>
          <w:sz w:val="20"/>
          <w:szCs w:val="20"/>
          <w:highlight w:val="none"/>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14</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关联交易风险：</w:t>
      </w:r>
      <w:r>
        <w:rPr>
          <w:rFonts w:ascii="黑体" w:eastAsia="黑体" w:hAnsi="黑体" w:hint="eastAsia"/>
          <w:b/>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在合法合规且履行应履行的内外部程序后，理财产品可能与管理人及其控股股东、实际控制人等发生关联交易。本</w:t>
      </w:r>
      <w:r>
        <w:rPr>
          <w:rFonts w:ascii="黑体" w:eastAsia="黑体" w:hAnsi="黑体"/>
          <w:b/>
          <w:color w:themeColor="text1" w:val="000000"/>
          <w:sz w:val="20"/>
          <w:szCs w:val="20"/>
          <w:highlight w:val="none"/>
          <w14:textFill>
            <w14:solidFill>
              <w14:schemeClr w14:val="tx1"/>
            </w14:solidFill>
          </w14:textFill>
        </w:rPr>
        <w:t>理财产品可能</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管理人的关联方</w:t>
      </w:r>
      <w:r>
        <w:rPr>
          <w:rFonts w:ascii="黑体" w:eastAsia="黑体" w:hAnsi="黑体" w:hint="eastAsia"/>
          <w:b/>
          <w:color w:themeColor="text1" w:val="000000"/>
          <w:sz w:val="20"/>
          <w:szCs w:val="20"/>
          <w:highlight w:val="none"/>
          <w:lang w:eastAsia="zh-CN" w:val="en-US"/>
          <w14:textFill>
            <w14:solidFill>
              <w14:schemeClr w14:val="tx1"/>
            </w14:solidFill>
          </w14:textFill>
        </w:rPr>
        <w:t>进行托管或</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hint="eastAsia"/>
          <w:b/>
          <w:color w:themeColor="text1" w:val="000000"/>
          <w:sz w:val="20"/>
          <w:szCs w:val="20"/>
          <w:highlight w:val="none"/>
          <w:lang w:eastAsia="zh-CN" w:val="en-US"/>
          <w14:textFill>
            <w14:solidFill>
              <w14:schemeClr w14:val="tx1"/>
            </w14:solidFill>
          </w14:textFill>
        </w:rPr>
        <w:t>本理财产品的销售机构及托管人以说明书披露为准</w:t>
      </w:r>
      <w:r>
        <w:rPr>
          <w:rFonts w:ascii="黑体" w:eastAsia="黑体" w:hAnsi="黑体" w:hint="eastAsia"/>
          <w:b/>
          <w:color w:themeColor="text1" w:val="000000"/>
          <w:sz w:val="20"/>
          <w:szCs w:val="20"/>
          <w:highlight w:val="none"/>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eastAsia="黑体" w:hAnsi="黑体"/>
          <w:color w:themeColor="text1" w:val="000000"/>
          <w:sz w:val="20"/>
          <w:szCs w:val="20"/>
          <w:highlight w:val="none"/>
          <w14:textFill>
            <w14:solidFill>
              <w14:schemeClr w14:val="tx1"/>
            </w14:solidFill>
          </w14:textFill>
        </w:rPr>
      </w:pPr>
    </w:p>
    <w:p w14:paraId="2A932026">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释义与</w:t>
      </w:r>
      <w:r>
        <w:rPr>
          <w:rFonts w:ascii="黑体" w:cs="黑体" w:eastAsia="黑体" w:hAnsi="Times New Roman"/>
          <w:b/>
          <w:bCs/>
          <w:color w:themeColor="text1" w:val="000000"/>
          <w:sz w:val="20"/>
          <w:szCs w:val="20"/>
          <w:highlight w:val="none"/>
          <w14:textFill>
            <w14:solidFill>
              <w14:schemeClr w14:val="tx1"/>
            </w14:solidFill>
          </w14:textFill>
        </w:rPr>
        <w:t>定义：</w:t>
      </w:r>
    </w:p>
    <w:p w14:paraId="1E80C41F">
      <w:p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本产品说明书中，除非上下文另有明确约定，下列用词将具有如下含义：</w:t>
      </w:r>
    </w:p>
    <w:p w14:paraId="1DDFA2EE">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5．理财产品资产净值</w:t>
      </w:r>
      <w:r>
        <w:rPr>
          <w:rFonts w:ascii="黑体" w:eastAsia="黑体" w:hAnsi="黑体"/>
          <w:color w:themeColor="text1" w:val="000000"/>
          <w:sz w:val="20"/>
          <w:szCs w:val="20"/>
          <w:highlight w:val="none"/>
          <w14:textFill>
            <w14:solidFill>
              <w14:schemeClr w14:val="tx1"/>
            </w14:solidFill>
          </w14:textFill>
        </w:rPr>
        <w:t>/资产净值</w:t>
      </w:r>
      <w:r>
        <w:rPr>
          <w:rFonts w:ascii="黑体" w:eastAsia="黑体" w:hAnsi="黑体" w:hint="eastAsia"/>
          <w:color w:themeColor="text1" w:val="000000"/>
          <w:sz w:val="20"/>
          <w:szCs w:val="20"/>
          <w:highlight w:val="none"/>
          <w14:textFill>
            <w14:solidFill>
              <w14:schemeClr w14:val="tx1"/>
            </w14:solidFill>
          </w14:textFill>
        </w:rPr>
        <w:t>/净资产</w:t>
      </w:r>
      <w:r>
        <w:rPr>
          <w:rFonts w:ascii="黑体" w:eastAsia="黑体" w:hAnsi="黑体"/>
          <w:color w:themeColor="text1" w:val="000000"/>
          <w:sz w:val="20"/>
          <w:szCs w:val="20"/>
          <w:highlight w:val="none"/>
          <w14:textFill>
            <w14:solidFill>
              <w14:schemeClr w14:val="tx1"/>
            </w14:solidFill>
          </w14:textFill>
        </w:rPr>
        <w:t>：资产净值=产品资产总值-产品负</w:t>
      </w:r>
      <w:r>
        <w:rPr>
          <w:rFonts w:ascii="黑体" w:eastAsia="黑体" w:hAnsi="黑体" w:hint="eastAsia"/>
          <w:color w:themeColor="text1" w:val="000000"/>
          <w:sz w:val="20"/>
          <w:szCs w:val="20"/>
          <w:highlight w:val="none"/>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6．</w:t>
      </w:r>
      <w:r>
        <w:rPr>
          <w:rFonts w:ascii="黑体" w:eastAsia="黑体" w:hAnsi="黑体"/>
          <w:color w:themeColor="text1" w:val="000000"/>
          <w:sz w:val="20"/>
          <w:szCs w:val="20"/>
          <w:highlight w:val="none"/>
          <w14:textFill>
            <w14:solidFill>
              <w14:schemeClr w14:val="tx1"/>
            </w14:solidFill>
          </w14:textFill>
        </w:rPr>
        <w:t>理财产品单位净值/单位净值/</w:t>
      </w:r>
      <w:r>
        <w:rPr>
          <w:rFonts w:ascii="黑体" w:eastAsia="黑体" w:hAnsi="黑体" w:hint="eastAsia"/>
          <w:color w:themeColor="text1" w:val="000000"/>
          <w:sz w:val="20"/>
          <w:szCs w:val="20"/>
          <w:highlight w:val="none"/>
          <w14:textFill>
            <w14:solidFill>
              <w14:schemeClr w14:val="tx1"/>
            </w14:solidFill>
          </w14:textFill>
        </w:rPr>
        <w:t>份额净值</w:t>
      </w:r>
      <w:r>
        <w:rPr>
          <w:rFonts w:ascii="黑体" w:eastAsia="黑体" w:hAnsi="黑体"/>
          <w:color w:themeColor="text1" w:val="000000"/>
          <w:sz w:val="20"/>
          <w:szCs w:val="20"/>
          <w:highlight w:val="none"/>
          <w14:textFill>
            <w14:solidFill>
              <w14:schemeClr w14:val="tx1"/>
            </w14:solidFill>
          </w14:textFill>
        </w:rPr>
        <w:t>：指理财产品份额的单位净值，即每1</w:t>
      </w:r>
      <w:r>
        <w:rPr>
          <w:rFonts w:ascii="黑体" w:eastAsia="黑体" w:hAnsi="黑体" w:hint="eastAsia"/>
          <w:color w:themeColor="text1" w:val="000000"/>
          <w:sz w:val="20"/>
          <w:szCs w:val="20"/>
          <w:highlight w:val="none"/>
          <w14:textFill>
            <w14:solidFill>
              <w14:schemeClr w14:val="tx1"/>
            </w14:solidFill>
          </w14:textFill>
        </w:rPr>
        <w:t>份理财产品份额以人民币计价的价格。理财产品单位净值</w:t>
      </w:r>
      <w:r>
        <w:rPr>
          <w:rFonts w:ascii="黑体" w:eastAsia="黑体" w:hAnsi="黑体"/>
          <w:color w:themeColor="text1" w:val="000000"/>
          <w:sz w:val="20"/>
          <w:szCs w:val="20"/>
          <w:highlight w:val="none"/>
          <w14:textFill>
            <w14:solidFill>
              <w14:schemeClr w14:val="tx1"/>
            </w14:solidFill>
          </w14:textFill>
        </w:rPr>
        <w:t>=当日理财产品资产净值/当日理财产品存续份额</w:t>
      </w:r>
      <w:r>
        <w:rPr>
          <w:rFonts w:ascii="黑体" w:eastAsia="黑体" w:hAnsi="黑体" w:hint="eastAsia"/>
          <w:color w:themeColor="text1" w:val="000000"/>
          <w:sz w:val="20"/>
          <w:szCs w:val="20"/>
          <w:highlight w:val="none"/>
          <w14:textFill>
            <w14:solidFill>
              <w14:schemeClr w14:val="tx1"/>
            </w14:solidFill>
          </w14:textFill>
        </w:rPr>
        <w:t>。</w:t>
      </w:r>
    </w:p>
    <w:p w14:paraId="1B1F5FC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7．理财</w:t>
      </w:r>
      <w:r>
        <w:rPr>
          <w:rFonts w:ascii="黑体" w:eastAsia="黑体" w:hAnsi="黑体"/>
          <w:color w:themeColor="text1" w:val="000000"/>
          <w:sz w:val="20"/>
          <w:szCs w:val="20"/>
          <w:highlight w:val="none"/>
          <w14:textFill>
            <w14:solidFill>
              <w14:schemeClr w14:val="tx1"/>
            </w14:solidFill>
          </w14:textFill>
        </w:rPr>
        <w:t>产品本金</w:t>
      </w:r>
      <w:r>
        <w:rPr>
          <w:rFonts w:ascii="黑体" w:eastAsia="黑体" w:hAnsi="黑体" w:hint="eastAsia"/>
          <w:color w:themeColor="text1" w:val="000000"/>
          <w:sz w:val="20"/>
          <w:szCs w:val="20"/>
          <w:highlight w:val="none"/>
          <w14:textFill>
            <w14:solidFill>
              <w14:schemeClr w14:val="tx1"/>
            </w14:solidFill>
          </w14:textFill>
        </w:rPr>
        <w:t>/投资本金/本金</w:t>
      </w:r>
      <w:r>
        <w:rPr>
          <w:rFonts w:ascii="黑体" w:eastAsia="黑体" w:hAnsi="黑体"/>
          <w:color w:themeColor="text1" w:val="000000"/>
          <w:sz w:val="20"/>
          <w:szCs w:val="20"/>
          <w:highlight w:val="none"/>
          <w14:textFill>
            <w14:solidFill>
              <w14:schemeClr w14:val="tx1"/>
            </w14:solidFill>
          </w14:textFill>
        </w:rPr>
        <w:t>：指投资者为认购理财</w:t>
      </w:r>
      <w:r>
        <w:rPr>
          <w:rFonts w:ascii="黑体" w:eastAsia="黑体" w:hAnsi="黑体" w:hint="eastAsia"/>
          <w:color w:themeColor="text1" w:val="000000"/>
          <w:sz w:val="20"/>
          <w:szCs w:val="20"/>
          <w:highlight w:val="none"/>
          <w14:textFill>
            <w14:solidFill>
              <w14:schemeClr w14:val="tx1"/>
            </w14:solidFill>
          </w14:textFill>
        </w:rPr>
        <w:t>产品</w:t>
      </w:r>
      <w:r>
        <w:rPr>
          <w:rFonts w:ascii="黑体" w:eastAsia="黑体" w:hAnsi="黑体"/>
          <w:color w:themeColor="text1" w:val="000000"/>
          <w:sz w:val="20"/>
          <w:szCs w:val="20"/>
          <w:highlight w:val="none"/>
          <w14:textFill>
            <w14:solidFill>
              <w14:schemeClr w14:val="tx1"/>
            </w14:solidFill>
          </w14:textFill>
        </w:rPr>
        <w:t>份额而向理财产品管理人交付的货币资金</w:t>
      </w:r>
      <w:r>
        <w:rPr>
          <w:rFonts w:ascii="黑体" w:eastAsia="黑体" w:hAnsi="黑体" w:hint="eastAsia"/>
          <w:color w:themeColor="text1" w:val="000000"/>
          <w:sz w:val="20"/>
          <w:szCs w:val="20"/>
          <w:highlight w:val="none"/>
          <w14:textFill>
            <w14:solidFill>
              <w14:schemeClr w14:val="tx1"/>
            </w14:solidFill>
          </w14:textFill>
        </w:rPr>
        <w:t>，扣除认购费后</w:t>
      </w:r>
      <w:r>
        <w:rPr>
          <w:rFonts w:ascii="黑体" w:eastAsia="黑体" w:hAnsi="黑体"/>
          <w:color w:themeColor="text1" w:val="000000"/>
          <w:sz w:val="20"/>
          <w:szCs w:val="20"/>
          <w:highlight w:val="none"/>
          <w14:textFill>
            <w14:solidFill>
              <w14:schemeClr w14:val="tx1"/>
            </w14:solidFill>
          </w14:textFill>
        </w:rPr>
        <w:t>即投资者的投资</w:t>
      </w:r>
      <w:r>
        <w:rPr>
          <w:rFonts w:ascii="黑体" w:eastAsia="黑体" w:hAnsi="黑体" w:hint="eastAsia"/>
          <w:color w:themeColor="text1" w:val="000000"/>
          <w:sz w:val="20"/>
          <w:szCs w:val="20"/>
          <w:highlight w:val="none"/>
          <w14:textFill>
            <w14:solidFill>
              <w14:schemeClr w14:val="tx1"/>
            </w14:solidFill>
          </w14:textFill>
        </w:rPr>
        <w:t>本金。</w:t>
      </w:r>
      <w:r>
        <w:rPr>
          <w:rFonts w:ascii="黑体" w:eastAsia="黑体" w:hAnsi="黑体"/>
          <w:color w:themeColor="text1" w:val="000000"/>
          <w:sz w:val="20"/>
          <w:szCs w:val="20"/>
          <w:highlight w:val="none"/>
          <w14:textFill>
            <w14:solidFill>
              <w14:schemeClr w14:val="tx1"/>
            </w14:solidFill>
          </w14:textFill>
        </w:rPr>
        <w:t>本金</w:t>
      </w:r>
      <w:r>
        <w:rPr>
          <w:rFonts w:ascii="黑体" w:eastAsia="黑体" w:hAnsi="黑体" w:hint="eastAsia"/>
          <w:color w:themeColor="text1" w:val="000000"/>
          <w:sz w:val="20"/>
          <w:szCs w:val="20"/>
          <w:highlight w:val="none"/>
          <w14:textFill>
            <w14:solidFill>
              <w14:schemeClr w14:val="tx1"/>
            </w14:solidFill>
          </w14:textFill>
        </w:rPr>
        <w:t>的</w:t>
      </w:r>
      <w:r>
        <w:rPr>
          <w:rFonts w:ascii="黑体" w:eastAsia="黑体" w:hAnsi="黑体"/>
          <w:color w:themeColor="text1" w:val="000000"/>
          <w:sz w:val="20"/>
          <w:szCs w:val="20"/>
          <w:highlight w:val="none"/>
          <w14:textFill>
            <w14:solidFill>
              <w14:schemeClr w14:val="tx1"/>
            </w14:solidFill>
          </w14:textFill>
        </w:rPr>
        <w:t>称谓</w:t>
      </w:r>
      <w:r>
        <w:rPr>
          <w:rFonts w:ascii="黑体" w:eastAsia="黑体" w:hAnsi="黑体"/>
          <w:sz w:val="20"/>
          <w:szCs w:val="20"/>
          <w:highlight w:val="none"/>
        </w:rPr>
        <w:t>仅为产品估值和核算方便而设，</w:t>
      </w:r>
      <w:r>
        <w:rPr>
          <w:rFonts w:ascii="黑体" w:eastAsia="黑体" w:hAnsi="黑体" w:hint="eastAsia"/>
          <w:color w:themeColor="text1" w:val="000000"/>
          <w:sz w:val="20"/>
          <w:szCs w:val="20"/>
          <w:highlight w:val="none"/>
          <w14:textFill>
            <w14:solidFill>
              <w14:schemeClr w14:val="tx1"/>
            </w14:solidFill>
          </w14:textFill>
        </w:rPr>
        <w:t>不代表对</w:t>
      </w:r>
      <w:r>
        <w:rPr>
          <w:rFonts w:ascii="黑体" w:eastAsia="黑体" w:hAnsi="黑体"/>
          <w:color w:themeColor="text1" w:val="000000"/>
          <w:sz w:val="20"/>
          <w:szCs w:val="20"/>
          <w:highlight w:val="none"/>
          <w14:textFill>
            <w14:solidFill>
              <w14:schemeClr w14:val="tx1"/>
            </w14:solidFill>
          </w14:textFill>
        </w:rPr>
        <w:t>投资资金不受损失的承诺。</w:t>
      </w:r>
    </w:p>
    <w:p w14:paraId="777990E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8．理财产品</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/投资</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/收益</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指</w:t>
      </w:r>
      <w:r>
        <w:rPr>
          <w:rFonts w:ascii="黑体" w:eastAsia="黑体" w:hAnsi="黑体"/>
          <w:color w:themeColor="text1" w:val="000000"/>
          <w:sz w:val="20"/>
          <w:szCs w:val="20"/>
          <w:highlight w:val="none"/>
          <w14:textFill>
            <w14:solidFill>
              <w14:schemeClr w14:val="tx1"/>
            </w14:solidFill>
          </w14:textFill>
        </w:rPr>
        <w:t>投资者投资理财产品获得的投资收益。</w:t>
      </w:r>
    </w:p>
    <w:p w14:paraId="4508E9F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9</w:t>
      </w:r>
      <w:r>
        <w:rPr>
          <w:rFonts w:ascii="黑体" w:eastAsia="黑体" w:hAnsi="黑体" w:hint="eastAsia"/>
          <w:color w:themeColor="text1" w:val="000000"/>
          <w:sz w:val="20"/>
          <w:szCs w:val="20"/>
          <w:highlight w:val="none"/>
          <w14:textFill>
            <w14:solidFill>
              <w14:schemeClr w14:val="tx1"/>
            </w14:solidFill>
          </w14:textFill>
        </w:rPr>
        <w:t>．合作销售机构/代销机构：指</w:t>
      </w:r>
      <w:r>
        <w:rPr>
          <w:rFonts w:ascii="黑体" w:eastAsia="黑体" w:hAnsi="黑体"/>
          <w:color w:themeColor="text1" w:val="000000"/>
          <w:sz w:val="20"/>
          <w:szCs w:val="20"/>
          <w:highlight w:val="none"/>
          <w14:textFill>
            <w14:solidFill>
              <w14:schemeClr w14:val="tx1"/>
            </w14:solidFill>
          </w14:textFill>
        </w:rPr>
        <w:t>接受</w:t>
      </w:r>
      <w:r>
        <w:rPr>
          <w:rFonts w:ascii="黑体" w:eastAsia="黑体" w:hAnsi="黑体" w:hint="eastAsia"/>
          <w:color w:themeColor="text1" w:val="000000"/>
          <w:sz w:val="20"/>
          <w:szCs w:val="20"/>
          <w:highlight w:val="none"/>
          <w14:textFill>
            <w14:solidFill>
              <w14:schemeClr w14:val="tx1"/>
            </w14:solidFill>
          </w14:textFill>
        </w:rPr>
        <w:t>信银</w:t>
      </w:r>
      <w:r>
        <w:rPr>
          <w:rFonts w:ascii="黑体" w:eastAsia="黑体" w:hAnsi="黑体"/>
          <w:color w:themeColor="text1" w:val="000000"/>
          <w:sz w:val="20"/>
          <w:szCs w:val="20"/>
          <w:highlight w:val="none"/>
          <w14:textFill>
            <w14:solidFill>
              <w14:schemeClr w14:val="tx1"/>
            </w14:solidFill>
          </w14:textFill>
        </w:rPr>
        <w:t>理财委托</w:t>
      </w: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其销售渠道</w:t>
      </w:r>
      <w:r>
        <w:rPr>
          <w:rFonts w:ascii="黑体" w:eastAsia="黑体" w:hAnsi="黑体" w:hint="eastAsia"/>
          <w:color w:themeColor="text1" w:val="000000"/>
          <w:sz w:val="20"/>
          <w:szCs w:val="20"/>
          <w:highlight w:val="none"/>
          <w14:textFill>
            <w14:solidFill>
              <w14:schemeClr w14:val="tx1"/>
            </w14:solidFill>
          </w14:textFill>
        </w:rPr>
        <w:t>代理</w:t>
      </w:r>
      <w:r>
        <w:rPr>
          <w:rFonts w:ascii="黑体" w:eastAsia="黑体" w:hAnsi="黑体"/>
          <w:color w:themeColor="text1" w:val="000000"/>
          <w:sz w:val="20"/>
          <w:szCs w:val="20"/>
          <w:highlight w:val="none"/>
          <w14:textFill>
            <w14:solidFill>
              <w14:schemeClr w14:val="tx1"/>
            </w14:solidFill>
          </w14:textFill>
        </w:rPr>
        <w:t>销售信银理财依法发行的理财产品的机构。</w:t>
      </w:r>
    </w:p>
    <w:p w14:paraId="48AD85F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10</w:t>
      </w:r>
      <w:r>
        <w:rPr>
          <w:rFonts w:ascii="黑体" w:eastAsia="黑体" w:hAnsi="黑体" w:hint="eastAsia"/>
          <w:color w:themeColor="text1" w:val="000000"/>
          <w:sz w:val="20"/>
          <w:szCs w:val="20"/>
          <w:highlight w:val="none"/>
          <w14:textFill>
            <w14:solidFill>
              <w14:schemeClr w14:val="tx1"/>
            </w14:solidFill>
          </w14:textFill>
        </w:rPr>
        <w:t>．监管</w:t>
      </w:r>
      <w:r>
        <w:rPr>
          <w:rFonts w:ascii="黑体" w:eastAsia="黑体" w:hAnsi="黑体"/>
          <w:color w:themeColor="text1" w:val="000000"/>
          <w:sz w:val="20"/>
          <w:szCs w:val="20"/>
          <w:highlight w:val="none"/>
          <w14:textFill>
            <w14:solidFill>
              <w14:schemeClr w14:val="tx1"/>
            </w14:solidFill>
          </w14:textFill>
        </w:rPr>
        <w:t>机构：</w:t>
      </w:r>
      <w:r>
        <w:rPr>
          <w:rFonts w:ascii="黑体" w:eastAsia="黑体" w:hAnsi="黑体" w:hint="eastAsia"/>
          <w:color w:themeColor="text1" w:val="000000"/>
          <w:sz w:val="20"/>
          <w:szCs w:val="20"/>
          <w:highlight w:val="none"/>
          <w14:textFill>
            <w14:solidFill>
              <w14:schemeClr w14:val="tx1"/>
            </w14:solidFill>
          </w14:textFill>
        </w:rPr>
        <w:t>指对管理人（包括理财产品管理人、理财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所投资的资管产品的管理人</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eastAsia="黑体" w:hAnsi="黑体"/>
          <w:color w:themeColor="text1" w:val="000000"/>
          <w:sz w:val="20"/>
          <w:szCs w:val="20"/>
          <w:highlight w:val="none"/>
          <w14:textFill>
            <w14:solidFill>
              <w14:schemeClr w14:val="tx1"/>
            </w14:solidFill>
          </w14:textFill>
        </w:rPr>
        <w:t>。</w:t>
      </w:r>
    </w:p>
    <w:p w14:paraId="29BC2341">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11</w:t>
      </w:r>
      <w:r>
        <w:rPr>
          <w:rFonts w:ascii="黑体" w:eastAsia="黑体" w:hAnsi="黑体" w:hint="eastAsia"/>
          <w:color w:themeColor="text1" w:val="000000"/>
          <w:sz w:val="20"/>
          <w:szCs w:val="20"/>
          <w:highlight w:val="none"/>
          <w14:textFill>
            <w14:solidFill>
              <w14:schemeClr w14:val="tx1"/>
            </w14:solidFill>
          </w14:textFill>
        </w:rPr>
        <w:t>．适用</w:t>
      </w:r>
      <w:r>
        <w:rPr>
          <w:rFonts w:ascii="黑体" w:eastAsia="黑体" w:hAnsi="黑体"/>
          <w:color w:themeColor="text1" w:val="000000"/>
          <w:sz w:val="20"/>
          <w:szCs w:val="20"/>
          <w:highlight w:val="none"/>
          <w14:textFill>
            <w14:solidFill>
              <w14:schemeClr w14:val="tx1"/>
            </w14:solidFill>
          </w14:textFill>
        </w:rPr>
        <w:t>法律：</w:t>
      </w:r>
      <w:r>
        <w:rPr>
          <w:rFonts w:ascii="黑体" w:eastAsia="黑体" w:hAnsi="黑体" w:hint="eastAsia"/>
          <w:color w:themeColor="text1" w:val="000000"/>
          <w:sz w:val="20"/>
          <w:szCs w:val="20"/>
          <w:highlight w:val="none"/>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12</w:t>
      </w:r>
      <w:r>
        <w:rPr>
          <w:rFonts w:ascii="黑体" w:eastAsia="黑体" w:hAnsi="黑体" w:hint="eastAsia"/>
          <w:color w:themeColor="text1" w:val="000000"/>
          <w:sz w:val="20"/>
          <w:szCs w:val="20"/>
          <w:highlight w:val="none"/>
          <w14:textFill>
            <w14:solidFill>
              <w14:schemeClr w14:val="tx1"/>
            </w14:solidFill>
          </w14:textFill>
        </w:rPr>
        <w:t>．不可抗力：指理财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1</w:t>
      </w:r>
      <w:r>
        <w:rPr>
          <w:rFonts w:ascii="黑体" w:eastAsia="黑体" w:hAnsi="黑体" w:hint="eastAsia"/>
          <w:color w:themeColor="text1" w:val="000000"/>
          <w:sz w:val="20"/>
          <w:szCs w:val="20"/>
          <w:highlight w:val="none"/>
          <w14:textFill>
            <w14:solidFill>
              <w14:schemeClr w14:val="tx1"/>
            </w14:solidFill>
          </w14:textFill>
        </w:rPr>
        <w:t>）地震、台风、海啸、洪水、火灾、停电、瘟疫；</w:t>
      </w:r>
    </w:p>
    <w:p w14:paraId="4E153AAC">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2</w:t>
      </w:r>
      <w:r>
        <w:rPr>
          <w:rFonts w:ascii="黑体" w:eastAsia="黑体" w:hAnsi="黑体" w:hint="eastAsia"/>
          <w:color w:themeColor="text1" w:val="000000"/>
          <w:sz w:val="20"/>
          <w:szCs w:val="20"/>
          <w:highlight w:val="none"/>
          <w14:textFill>
            <w14:solidFill>
              <w14:schemeClr w14:val="tx1"/>
            </w14:solidFill>
          </w14:textFill>
        </w:rPr>
        <w:t>）战争、政变、恐怖主义行动、骚乱、罢工；</w:t>
      </w:r>
    </w:p>
    <w:p w14:paraId="7E3AD06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3</w:t>
      </w:r>
      <w:r>
        <w:rPr>
          <w:rFonts w:ascii="黑体" w:eastAsia="黑体" w:hAnsi="黑体" w:hint="eastAsia"/>
          <w:color w:themeColor="text1" w:val="000000"/>
          <w:sz w:val="20"/>
          <w:szCs w:val="20"/>
          <w:highlight w:val="none"/>
          <w14:textFill>
            <w14:solidFill>
              <w14:schemeClr w14:val="tx1"/>
            </w14:solidFill>
          </w14:textFill>
        </w:rPr>
        <w:t>）新的适用法律或国家政策的颁布或实施、对原适用法律或国家政策的修改；</w:t>
      </w:r>
    </w:p>
    <w:p w14:paraId="7138C28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4</w:t>
      </w:r>
      <w:r>
        <w:rPr>
          <w:rFonts w:ascii="黑体" w:eastAsia="黑体" w:hAnsi="黑体" w:hint="eastAsia"/>
          <w:color w:themeColor="text1" w:val="000000"/>
          <w:sz w:val="20"/>
          <w:szCs w:val="20"/>
          <w:highlight w:val="none"/>
          <w14:textFill>
            <w14:solidFill>
              <w14:schemeClr w14:val="tx1"/>
            </w14:solidFill>
          </w14:textFill>
        </w:rPr>
        <w:t>）金融管理部门强制要求（该等强制要求不可归咎于任何一方）；</w:t>
      </w:r>
    </w:p>
    <w:p w14:paraId="74C60AB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5</w:t>
      </w:r>
      <w:r>
        <w:rPr>
          <w:rFonts w:ascii="黑体" w:eastAsia="黑体" w:hAnsi="黑体" w:hint="eastAsia"/>
          <w:color w:themeColor="text1" w:val="000000"/>
          <w:sz w:val="20"/>
          <w:szCs w:val="20"/>
          <w:highlight w:val="none"/>
          <w14:textFill>
            <w14:solidFill>
              <w14:schemeClr w14:val="tx1"/>
            </w14:solidFill>
          </w14:textFill>
        </w:rPr>
        <w:t>）因理财产品各方和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或其关联方运营网络系统遭受黑客攻击、电信部门技术调整或故障等原因而造成的理财产品各方和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或其关联方之服务、营业的中断或者延迟。</w:t>
      </w:r>
    </w:p>
    <w:p w14:paraId="2272F83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13．流动性受限资产：是指由于法律法规、监管、合同或操作障碍等原因无法以合理价格予以变现的资产，包括到期日在</w:t>
      </w:r>
      <w:r>
        <w:rPr>
          <w:rFonts w:ascii="黑体" w:eastAsia="黑体" w:hAnsi="黑体"/>
          <w:color w:themeColor="text1" w:val="000000"/>
          <w:sz w:val="20"/>
          <w:szCs w:val="20"/>
          <w:highlight w:val="none"/>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14．信银理财电子渠道：指信银理财官方网站（</w:t>
      </w:r>
      <w:r>
        <w:rPr>
          <w:rStyle w:val="12"/>
          <w:rFonts w:ascii="黑体" w:eastAsia="黑体" w:hAnsi="黑体"/>
          <w:sz w:val="20"/>
          <w:szCs w:val="20"/>
          <w:highlight w:val="none"/>
        </w:rPr>
        <w:fldChar w:fldCharType="begin"/>
      </w:r>
      <w:r>
        <w:rPr>
          <w:rStyle w:val="12"/>
          <w:rFonts w:ascii="黑体" w:eastAsia="黑体" w:hAnsi="黑体"/>
          <w:sz w:val="20"/>
          <w:szCs w:val="20"/>
          <w:highlight w:val="none"/>
        </w:rPr>
        <w:instrText xml:space="preserve"> HYPERLINK "http://www.citic-wealth.com" </w:instrText>
      </w:r>
      <w:r>
        <w:rPr>
          <w:rStyle w:val="12"/>
          <w:rFonts w:ascii="黑体" w:eastAsia="黑体" w:hAnsi="黑体"/>
          <w:sz w:val="20"/>
          <w:szCs w:val="20"/>
          <w:highlight w:val="none"/>
        </w:rPr>
        <w:fldChar w:fldCharType="separate"/>
      </w:r>
      <w:r>
        <w:rPr>
          <w:rStyle w:val="12"/>
          <w:rFonts w:ascii="黑体" w:eastAsia="黑体" w:hAnsi="黑体"/>
          <w:sz w:val="20"/>
          <w:szCs w:val="20"/>
          <w:highlight w:val="none"/>
        </w:rPr>
        <w:t>http://www.citic-wealth.com</w:t>
      </w:r>
      <w:r>
        <w:rPr>
          <w:rStyle w:val="12"/>
          <w:rFonts w:ascii="黑体" w:eastAsia="黑体" w:hAnsi="黑体"/>
          <w:sz w:val="20"/>
          <w:szCs w:val="20"/>
          <w:highlight w:val="none"/>
        </w:rPr>
        <w:fldChar w:fldCharType="end"/>
      </w: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、信银理财APP。</w:t>
      </w:r>
    </w:p>
    <w:p w14:paraId="4FCE737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15．信银理财直销渠道：指信银理财电子渠道及营业场所。</w:t>
      </w:r>
    </w:p>
    <w:p w14:paraId="6B4EF93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16．销售机构：指信银理财及代销机构</w:t>
      </w:r>
      <w:r>
        <w:rPr>
          <w:rFonts w:ascii="黑体" w:eastAsia="黑体" w:hAnsi="黑体" w:hint="eastAsia"/>
          <w:color w:themeColor="text1" w:val="000000"/>
          <w:sz w:val="20"/>
          <w:szCs w:val="20"/>
          <w:highlight w:val="none"/>
          <w:lang w:eastAsia="zh-CN"/>
          <w14:textFill>
            <w14:solidFill>
              <w14:schemeClr w14:val="tx1"/>
            </w14:solidFill>
          </w14:textFill>
        </w:rPr>
        <w:t>，</w:t>
      </w:r>
      <w:r>
        <w:rPr>
          <w:rFonts w:ascii="黑体" w:eastAsia="黑体" w:hAnsi="黑体" w:hint="eastAsia"/>
          <w:color w:themeColor="text1" w:val="000000"/>
          <w:sz w:val="20"/>
          <w:szCs w:val="20"/>
          <w:highlight w:val="none"/>
          <w:lang w:eastAsia="zh-CN" w:val="en-US"/>
          <w14:textFill>
            <w14:solidFill>
              <w14:schemeClr w14:val="tx1"/>
            </w14:solidFill>
          </w14:textFill>
        </w:rPr>
        <w:t>具体</w:t>
      </w:r>
      <w:r>
        <w:rPr>
          <w:rFonts w:ascii="黑体" w:eastAsia="黑体" w:hAnsi="黑体" w:hint="eastAsia"/>
          <w:b w:val="0"/>
          <w:color w:themeColor="text1" w:val="000000"/>
          <w:sz w:val="20"/>
          <w:szCs w:val="20"/>
          <w:highlight w:val="none"/>
          <w:lang w:eastAsia="zh-CN" w:val="en-US"/>
          <w14:textFill>
            <w14:solidFill>
              <w14:schemeClr w14:val="tx1"/>
            </w14:solidFill>
          </w14:textFill>
        </w:rPr>
        <w:t>详见说明书披露。</w:t>
      </w:r>
    </w:p>
    <w:p w14:paraId="77627480">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20"/>
        <w:numPr>
          <w:ilvl w:val="255"/>
          <w:numId w:val="0"/>
        </w:numPr>
        <w:spacing w:line="300" w:lineRule="atLeast"/>
        <w:ind w:firstLine="400" w:firstLineChars="200"/>
        <w:jc w:val="both"/>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4D3D6CBC">
      <w:pPr>
        <w:pStyle w:val="20"/>
        <w:numPr>
          <w:ilvl w:val="255"/>
          <w:numId w:val="0"/>
        </w:numPr>
        <w:spacing w:line="300" w:lineRule="atLeast"/>
        <w:ind w:firstLine="400" w:firstLineChars="200" w:right="36"/>
        <w:jc w:val="left"/>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lang w:eastAsia="zh-CN" w:val="en-US"/>
          <w14:textFill>
            <w14:solidFill>
              <w14:schemeClr w14:val="tx1"/>
            </w14:solidFill>
          </w14:textFill>
        </w:rPr>
        <w:t>19</w:t>
      </w:r>
      <w:r>
        <w:rPr>
          <w:rFonts w:ascii="黑体" w:eastAsia="黑体" w:hAnsi="黑体"/>
          <w:color w:themeColor="text1" w:val="000000"/>
          <w:sz w:val="20"/>
          <w:szCs w:val="20"/>
          <w:highlight w:val="none"/>
          <w14:textFill>
            <w14:solidFill>
              <w14:schemeClr w14:val="tx1"/>
            </w14:solidFill>
          </w14:textFill>
        </w:rPr>
        <w:t>．收益分配基准日：指本理财产品管理人以该日日终产品份额净值计算并确定可供分配的投资收益的日期。</w:t>
      </w:r>
      <w:r>
        <w:rPr>
          <w:rFonts w:ascii="黑体" w:eastAsia="黑体" w:hAnsi="黑体"/>
          <w:color w:themeColor="text1" w:val="000000"/>
          <w:sz w:val="20"/>
          <w:szCs w:val="20"/>
          <w:highlight w:val="none"/>
          <w14:textFill>
            <w14:solidFill>
              <w14:schemeClr w14:val="tx1"/>
            </w14:solidFill>
          </w14:textFill>
        </w:rPr>
        <w:br w:type="textWrapping"/>
      </w:r>
      <w:r>
        <w:rPr>
          <w:rFonts w:ascii="黑体" w:eastAsia="黑体" w:hAnsi="黑体"/>
          <w:color w:themeColor="text1" w:val="000000"/>
          <w:sz w:val="20"/>
          <w:szCs w:val="20"/>
          <w:highlight w:val="none"/>
          <w14:textFill>
            <w14:solidFill>
              <w14:schemeClr w14:val="tx1"/>
            </w14:solidFill>
          </w14:textFill>
        </w:rPr>
        <w:t xml:space="preserve">    2</w:t>
      </w:r>
      <w:r>
        <w:rPr>
          <w:rFonts w:ascii="黑体" w:eastAsia="黑体" w:hAnsi="黑体" w:hint="eastAsia"/>
          <w:color w:themeColor="text1" w:val="000000"/>
          <w:sz w:val="20"/>
          <w:szCs w:val="20"/>
          <w:highlight w:val="none"/>
          <w:lang w:eastAsia="zh-CN" w:val="en-US"/>
          <w14:textFill>
            <w14:solidFill>
              <w14:schemeClr w14:val="tx1"/>
            </w14:solidFill>
          </w14:textFill>
        </w:rPr>
        <w:t>0</w:t>
      </w:r>
      <w:r>
        <w:rPr>
          <w:rFonts w:ascii="黑体" w:eastAsia="黑体" w:hAnsi="黑体"/>
          <w:color w:themeColor="text1" w:val="000000"/>
          <w:sz w:val="20"/>
          <w:szCs w:val="20"/>
          <w:highlight w:val="none"/>
          <w14:textFill>
            <w14:solidFill>
              <w14:schemeClr w14:val="tx1"/>
            </w14:solidFill>
          </w14:textFill>
        </w:rPr>
        <w:t>．权益登记日：指本理财产品管理人以该日日终登记在册的本理财产品份额全体持有人确定收益分配对象的日期。</w:t>
      </w:r>
    </w:p>
    <w:p w14:paraId="0F96C1C8">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b/>
          <w:bCs/>
          <w:color w:themeColor="text1" w:val="000000"/>
          <w:sz w:val="20"/>
          <w:szCs w:val="20"/>
          <w:highlight w:val="none"/>
          <w14:textFill>
            <w14:solidFill>
              <w14:schemeClr w14:val="tx1"/>
            </w14:solidFill>
          </w14:textFill>
        </w:rPr>
        <w:t> </w:t>
      </w:r>
      <w:r>
        <w:rPr>
          <w:rFonts w:ascii="黑体" w:cs="黑体" w:eastAsia="黑体" w:hAnsi="Times New Roman" w:hint="eastAsia"/>
          <w:b/>
          <w:bCs/>
          <w:color w:themeColor="text1" w:val="000000"/>
          <w:sz w:val="20"/>
          <w:szCs w:val="20"/>
          <w:highlight w:val="none"/>
          <w14:textFill>
            <w14:solidFill>
              <w14:schemeClr w14:val="tx1"/>
            </w14:solidFill>
          </w14:textFill>
        </w:rPr>
        <w:t>理财产品风险评级及</w:t>
      </w:r>
      <w:r>
        <w:rPr>
          <w:rFonts w:ascii="黑体" w:cs="黑体" w:eastAsia="黑体" w:hAnsi="Times New Roman"/>
          <w:b/>
          <w:bCs/>
          <w:color w:themeColor="text1" w:val="000000"/>
          <w:sz w:val="20"/>
          <w:szCs w:val="20"/>
          <w:highlight w:val="none"/>
          <w14:textFill>
            <w14:solidFill>
              <w14:schemeClr w14:val="tx1"/>
            </w14:solidFill>
          </w14:textFill>
        </w:rPr>
        <w:t>与投资者</w:t>
      </w:r>
      <w:r>
        <w:rPr>
          <w:rFonts w:ascii="黑体" w:cs="黑体" w:eastAsia="黑体" w:hAnsi="Times New Roman" w:hint="eastAsia"/>
          <w:b/>
          <w:bCs/>
          <w:color w:themeColor="text1" w:val="000000"/>
          <w:sz w:val="20"/>
          <w:szCs w:val="20"/>
          <w:highlight w:val="none"/>
          <w14:textFill>
            <w14:solidFill>
              <w14:schemeClr w14:val="tx1"/>
            </w14:solidFill>
          </w14:textFill>
        </w:rPr>
        <w:t>类型</w:t>
      </w:r>
      <w:r>
        <w:rPr>
          <w:rFonts w:ascii="黑体" w:cs="黑体" w:eastAsia="黑体" w:hAnsi="Times New Roman"/>
          <w:b/>
          <w:bCs/>
          <w:color w:themeColor="text1" w:val="000000"/>
          <w:sz w:val="20"/>
          <w:szCs w:val="20"/>
          <w:highlight w:val="none"/>
          <w14:textFill>
            <w14:solidFill>
              <w14:schemeClr w14:val="tx1"/>
            </w14:solidFill>
          </w14:textFill>
        </w:rPr>
        <w:t>对应关系</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525AFA1F">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388"/>
        <w:gridCol w:w="2370"/>
        <w:gridCol w:w="3770"/>
      </w:tblGrid>
      <w:tr w14:paraId="086033D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2F62CB8A">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highlight w:val="none"/>
              </w:rPr>
              <w:t>产品</w:t>
            </w:r>
            <w:r>
              <w:rPr>
                <w:rFonts w:ascii="楷体" w:cs="楷体" w:eastAsia="楷体" w:hAnsi="楷体"/>
                <w:b/>
                <w:color w:val="000000"/>
                <w:highlight w:val="none"/>
              </w:rPr>
              <w:t>风险评级</w:t>
            </w:r>
          </w:p>
        </w:tc>
        <w:tc>
          <w:tcPr>
            <w:tcW w:type="dxa" w:w="2710"/>
            <w:vAlign w:val="center"/>
          </w:tcPr>
          <w:p w14:paraId="1695DDE9">
            <w:pPr>
              <w:adjustRightInd w:val="0"/>
              <w:jc w:val="center"/>
              <w:textAlignment w:val="baseline"/>
              <w:outlineLvl w:val="0"/>
              <w:rPr>
                <w:rFonts w:ascii="楷体" w:cs="楷体" w:eastAsia="楷体" w:hAnsi="楷体"/>
                <w:b/>
                <w:color w:val="000000"/>
                <w:highlight w:val="none"/>
              </w:rPr>
            </w:pPr>
            <w:r>
              <w:rPr>
                <w:rFonts w:ascii="楷体" w:cs="楷体" w:eastAsia="楷体" w:hAnsi="楷体"/>
                <w:b/>
                <w:color w:val="000000"/>
                <w:highlight w:val="none"/>
              </w:rPr>
              <w:t>风险程度</w:t>
            </w:r>
          </w:p>
        </w:tc>
        <w:tc>
          <w:tcPr>
            <w:tcW w:type="dxa" w:w="4327"/>
            <w:vAlign w:val="center"/>
          </w:tcPr>
          <w:p w14:paraId="1029746E">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kern w:val="2"/>
                <w:highlight w:val="none"/>
              </w:rPr>
              <w:t>适合投资者类型</w:t>
            </w:r>
          </w:p>
        </w:tc>
      </w:tr>
      <w:tr w14:paraId="326ABE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5713153">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PR1级</w:t>
            </w:r>
          </w:p>
        </w:tc>
        <w:tc>
          <w:tcPr>
            <w:tcW w:type="dxa" w:w="2710"/>
            <w:vAlign w:val="center"/>
          </w:tcPr>
          <w:p w14:paraId="7EBF8FBC">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低</w:t>
            </w:r>
          </w:p>
        </w:tc>
        <w:tc>
          <w:tcPr>
            <w:tcW w:type="dxa" w:w="4327"/>
            <w:vAlign w:val="center"/>
          </w:tcPr>
          <w:p w14:paraId="48987A9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谨慎型、稳健型、平衡型、进取型、激进型</w:t>
            </w:r>
          </w:p>
        </w:tc>
      </w:tr>
      <w:tr w14:paraId="70A7D7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055A059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PR2级</w:t>
            </w:r>
          </w:p>
        </w:tc>
        <w:tc>
          <w:tcPr>
            <w:tcW w:type="dxa" w:w="2710"/>
            <w:vAlign w:val="center"/>
          </w:tcPr>
          <w:p w14:paraId="1DA79A45">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中低</w:t>
            </w:r>
          </w:p>
        </w:tc>
        <w:tc>
          <w:tcPr>
            <w:tcW w:type="dxa" w:w="4327"/>
            <w:vAlign w:val="center"/>
          </w:tcPr>
          <w:p w14:paraId="5FB6EADF">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稳健型、平衡型、进取型、激进型</w:t>
            </w:r>
          </w:p>
        </w:tc>
      </w:tr>
      <w:tr w14:paraId="19CD262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9D1EA4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PR3级</w:t>
            </w:r>
          </w:p>
        </w:tc>
        <w:tc>
          <w:tcPr>
            <w:tcW w:type="dxa" w:w="2710"/>
            <w:vAlign w:val="center"/>
          </w:tcPr>
          <w:p w14:paraId="4AAA9B0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中等</w:t>
            </w:r>
          </w:p>
        </w:tc>
        <w:tc>
          <w:tcPr>
            <w:tcW w:type="dxa" w:w="4327"/>
            <w:vAlign w:val="center"/>
          </w:tcPr>
          <w:p w14:paraId="5CFE2FE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平衡型、进取型、激进型</w:t>
            </w:r>
          </w:p>
        </w:tc>
      </w:tr>
      <w:tr w14:paraId="275046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3150E7D">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PR4级</w:t>
            </w:r>
          </w:p>
        </w:tc>
        <w:tc>
          <w:tcPr>
            <w:tcW w:type="dxa" w:w="2710"/>
            <w:vAlign w:val="center"/>
          </w:tcPr>
          <w:p w14:paraId="7198B426">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中高</w:t>
            </w:r>
          </w:p>
        </w:tc>
        <w:tc>
          <w:tcPr>
            <w:tcW w:type="dxa" w:w="4327"/>
            <w:vAlign w:val="center"/>
          </w:tcPr>
          <w:p w14:paraId="7746408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进取型、激进型</w:t>
            </w:r>
          </w:p>
        </w:tc>
      </w:tr>
      <w:tr w14:paraId="623C19D3">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D09A3A2">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PR5级</w:t>
            </w:r>
          </w:p>
        </w:tc>
        <w:tc>
          <w:tcPr>
            <w:tcW w:type="dxa" w:w="2710"/>
            <w:vAlign w:val="center"/>
          </w:tcPr>
          <w:p w14:paraId="7BD6D5D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高</w:t>
            </w:r>
          </w:p>
        </w:tc>
        <w:tc>
          <w:tcPr>
            <w:tcW w:type="dxa" w:w="4327"/>
            <w:vAlign w:val="center"/>
          </w:tcPr>
          <w:p w14:paraId="762AD7B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激进型</w:t>
            </w:r>
          </w:p>
        </w:tc>
      </w:tr>
    </w:tbl>
    <w:p w14:paraId="590B0D59">
      <w:pPr>
        <w:snapToGrid w:val="0"/>
        <w:ind w:firstLine="0" w:left="-2" w:leftChars="-1" w:right="53" w:rightChars="22"/>
        <w:outlineLvl w:val="9"/>
        <w:rPr>
          <w:rFonts w:ascii="黑体" w:cs="黑体" w:eastAsia="黑体" w:hAnsi="Times New Roman" w:hint="eastAsia"/>
          <w:b/>
          <w:bCs/>
          <w:color w:val="auto"/>
          <w:sz w:val="20"/>
          <w:szCs w:val="20"/>
          <w:highlight w:val="none"/>
          <w:lang w:eastAsia="zh-CN" w:val="en-US"/>
        </w:rPr>
      </w:pPr>
      <w:r>
        <w:rPr>
          <w:rFonts w:ascii="黑体" w:cs="黑体" w:eastAsia="黑体" w:hAnsi="Times New Roman" w:hint="eastAsia"/>
          <w:b/>
          <w:bCs/>
          <w:color w:val="auto"/>
          <w:sz w:val="20"/>
          <w:szCs w:val="20"/>
          <w:highlight w:val="none"/>
          <w:lang w:eastAsia="zh-CN" w:val="en-US"/>
        </w:rPr>
        <w:t>投资者通过本产品合作销售机构办理的，以合作销售机构的投资者风险测评结果、产品风险评级以及二者的对应关系为准。</w:t>
      </w:r>
    </w:p>
    <w:p w14:paraId="4643FD06">
      <w:pPr>
        <w:snapToGrid w:val="0"/>
        <w:ind w:hanging="435" w:left="433" w:right="53" w:rightChars="22"/>
        <w:outlineLvl w:val="0"/>
        <w:rPr>
          <w:rFonts w:ascii="黑体" w:cs="黑体" w:eastAsia="黑体" w:hAnsi="Times New Roman" w:hint="default"/>
          <w:color w:themeColor="text1" w:val="000000"/>
          <w:sz w:val="20"/>
          <w:szCs w:val="20"/>
          <w:highlight w:val="none"/>
          <w:lang w:eastAsia="zh-CN" w:val="en-US"/>
          <w14:textFill>
            <w14:solidFill>
              <w14:schemeClr w14:val="tx1"/>
            </w14:solidFill>
          </w14:textFill>
        </w:rPr>
      </w:pPr>
    </w:p>
    <w:p w14:paraId="5DA403D6">
      <w:pPr>
        <w:snapToGrid w:val="0"/>
        <w:ind w:hanging="435" w:left="433" w:right="53" w:rightChars="22"/>
        <w:outlineLvl w:val="0"/>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一、</w:t>
      </w:r>
      <w:r>
        <w:rPr>
          <w:rFonts w:ascii="Times New Roman" w:eastAsia="黑体" w:hAnsi="Times New Roman"/>
          <w:color w:themeColor="text1" w:val="000000"/>
          <w:sz w:val="14"/>
          <w:szCs w:val="14"/>
          <w:highlight w:val="none"/>
          <w14:textFill>
            <w14:solidFill>
              <w14:schemeClr w14:val="tx1"/>
            </w14:solidFill>
          </w14:textFill>
        </w:rPr>
        <w:t xml:space="preserve"> </w:t>
      </w:r>
      <w:r>
        <w:rPr>
          <w:rFonts w:ascii="黑体" w:cs="黑体" w:eastAsia="黑体" w:hAnsi="Times New Roman" w:hint="eastAsia"/>
          <w:color w:themeColor="text1" w:val="000000"/>
          <w:sz w:val="20"/>
          <w:szCs w:val="20"/>
          <w:highlight w:val="none"/>
          <w14:textFill>
            <w14:solidFill>
              <w14:schemeClr w14:val="tx1"/>
            </w14:solidFill>
          </w14:textFill>
        </w:rPr>
        <w:t>产品投资范围</w:t>
      </w:r>
    </w:p>
    <w:p w14:paraId="683DC93B">
      <w:pPr>
        <w:snapToGrid w:val="0"/>
        <w:ind w:firstLine="0" w:firstLineChars="0" w:left="433" w:right="53" w:rightChars="22"/>
        <w:outlineLvl w:val="0"/>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．产品投资策略：</w:t>
      </w:r>
    </w:p>
    <w:p w14:paraId="2E9FE289">
      <w:pPr>
        <w:spacing w:line="300" w:lineRule="exact"/>
        <w:ind w:firstLine="422" w:left="-2" w:leftChars="-1"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r>
        <w:rPr>
          <w:rFonts w:ascii="楷体_GB2312" w:eastAsia="楷体_GB2312"/>
          <w:color w:themeColor="text1" w:val="000000"/>
          <w:sz w:val="20"/>
          <w:szCs w:val="20"/>
          <w:highlight w:val="none"/>
          <w14:textFill>
            <w14:solidFill>
              <w14:schemeClr w14:val="tx1"/>
            </w14:solidFill>
          </w14:textFill>
        </w:rPr>
        <w:t/>
      </w:r>
    </w:p>
    <w:p w14:paraId="032DBAE6">
      <w:pPr>
        <w:spacing w:line="300" w:lineRule="exact"/>
        <w:ind w:firstLine="420" w:firstLineChars="0" w:left="-2" w:leftChars="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．本理财产品存续期间，投资于以下投资对象：</w:t>
      </w:r>
    </w:p>
    <w:p w14:paraId="37379198">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（1）债权类资产</w:t>
      </w:r>
    </w:p>
    <w:p w14:paraId="04B61E15">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a</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货币市场类：现金、存款、大额</w:t>
      </w:r>
      <w:r>
        <w:rPr>
          <w:rFonts w:ascii="楷体_GB2312" w:eastAsia="楷体_GB2312"/>
          <w:color w:themeColor="text1" w:val="000000"/>
          <w:sz w:val="20"/>
          <w:szCs w:val="20"/>
          <w:highlight w:val="none"/>
          <w14:textFill>
            <w14:solidFill>
              <w14:schemeClr w14:val="tx1"/>
            </w14:solidFill>
          </w14:textFill>
        </w:rPr>
        <w:t>存单、同业存单、</w:t>
      </w:r>
      <w:r>
        <w:rPr>
          <w:rFonts w:ascii="楷体_GB2312" w:eastAsia="楷体_GB2312" w:hint="eastAsia"/>
          <w:color w:themeColor="text1" w:val="000000"/>
          <w:sz w:val="20"/>
          <w:szCs w:val="20"/>
          <w:highlight w:val="none"/>
          <w14:textFill>
            <w14:solidFill>
              <w14:schemeClr w14:val="tx1"/>
            </w14:solidFill>
          </w14:textFill>
        </w:rPr>
        <w:t>货币基金、质押式回购和其他货币市场类资产；</w:t>
      </w:r>
    </w:p>
    <w:p w14:paraId="710C6F30">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b.固定收益类：国债</w:t>
      </w:r>
      <w:r>
        <w:rPr>
          <w:rFonts w:ascii="楷体_GB2312" w:eastAsia="楷体_GB2312"/>
          <w:color w:themeColor="text1" w:val="000000"/>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highlight w:val="none"/>
          <w14:textFill>
            <w14:solidFill>
              <w14:schemeClr w14:val="tx1"/>
            </w14:solidFill>
          </w14:textFill>
        </w:rPr>
        <w:t>资产支持证券、非公开定向债务融资工具、债券型</w:t>
      </w:r>
      <w:r>
        <w:rPr>
          <w:rFonts w:ascii="楷体_GB2312" w:eastAsia="楷体_GB2312"/>
          <w:color w:themeColor="text1" w:val="000000"/>
          <w:sz w:val="20"/>
          <w:szCs w:val="20"/>
          <w:highlight w:val="none"/>
          <w14:textFill>
            <w14:solidFill>
              <w14:schemeClr w14:val="tx1"/>
            </w14:solidFill>
          </w14:textFill>
        </w:rPr>
        <w:t>证券投资</w:t>
      </w:r>
      <w:r>
        <w:rPr>
          <w:rFonts w:ascii="楷体_GB2312" w:eastAsia="楷体_GB2312" w:hint="eastAsia"/>
          <w:color w:themeColor="text1" w:val="000000"/>
          <w:sz w:val="20"/>
          <w:szCs w:val="20"/>
          <w:highlight w:val="none"/>
          <w14:textFill>
            <w14:solidFill>
              <w14:schemeClr w14:val="tx1"/>
            </w14:solidFill>
          </w14:textFill>
        </w:rPr>
        <w:t>基金、</w:t>
      </w:r>
      <w:r>
        <w:rPr>
          <w:rFonts w:ascii="楷体_GB2312" w:eastAsia="楷体_GB2312"/>
          <w:color w:themeColor="text1" w:val="000000"/>
          <w:sz w:val="20"/>
          <w:szCs w:val="20"/>
          <w:highlight w:val="none"/>
          <w14:textFill>
            <w14:solidFill>
              <w14:schemeClr w14:val="tx1"/>
            </w14:solidFill>
          </w14:textFill>
        </w:rPr>
        <w:t>非标准化债权类资产</w:t>
      </w:r>
      <w:r>
        <w:rPr>
          <w:rFonts w:ascii="楷体_GB2312" w:eastAsia="楷体_GB2312" w:hint="eastAsia"/>
          <w:color w:themeColor="text1" w:val="000000"/>
          <w:sz w:val="20"/>
          <w:szCs w:val="20"/>
          <w:highlight w:val="none"/>
          <w14:textFill>
            <w14:solidFill>
              <w14:schemeClr w14:val="tx1"/>
            </w14:solidFill>
          </w14:textFill>
        </w:rPr>
        <w:t>和其他固定收益类资产；</w:t>
      </w:r>
    </w:p>
    <w:p w14:paraId="76EF9675">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2）</w:t>
      </w:r>
      <w:r>
        <w:rPr>
          <w:rFonts w:ascii="Times New Roman" w:eastAsia="楷体_GB2312" w:hAnsi="Times New Roman" w:hint="eastAsia"/>
          <w:color w:themeColor="text1" w:val="000000"/>
          <w:sz w:val="20"/>
          <w:szCs w:val="20"/>
          <w:highlight w:val="none"/>
          <w14:textFill>
            <w14:solidFill>
              <w14:schemeClr w14:val="tx1"/>
            </w14:solidFill>
          </w14:textFill>
        </w:rPr>
        <w:t>权益</w:t>
      </w:r>
      <w:r>
        <w:rPr>
          <w:rFonts w:ascii="Times New Roman" w:eastAsia="楷体_GB2312" w:hAnsi="Times New Roman"/>
          <w:color w:themeColor="text1" w:val="000000"/>
          <w:sz w:val="20"/>
          <w:szCs w:val="20"/>
          <w:highlight w:val="none"/>
          <w14:textFill>
            <w14:solidFill>
              <w14:schemeClr w14:val="tx1"/>
            </w14:solidFill>
          </w14:textFill>
        </w:rPr>
        <w:t>类</w:t>
      </w:r>
      <w:r>
        <w:rPr>
          <w:rFonts w:ascii="Times New Roman" w:eastAsia="楷体_GB2312" w:hAnsi="Times New Roman" w:hint="eastAsia"/>
          <w:color w:themeColor="text1" w:val="000000"/>
          <w:sz w:val="20"/>
          <w:szCs w:val="20"/>
          <w:highlight w:val="none"/>
          <w14:textFill>
            <w14:solidFill>
              <w14:schemeClr w14:val="tx1"/>
            </w14:solidFill>
          </w14:textFill>
        </w:rPr>
        <w:t>资产</w:t>
      </w:r>
      <w:r>
        <w:rPr>
          <w:rFonts w:ascii="Times New Roman" w:eastAsia="楷体_GB2312" w:hAnsi="Times New Roman"/>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上市</w:t>
      </w:r>
      <w:r>
        <w:rPr>
          <w:rFonts w:ascii="楷体_GB2312" w:cs="楷体_GB2312" w:eastAsia="楷体_GB2312"/>
          <w:color w:themeColor="text1" w:val="000000"/>
          <w:sz w:val="20"/>
          <w:szCs w:val="20"/>
          <w:highlight w:val="none"/>
          <w14:textFill>
            <w14:solidFill>
              <w14:schemeClr w14:val="tx1"/>
            </w14:solidFill>
          </w14:textFill>
        </w:rPr>
        <w:t>交易</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highlight w:val="none"/>
          <w14:textFill>
            <w14:solidFill>
              <w14:schemeClr w14:val="tx1"/>
            </w14:solidFill>
          </w14:textFill>
        </w:rPr>
        <w:t>。</w:t>
      </w:r>
    </w:p>
    <w:p w14:paraId="6C290A87">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3</w:t>
      </w:r>
      <w:r>
        <w:rPr>
          <w:rFonts w:ascii="Times New Roman" w:eastAsia="楷体_GB2312" w:hAnsi="Times New Roman" w:hint="eastAsia"/>
          <w:color w:themeColor="text1" w:val="000000"/>
          <w:sz w:val="20"/>
          <w:szCs w:val="20"/>
          <w:highlight w:val="none"/>
          <w14:textFill>
            <w14:solidFill>
              <w14:schemeClr w14:val="tx1"/>
            </w14:solidFill>
          </w14:textFill>
        </w:rPr>
        <w:t>）商品</w:t>
      </w:r>
      <w:r>
        <w:rPr>
          <w:rFonts w:ascii="Times New Roman" w:eastAsia="楷体_GB2312" w:hAnsi="Times New Roman"/>
          <w:color w:themeColor="text1" w:val="000000"/>
          <w:sz w:val="20"/>
          <w:szCs w:val="20"/>
          <w:highlight w:val="none"/>
          <w14:textFill>
            <w14:solidFill>
              <w14:schemeClr w14:val="tx1"/>
            </w14:solidFill>
          </w14:textFill>
        </w:rPr>
        <w:t>及</w:t>
      </w:r>
      <w:r>
        <w:rPr>
          <w:rFonts w:ascii="Times New Roman" w:eastAsia="楷体_GB2312" w:hAnsi="Times New Roman" w:hint="eastAsia"/>
          <w:color w:themeColor="text1" w:val="000000"/>
          <w:sz w:val="20"/>
          <w:szCs w:val="20"/>
          <w:highlight w:val="none"/>
          <w14:textFill>
            <w14:solidFill>
              <w14:schemeClr w14:val="tx1"/>
            </w14:solidFill>
          </w14:textFill>
        </w:rPr>
        <w:t>金融</w:t>
      </w:r>
      <w:r>
        <w:rPr>
          <w:rFonts w:ascii="Times New Roman" w:eastAsia="楷体_GB2312" w:hAnsi="Times New Roman"/>
          <w:color w:themeColor="text1" w:val="000000"/>
          <w:sz w:val="20"/>
          <w:szCs w:val="20"/>
          <w:highlight w:val="none"/>
          <w14:textFill>
            <w14:solidFill>
              <w14:schemeClr w14:val="tx1"/>
            </w14:solidFill>
          </w14:textFill>
        </w:rPr>
        <w:t>衍生品类资产：</w:t>
      </w:r>
      <w:r>
        <w:rPr>
          <w:rFonts w:ascii="Times New Roman" w:eastAsia="楷体_GB2312" w:hAnsi="Times New Roman" w:hint="eastAsia"/>
          <w:color w:themeColor="text1" w:val="000000"/>
          <w:sz w:val="20"/>
          <w:szCs w:val="20"/>
          <w:highlight w:val="none"/>
          <w14:textFill>
            <w14:solidFill>
              <w14:schemeClr w14:val="tx1"/>
            </w14:solidFill>
          </w14:textFill>
        </w:rPr>
        <w:t>商品现货，互换</w:t>
      </w:r>
      <w:r>
        <w:rPr>
          <w:rFonts w:ascii="Times New Roman" w:eastAsia="楷体_GB2312" w:hAnsi="Times New Roman"/>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firstLine="420" w:firstLineChars="0"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3</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各</w:t>
      </w:r>
      <w:r>
        <w:rPr>
          <w:rFonts w:ascii="Times New Roman" w:eastAsia="楷体_GB2312" w:hAnsi="Times New Roman"/>
          <w:color w:themeColor="text1" w:val="000000"/>
          <w:sz w:val="20"/>
          <w:szCs w:val="20"/>
          <w:highlight w:val="none"/>
          <w14:textFill>
            <w14:solidFill>
              <w14:schemeClr w14:val="tx1"/>
            </w14:solidFill>
          </w14:textFill>
        </w:rPr>
        <w:t>投资对象投资比例为：</w:t>
      </w:r>
    </w:p>
    <w:tbl>
      <w:tblPr>
        <w:tblStyle w:val="9"/>
        <w:tblW w:type="pct" w:w="5000"/>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autofit"/>
        <w:tblCellMar>
          <w:top w:type="dxa" w:w="0"/>
          <w:left w:type="dxa" w:w="108"/>
          <w:bottom w:type="dxa" w:w="0"/>
          <w:right w:type="dxa" w:w="108"/>
        </w:tblCellMar>
      </w:tblPr>
      <w:tblGrid>
        <w:gridCol w:w="4713"/>
        <w:gridCol w:w="3815"/>
      </w:tblGrid>
      <w:tr w14:paraId="4CFBB5EA">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DF0D605">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资产种类</w:t>
            </w:r>
          </w:p>
        </w:tc>
        <w:tc>
          <w:tcPr>
            <w:tcW w:type="pct" w:w="2237"/>
            <w:vAlign w:val="center"/>
          </w:tcPr>
          <w:p w14:paraId="1BA084F8">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投资比例</w:t>
            </w:r>
          </w:p>
        </w:tc>
      </w:tr>
      <w:tr w14:paraId="061487A6">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23BD743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债权类资产</w:t>
            </w:r>
          </w:p>
        </w:tc>
        <w:tc>
          <w:tcPr>
            <w:tcW w:type="pct" w:w="2237"/>
            <w:vAlign w:val="center"/>
          </w:tcPr>
          <w:p w14:paraId="002CA2B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【80%-100%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2066F565">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C95E97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其中</w:t>
            </w:r>
            <w:r>
              <w:rPr>
                <w:rFonts w:ascii="楷体" w:eastAsia="楷体" w:hAnsi="楷体"/>
                <w:color w:themeColor="text1" w:val="000000"/>
                <w:sz w:val="20"/>
                <w:szCs w:val="20"/>
                <w:highlight w:val="none"/>
                <w14:textFill>
                  <w14:solidFill>
                    <w14:schemeClr w14:val="tx1"/>
                  </w14:solidFill>
                </w14:textFill>
              </w:rPr>
              <w:t>，非标准化债权类资产</w:t>
            </w:r>
          </w:p>
        </w:tc>
        <w:tc>
          <w:tcPr>
            <w:tcW w:type="pct" w:w="2237"/>
            <w:vAlign w:val="center"/>
          </w:tcPr>
          <w:p w14:paraId="06CBEEFC">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【0%-49%</w:t>
            </w:r>
            <w:r>
              <w:rPr>
                <w:rFonts w:ascii="楷体" w:eastAsia="楷体" w:hAnsi="楷体"/>
                <w:color w:themeColor="text1" w:val="000000"/>
                <w:sz w:val="20"/>
                <w:szCs w:val="20"/>
                <w:highlight w:val="none"/>
                <w14:textFill>
                  <w14:solidFill>
                    <w14:schemeClr w14:val="tx1"/>
                  </w14:solidFill>
                </w14:textFill>
              </w:rPr>
              <w:t>】</w:t>
            </w:r>
          </w:p>
        </w:tc>
      </w:tr>
      <w:tr w14:paraId="76D4315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01F568B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权益类资产</w:t>
            </w:r>
          </w:p>
        </w:tc>
        <w:tc>
          <w:tcPr>
            <w:tcW w:type="pct" w:w="2237"/>
            <w:vAlign w:val="center"/>
          </w:tcPr>
          <w:p w14:paraId="4CAD7C05">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F4EE1A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1BFAE4AE">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资产：持仓合约价值</w:t>
            </w:r>
          </w:p>
        </w:tc>
        <w:tc>
          <w:tcPr>
            <w:tcW w:type="pct" w:w="2237"/>
            <w:vAlign w:val="center"/>
          </w:tcPr>
          <w:p w14:paraId="6612C441">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7AD8BD0">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361AB169">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资产：衍生品账户权益</w:t>
            </w:r>
          </w:p>
        </w:tc>
        <w:tc>
          <w:tcPr>
            <w:tcW w:type="pct" w:w="2237"/>
            <w:vAlign w:val="center"/>
          </w:tcPr>
          <w:p w14:paraId="486BB9BA">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bl>
    <w:p w14:paraId="065AA9BC">
      <w:pPr>
        <w:spacing w:line="300" w:lineRule="exact"/>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本产品可通过信托、证券</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基金</w:t>
      </w:r>
      <w:r>
        <w:rPr>
          <w:rFonts w:ascii="Times New Roman" w:cs="楷体_GB2312" w:eastAsia="楷体_GB2312" w:hAnsi="Times New Roman"/>
          <w:color w:themeColor="text1" w:val="000000"/>
          <w:sz w:val="20"/>
          <w:szCs w:val="20"/>
          <w:highlight w:val="none"/>
          <w14:textFill>
            <w14:solidFill>
              <w14:schemeClr w14:val="tx1"/>
            </w14:solidFill>
          </w14:textFill>
        </w:rPr>
        <w:t>、期货</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保险资产管理机构等依法设立的资产管理产品</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以及其他符合国家相关政策、法律法规的投资渠道和方式实现对上述投资品种的投资，且可以由资产</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名义</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持有人按公允价格转让本产品所投资的全部或部分投资标的。</w:t>
      </w:r>
    </w:p>
    <w:p w14:paraId="42F021DF">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产品管理人应确保本产品建仓期后投资比例符合前述要求，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非因管理人主观因素导致突破前述比例限制的，管理人应在流动性受限资产可出售、可转让或者恢复交易的15个</w:t>
      </w:r>
      <w:r>
        <w:rPr>
          <w:rFonts w:ascii="Times New Roman" w:cs="楷体_GB2312" w:eastAsia="楷体_GB2312" w:hAnsi="Times New Roman"/>
          <w:color w:themeColor="text1" w:val="000000"/>
          <w:sz w:val="20"/>
          <w:szCs w:val="20"/>
          <w:highlight w:val="none"/>
          <w14:textFill>
            <w14:solidFill>
              <w14:schemeClr w14:val="tx1"/>
            </w14:solidFill>
          </w14:textFill>
        </w:rPr>
        <w:t>交易日内调整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至符合</w:t>
      </w:r>
      <w:r>
        <w:rPr>
          <w:rFonts w:ascii="Times New Roman" w:cs="楷体_GB2312" w:eastAsia="楷体_GB2312" w:hAnsi="Times New Roman"/>
          <w:color w:themeColor="text1" w:val="000000"/>
          <w:sz w:val="20"/>
          <w:szCs w:val="20"/>
          <w:highlight w:val="none"/>
          <w14:textFill>
            <w14:solidFill>
              <w14:schemeClr w14:val="tx1"/>
            </w14:solidFill>
          </w14:textFill>
        </w:rPr>
        <w:t>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国务院银行业监督管理机构规定的特殊情形除外</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p>
    <w:p w14:paraId="3B0557B5">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cs="楷体_GB2312" w:eastAsia="楷体_GB2312"/>
          <w:color w:themeColor="text1" w:val="000000"/>
          <w:sz w:val="20"/>
          <w:szCs w:val="20"/>
          <w:highlight w:val="none"/>
          <w14:textFill>
            <w14:solidFill>
              <w14:schemeClr w14:val="tx1"/>
            </w14:solidFill>
          </w14:textFill>
        </w:rPr>
        <w:t>有权根据市场情况，在不损害投资者利益且根据</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说明书约定提前</w:t>
      </w:r>
      <w:r>
        <w:rPr>
          <w:rFonts w:ascii="楷体_GB2312" w:cs="楷体_GB2312" w:eastAsia="楷体_GB2312" w:hint="eastAsia"/>
          <w:color w:themeColor="text1" w:val="000000"/>
          <w:sz w:val="20"/>
          <w:szCs w:val="20"/>
          <w:highlight w:val="none"/>
          <w14:textFill>
            <w14:solidFill>
              <w14:schemeClr w14:val="tx1"/>
            </w14:solidFill>
          </w14:textFill>
        </w:rPr>
        <w:t>通知</w:t>
      </w:r>
      <w:r>
        <w:rPr>
          <w:rFonts w:ascii="楷体_GB2312" w:cs="楷体_GB2312" w:eastAsia="楷体_GB2312"/>
          <w:color w:themeColor="text1" w:val="000000"/>
          <w:sz w:val="20"/>
          <w:szCs w:val="20"/>
          <w:highlight w:val="none"/>
          <w14:textFill>
            <w14:solidFill>
              <w14:schemeClr w14:val="tx1"/>
            </w14:solidFill>
          </w14:textFill>
        </w:rPr>
        <w:t>投资者的情况下，对本</w:t>
      </w:r>
      <w:r>
        <w:rPr>
          <w:rFonts w:ascii="楷体_GB2312" w:cs="楷体_GB2312" w:eastAsia="楷体_GB2312" w:hint="eastAsia"/>
          <w:color w:themeColor="text1" w:val="000000"/>
          <w:sz w:val="20"/>
          <w:szCs w:val="20"/>
          <w:highlight w:val="none"/>
          <w14:textFill>
            <w14:solidFill>
              <w14:schemeClr w14:val="tx1"/>
            </w14:solidFill>
          </w14:textFill>
        </w:rPr>
        <w:t>产品</w:t>
      </w:r>
      <w:r>
        <w:rPr>
          <w:rFonts w:ascii="楷体_GB2312" w:cs="楷体_GB2312" w:eastAsia="楷体_GB2312"/>
          <w:color w:themeColor="text1" w:val="000000"/>
          <w:sz w:val="20"/>
          <w:szCs w:val="20"/>
          <w:highlight w:val="none"/>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投资范围、投资品种或投资比例进行</w:t>
      </w:r>
      <w:r>
        <w:rPr>
          <w:rFonts w:ascii="楷体_GB2312" w:cs="楷体_GB2312" w:eastAsia="楷体_GB2312"/>
          <w:color w:themeColor="text1" w:val="000000"/>
          <w:sz w:val="20"/>
          <w:szCs w:val="20"/>
          <w:highlight w:val="none"/>
          <w14:textFill>
            <w14:solidFill>
              <w14:schemeClr w14:val="tx1"/>
            </w14:solidFill>
          </w14:textFill>
        </w:rPr>
        <w:t>调</w:t>
      </w:r>
      <w:r>
        <w:rPr>
          <w:rFonts w:ascii="楷体_GB2312" w:cs="楷体_GB2312" w:eastAsia="楷体_GB2312"/>
          <w:sz w:val="20"/>
          <w:szCs w:val="20"/>
          <w:highlight w:val="none"/>
        </w:rPr>
        <w:t>整</w:t>
      </w:r>
      <w:r>
        <w:rPr>
          <w:rFonts w:ascii="楷体_GB2312" w:cs="楷体_GB2312" w:eastAsia="楷体_GB2312" w:hint="eastAsia"/>
          <w:sz w:val="20"/>
          <w:szCs w:val="20"/>
          <w:highlight w:val="none"/>
        </w:rPr>
        <w:t>。投资者</w:t>
      </w:r>
      <w:r>
        <w:rPr>
          <w:rFonts w:ascii="楷体_GB2312" w:cs="楷体_GB2312" w:eastAsia="楷体_GB2312"/>
          <w:sz w:val="20"/>
          <w:szCs w:val="20"/>
          <w:highlight w:val="none"/>
        </w:rPr>
        <w:t>不接受的，可</w:t>
      </w:r>
      <w:r>
        <w:rPr>
          <w:rFonts w:ascii="楷体_GB2312" w:cs="楷体_GB2312" w:eastAsia="楷体_GB2312" w:hint="eastAsia"/>
          <w:sz w:val="20"/>
          <w:szCs w:val="20"/>
          <w:highlight w:val="none"/>
        </w:rPr>
        <w:t>提前</w:t>
      </w:r>
      <w:r>
        <w:rPr>
          <w:rFonts w:ascii="楷体_GB2312" w:cs="楷体_GB2312" w:eastAsia="楷体_GB2312"/>
          <w:sz w:val="20"/>
          <w:szCs w:val="20"/>
          <w:highlight w:val="none"/>
        </w:rPr>
        <w:t>赎回理财产品，</w:t>
      </w:r>
      <w:r>
        <w:rPr>
          <w:rFonts w:ascii="楷体_GB2312" w:cs="楷体_GB2312" w:eastAsia="楷体_GB2312" w:hint="eastAsia"/>
          <w:sz w:val="20"/>
          <w:szCs w:val="20"/>
          <w:highlight w:val="none"/>
        </w:rPr>
        <w:t>信银理财有权根据情况设立临时的赎回开放日</w:t>
      </w:r>
      <w:r>
        <w:rPr>
          <w:rFonts w:ascii="楷体_GB2312" w:cs="楷体_GB2312" w:eastAsia="楷体_GB2312"/>
          <w:sz w:val="20"/>
          <w:szCs w:val="20"/>
          <w:highlight w:val="none"/>
        </w:rPr>
        <w:t>。</w:t>
      </w:r>
      <w:r>
        <w:rPr>
          <w:rFonts w:ascii="楷体_GB2312" w:cs="楷体_GB2312" w:eastAsia="楷体_GB2312" w:hint="eastAsia"/>
          <w:color w:themeColor="text1" w:val="000000"/>
          <w:sz w:val="20"/>
          <w:szCs w:val="20"/>
          <w:highlight w:val="none"/>
          <w14:textFill>
            <w14:solidFill>
              <w14:schemeClr w14:val="tx1"/>
            </w14:solidFill>
          </w14:textFill>
        </w:rPr>
        <w:t>除</w:t>
      </w:r>
      <w:r>
        <w:rPr>
          <w:rFonts w:ascii="楷体_GB2312" w:cs="楷体_GB2312" w:eastAsia="楷体_GB2312"/>
          <w:color w:themeColor="text1" w:val="000000"/>
          <w:sz w:val="20"/>
          <w:szCs w:val="20"/>
          <w:highlight w:val="none"/>
          <w14:textFill>
            <w14:solidFill>
              <w14:schemeClr w14:val="tx1"/>
            </w14:solidFill>
          </w14:textFill>
        </w:rPr>
        <w:t>高风险类型的产品超出比例范围投资较低风险资产外，</w:t>
      </w:r>
      <w:r>
        <w:rPr>
          <w:rFonts w:ascii="楷体_GB2312" w:cs="楷体_GB2312" w:eastAsia="楷体_GB2312" w:hint="eastAsia"/>
          <w:color w:themeColor="text1" w:val="000000"/>
          <w:sz w:val="20"/>
          <w:szCs w:val="20"/>
          <w:highlight w:val="none"/>
          <w14:textFill>
            <w14:solidFill>
              <w14:schemeClr w14:val="tx1"/>
            </w14:solidFill>
          </w14:textFill>
        </w:rPr>
        <w:t>产品管理人应按</w:t>
      </w:r>
      <w:r>
        <w:rPr>
          <w:rFonts w:ascii="楷体_GB2312" w:cs="楷体_GB2312" w:eastAsia="楷体_GB2312"/>
          <w:color w:themeColor="text1" w:val="000000"/>
          <w:sz w:val="20"/>
          <w:szCs w:val="20"/>
          <w:highlight w:val="none"/>
          <w14:textFill>
            <w14:solidFill>
              <w14:schemeClr w14:val="tx1"/>
            </w14:solidFill>
          </w14:textFill>
        </w:rPr>
        <w:t>监管要求</w:t>
      </w:r>
      <w:r>
        <w:rPr>
          <w:rFonts w:ascii="楷体_GB2312" w:cs="楷体_GB2312" w:eastAsia="楷体_GB2312" w:hint="eastAsia"/>
          <w:color w:themeColor="text1" w:val="000000"/>
          <w:sz w:val="20"/>
          <w:szCs w:val="20"/>
          <w:highlight w:val="none"/>
          <w14:textFill>
            <w14:solidFill>
              <w14:schemeClr w14:val="tx1"/>
            </w14:solidFill>
          </w14:textFill>
        </w:rPr>
        <w:t>提前</w:t>
      </w:r>
      <w:r>
        <w:rPr>
          <w:rFonts w:ascii="楷体_GB2312" w:cs="楷体_GB2312" w:eastAsia="楷体_GB2312"/>
          <w:color w:themeColor="text1" w:val="000000"/>
          <w:sz w:val="20"/>
          <w:szCs w:val="20"/>
          <w:highlight w:val="none"/>
          <w14:textFill>
            <w14:solidFill>
              <w14:schemeClr w14:val="tx1"/>
            </w14:solidFill>
          </w14:textFill>
        </w:rPr>
        <w:t>取得投资者书面同意</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4</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w:t>
      </w:r>
      <w:r>
        <w:rPr>
          <w:rFonts w:ascii="Times New Roman" w:cs="楷体_GB2312" w:eastAsia="楷体_GB2312" w:hAnsi="Times New Roman"/>
          <w:color w:themeColor="text1" w:val="000000"/>
          <w:sz w:val="20"/>
          <w:szCs w:val="20"/>
          <w:highlight w:val="none"/>
          <w14:textFill>
            <w14:solidFill>
              <w14:schemeClr w14:val="tx1"/>
            </w14:solidFill>
          </w14:textFill>
        </w:rPr>
        <w:t>限制：</w:t>
      </w:r>
    </w:p>
    <w:p w14:paraId="32AEEF17">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（1）本产品总资产不得超过净资产的</w:t>
      </w:r>
      <w:r>
        <w:rPr>
          <w:rFonts w:ascii="Times New Roman" w:cs="楷体_GB2312" w:eastAsia="楷体_GB2312" w:hAnsi="Times New Roman"/>
          <w:color w:themeColor="text1" w:val="000000"/>
          <w:sz w:val="20"/>
          <w:szCs w:val="20"/>
          <w:highlight w:val="none"/>
          <w14:textFill>
            <w14:solidFill>
              <w14:schemeClr w14:val="tx1"/>
            </w14:solidFill>
          </w14:textFill>
        </w:rPr>
        <w:t>200%；</w:t>
      </w:r>
    </w:p>
    <w:p w14:paraId="712A273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color w:themeColor="text1" w:val="000000"/>
          <w:sz w:val="20"/>
          <w:szCs w:val="20"/>
          <w:highlight w:val="none"/>
          <w14:textFill>
            <w14:solidFill>
              <w14:schemeClr w14:val="tx1"/>
            </w14:solidFill>
          </w14:textFill>
        </w:rPr>
        <w:t>（2）</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本产品投资单只证券或者单只公募证券投资基金的市值不得超过产品净资产的</w:t>
      </w:r>
      <w:r>
        <w:rPr>
          <w:rFonts w:ascii="Times New Roman" w:cs="楷体_GB2312" w:eastAsia="楷体_GB2312" w:hAnsi="Times New Roman"/>
          <w:color w:themeColor="text1" w:val="000000"/>
          <w:sz w:val="20"/>
          <w:szCs w:val="20"/>
          <w:highlight w:val="none"/>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cs="楷体_GB2312" w:eastAsia="楷体_GB2312" w:hAnsi="Times New Roman"/>
          <w:b/>
          <w:bCs/>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（3</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b/>
          <w:bCs/>
          <w:color w:themeColor="text1" w:val="000000"/>
          <w:sz w:val="20"/>
          <w:szCs w:val="20"/>
          <w:highlight w:val="none"/>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b）计划投资上述资产的比例达到产品净资产50%以上。</w:t>
      </w:r>
      <w:r>
        <w:rPr>
          <w:rFonts w:ascii="楷体_GB2312" w:eastAsia="楷体_GB2312" w:hint="eastAsia"/>
          <w:color w:themeColor="text1" w:val="000000"/>
          <w:sz w:val="20"/>
          <w:szCs w:val="20"/>
          <w:highlight w:val="none"/>
          <w14:textFill>
            <w14:solidFill>
              <w14:schemeClr w14:val="tx1"/>
            </w14:solidFill>
          </w14:textFill>
        </w:rPr>
        <w:t/>
      </w:r>
    </w:p>
    <w:p w14:paraId="2B58A500">
      <w:pPr>
        <w:spacing w:line="300" w:lineRule="exact"/>
        <w:ind w:firstLine="400" w:firstLineChars="200"/>
        <w:jc w:val="both"/>
        <w:rPr>
          <w:rFonts w:ascii="Times New Roman" w:cs="楷体_GB2312" w:eastAsia="楷体_GB2312" w:hAnsi="Times New Roman"/>
          <w:color w:themeColor="text1" w:val="000000"/>
          <w:sz w:val="20"/>
          <w:szCs w:val="20"/>
          <w:highlight w:val="none"/>
          <w:u w:val="singl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5</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6</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7.本产品可投资于非标准化债权类资产，信银理财将按照监管规定，向投资者披露产品投资每笔非标准化债权类资产的融资客户、项目名称、剩余融资期限、到期收益分配、交易结构、风险状况等资产信息。</w:t>
      </w:r>
    </w:p>
    <w:p w14:paraId="4C700E0C">
      <w:pPr>
        <w:spacing w:line="300" w:lineRule="exact"/>
        <w:ind w:right="48" w:rightChars="20"/>
        <w:jc w:val="both"/>
        <w:rPr>
          <w:color w:themeColor="text1" w:val="000000"/>
          <w:highlight w:val="none"/>
          <w14:textFill>
            <w14:solidFill>
              <w14:schemeClr w14:val="tx1"/>
            </w14:solidFill>
          </w14:textFill>
        </w:rPr>
      </w:pPr>
    </w:p>
    <w:p w14:paraId="23DEDF75">
      <w:pPr>
        <w:snapToGrid w:val="0"/>
        <w:ind w:left="-2" w:leftChars="-1" w:right="53" w:rightChars="22"/>
        <w:outlineLvl w:val="0"/>
        <w:rPr>
          <w:rFonts w:ascii="楷体" w:eastAsia="楷体" w:hAnsi="楷体"/>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二、产品基本要素</w:t>
      </w: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200"/>
        <w:gridCol w:w="6328"/>
      </w:tblGrid>
      <w:tr w14:paraId="39D4BA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90"/>
        </w:trPr>
        <w:tc>
          <w:tcPr>
            <w:tcW w:type="pct" w:w="1290"/>
            <w:vAlign w:val="center"/>
          </w:tcPr>
          <w:p w14:paraId="6269E19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产品名称</w:t>
            </w:r>
          </w:p>
        </w:tc>
        <w:tc>
          <w:tcPr>
            <w:tcW w:type="pct" w:w="3709"/>
            <w:vAlign w:val="center"/>
          </w:tcPr>
          <w:p w14:paraId="76DC5EED">
            <w:pPr>
              <w:spacing w:line="300" w:lineRule="exact"/>
              <w:ind w:left="-2" w:leftChars="-1" w:right="36" w:rightChars="15"/>
              <w:rPr>
                <w:color w:themeColor="text1" w:val="00000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【信银理财安盈象固收稳利封闭式1132号理财产品</w:t>
            </w:r>
            <w:r>
              <w:rPr>
                <w:rFonts w:ascii="楷体_GB2312" w:cs="楷体_GB2312" w:eastAsia="楷体_GB2312" w:hint="eastAsia"/>
                <w:color w:val="000000"/>
                <w:sz w:val="20"/>
                <w:szCs w:val="20"/>
                <w:highlight w:val="none"/>
              </w:rPr>
              <w:t/>
            </w:r>
            <w:r>
              <w:rPr>
                <w:rFonts w:ascii="楷体_GB2312" w:cs="楷体_GB2312" w:eastAsia="楷体_GB2312"/>
                <w:color w:val="000000"/>
                <w:sz w:val="20"/>
                <w:szCs w:val="20"/>
                <w:highlight w:val="none"/>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7C2C672">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DD5E7C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理财产品登记编码</w:t>
            </w:r>
          </w:p>
        </w:tc>
        <w:tc>
          <w:tcPr>
            <w:tcW w:type="pct" w:w="3709"/>
            <w:vAlign w:val="center"/>
          </w:tcPr>
          <w:p w14:paraId="7BA9F0F2">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【Z7002626001274</w:t>
            </w:r>
            <w:r>
              <w:rPr>
                <w:rFonts w:ascii="楷体_GB2312" w:eastAsia="楷体_GB2312"/>
                <w:color w:themeColor="text1" w:val="000000"/>
                <w:sz w:val="20"/>
                <w:szCs w:val="20"/>
                <w:highlight w:val="none"/>
                <w14:textFill>
                  <w14:solidFill>
                    <w14:schemeClr w14:val="tx1"/>
                  </w14:solidFill>
                </w14:textFill>
              </w:rPr>
              <w:t>】</w:t>
            </w:r>
          </w:p>
        </w:tc>
      </w:tr>
      <w:tr w14:paraId="296AB82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37D70C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代码</w:t>
            </w:r>
          </w:p>
        </w:tc>
        <w:tc>
          <w:tcPr>
            <w:tcW w:type="pct" w:w="3709"/>
            <w:vAlign w:val="center"/>
          </w:tcPr>
          <w:p w14:paraId="66D91F5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【AF265271</w:t>
            </w:r>
            <w:r>
              <w:rPr>
                <w:rFonts w:ascii="楷体_GB2312" w:cs="楷体_GB2312" w:eastAsia="楷体_GB2312"/>
                <w:color w:themeColor="text1" w:val="000000"/>
                <w:sz w:val="20"/>
                <w:szCs w:val="20"/>
                <w:highlight w:val="none"/>
                <w14:textFill>
                  <w14:solidFill>
                    <w14:schemeClr w14:val="tx1"/>
                  </w14:solidFill>
                </w14:textFill>
              </w:rPr>
              <w:t>】</w:t>
            </w:r>
          </w:p>
        </w:tc>
      </w:tr>
      <w:tr w14:paraId="0BBA328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0894C4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产品类型</w:t>
            </w:r>
          </w:p>
        </w:tc>
        <w:tc>
          <w:tcPr>
            <w:tcW w:type="pct" w:w="3709"/>
            <w:vAlign w:val="center"/>
          </w:tcPr>
          <w:p w14:paraId="33D6B887">
            <w:pPr>
              <w:spacing w:line="300" w:lineRule="exact"/>
              <w:ind w:left="-2" w:leftChars="-1" w:right="36" w:rightChars="15"/>
              <w:rPr>
                <w:highlight w:val="none"/>
              </w:rPr>
            </w:pPr>
            <w:r>
              <w:rPr>
                <w:rFonts w:ascii="楷体_GB2312" w:cs="楷体_GB2312" w:eastAsia="楷体_GB2312" w:hint="eastAsia"/>
                <w:color w:themeColor="text1" w:val="000000"/>
                <w:sz w:val="20"/>
                <w:szCs w:val="20"/>
                <w:highlight w:val="none"/>
                <w14:textFill>
                  <w14:solidFill>
                    <w14:schemeClr w14:val="tx1"/>
                  </w14:solidFill>
                </w14:textFill>
              </w:rPr>
              <w:t>公募、【固定收益类】、封闭式</w:t>
            </w:r>
            <w:r>
              <w:rPr>
                <w:rFonts w:ascii="楷体_GB2312" w:cs="楷体_GB2312" w:eastAsia="楷体_GB2312"/>
                <w:color w:themeColor="text1" w:val="000000"/>
                <w:sz w:val="20"/>
                <w:szCs w:val="20"/>
                <w:highlight w:val="none"/>
                <w14:textFill>
                  <w14:solidFill>
                    <w14:schemeClr w14:val="tx1"/>
                  </w14:solidFill>
                </w14:textFill>
              </w:rPr>
              <w:t/>
            </w:r>
          </w:p>
        </w:tc>
      </w:tr>
      <w:tr w14:paraId="1D47804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23E74D3">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信银理财产品风险分级</w:t>
            </w:r>
          </w:p>
        </w:tc>
        <w:tc>
          <w:tcPr>
            <w:tcW w:type="pct" w:w="3709"/>
            <w:vAlign w:val="center"/>
          </w:tcPr>
          <w:p w14:paraId="7ED2EA72">
            <w:pPr>
              <w:spacing w:line="300" w:lineRule="exact"/>
              <w:ind w:left="-2" w:leftChars="-1" w:right="36" w:rightChars="15"/>
              <w:rPr>
                <w:rFonts w:ascii="楷体_GB2312" w:cs="楷体_GB2312" w:eastAsia="楷体_GB2312"/>
                <w:color w:val="000000"/>
                <w:sz w:val="20"/>
                <w:szCs w:val="20"/>
                <w:highlight w:val="none"/>
              </w:rPr>
            </w:pPr>
            <w:r>
              <w:rPr>
                <w:rFonts w:ascii="楷体_GB2312" w:cs="楷体_GB2312" w:eastAsia="楷体_GB2312"/>
                <w:sz w:val="20"/>
                <w:szCs w:val="20"/>
                <w:highlight w:val="none"/>
              </w:rPr>
              <w:t>PR</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2</w:t>
            </w:r>
            <w:r>
              <w:rPr>
                <w:rFonts w:ascii="楷体_GB2312" w:cs="楷体_GB2312" w:eastAsia="楷体_GB2312" w:hint="eastAsia"/>
                <w:sz w:val="20"/>
                <w:szCs w:val="20"/>
                <w:highlight w:val="none"/>
              </w:rPr>
              <w:t>】级（【稳健</w:t>
            </w:r>
            <w:r>
              <w:rPr>
                <w:rFonts w:ascii="楷体_GB2312" w:cs="楷体_GB2312" w:eastAsia="楷体_GB2312"/>
                <w:sz w:val="20"/>
                <w:szCs w:val="20"/>
                <w:highlight w:val="none"/>
              </w:rPr>
              <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型</w:t>
            </w:r>
            <w:r>
              <w:rPr>
                <w:rFonts w:ascii="楷体_GB2312" w:cs="楷体_GB2312" w:eastAsia="楷体_GB2312" w:hint="eastAsia"/>
                <w:sz w:val="20"/>
                <w:szCs w:val="20"/>
                <w:highlight w:val="none"/>
              </w:rPr>
              <w:t>）</w:t>
            </w:r>
            <w:r>
              <w:rPr>
                <w:rFonts w:ascii="楷体_GB2312" w:cs="楷体_GB2312" w:eastAsia="楷体_GB2312" w:hint="eastAsia"/>
                <w:color w:val="000000"/>
                <w:sz w:val="20"/>
                <w:szCs w:val="20"/>
                <w:highlight w:val="none"/>
              </w:rPr>
              <w:t>。本风险分级为信银理财自行评定，仅供参考。</w:t>
            </w:r>
          </w:p>
          <w:p w14:paraId="5142B071">
            <w:pPr>
              <w:spacing w:line="300" w:lineRule="exact"/>
              <w:ind w:left="-2" w:leftChars="-1" w:right="36" w:rightChars="15"/>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信银理财有权根据市场变化对产品风险等级进行调整，</w:t>
            </w:r>
            <w:r>
              <w:rPr>
                <w:rFonts w:ascii="楷体_GB2312" w:cs="楷体_GB2312" w:eastAsia="楷体_GB2312"/>
                <w:color w:themeColor="text1" w:val="000000"/>
                <w:sz w:val="20"/>
                <w:szCs w:val="20"/>
                <w:highlight w:val="none"/>
                <w14:textFill>
                  <w14:solidFill>
                    <w14:schemeClr w14:val="tx1"/>
                  </w14:solidFill>
                </w14:textFill>
              </w:rPr>
              <w:t>并最迟于调整生效前</w:t>
            </w: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】个工作日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本说明书约定的方式</w:t>
            </w:r>
            <w:r>
              <w:rPr>
                <w:rFonts w:ascii="楷体_GB2312" w:cs="楷体_GB2312" w:eastAsia="楷体_GB2312" w:hint="eastAsia"/>
                <w:color w:themeColor="text1" w:val="000000"/>
                <w:sz w:val="20"/>
                <w:szCs w:val="20"/>
                <w:highlight w:val="none"/>
                <w14:textFill>
                  <w14:solidFill>
                    <w14:schemeClr w14:val="tx1"/>
                  </w14:solidFill>
                </w14:textFill>
              </w:rPr>
              <w:t>向投资者发布相关信息</w:t>
            </w:r>
            <w:r>
              <w:rPr>
                <w:rFonts w:ascii="楷体_GB2312" w:cs="楷体_GB2312" w:eastAsia="楷体_GB2312"/>
                <w:color w:themeColor="text1" w:val="000000"/>
                <w:sz w:val="20"/>
                <w:szCs w:val="20"/>
                <w:highlight w:val="none"/>
                <w14:textFill>
                  <w14:solidFill>
                    <w14:schemeClr w14:val="tx1"/>
                  </w14:solidFill>
                </w14:textFill>
              </w:rPr>
              <w:t>。</w:t>
            </w:r>
          </w:p>
          <w:p w14:paraId="0C23C1AC">
            <w:pPr>
              <w:spacing w:line="300" w:lineRule="exact"/>
              <w:ind w:left="-2" w:leftChars="-1" w:right="36" w:rightChars="15"/>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产品通过代销机构销售的，代销机构将</w:t>
            </w:r>
            <w:r>
              <w:rPr>
                <w:rFonts w:ascii="楷体_GB2312" w:cs="楷体_GB2312" w:eastAsia="楷体_GB2312" w:hint="eastAsia"/>
                <w:color w:themeColor="text1" w:val="000000"/>
                <w:sz w:val="20"/>
                <w:szCs w:val="20"/>
                <w:highlight w:val="none"/>
                <w14:textFill>
                  <w14:solidFill>
                    <w14:schemeClr w14:val="tx1"/>
                  </w14:solidFill>
                </w14:textFill>
              </w:rPr>
              <w:t>对</w:t>
            </w:r>
            <w:r>
              <w:rPr>
                <w:rFonts w:ascii="楷体_GB2312" w:cs="楷体_GB2312" w:eastAsia="楷体_GB2312"/>
                <w:color w:themeColor="text1" w:val="000000"/>
                <w:sz w:val="20"/>
                <w:szCs w:val="20"/>
                <w:highlight w:val="none"/>
                <w14:textFill>
                  <w14:solidFill>
                    <w14:schemeClr w14:val="tx1"/>
                  </w14:solidFill>
                </w14:textFill>
              </w:rPr>
              <w:t>理财产品进行风险评级</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对投资者进行风险</w:t>
            </w:r>
            <w:r>
              <w:rPr>
                <w:rFonts w:ascii="楷体_GB2312" w:cs="楷体_GB2312" w:eastAsia="楷体_GB2312" w:hint="eastAsia"/>
                <w:color w:themeColor="text1" w:val="000000"/>
                <w:sz w:val="20"/>
                <w:szCs w:val="20"/>
                <w:highlight w:val="none"/>
                <w14:textFill>
                  <w14:solidFill>
                    <w14:schemeClr w14:val="tx1"/>
                  </w14:solidFill>
                </w14:textFill>
              </w:rPr>
              <w:t>承受能力</w:t>
            </w:r>
            <w:r>
              <w:rPr>
                <w:rFonts w:ascii="楷体_GB2312" w:cs="楷体_GB2312" w:eastAsia="楷体_GB2312"/>
                <w:color w:themeColor="text1" w:val="000000"/>
                <w:sz w:val="20"/>
                <w:szCs w:val="20"/>
                <w:highlight w:val="none"/>
                <w14:textFill>
                  <w14:solidFill>
                    <w14:schemeClr w14:val="tx1"/>
                  </w14:solidFill>
                </w14:textFill>
              </w:rPr>
              <w:t>测评</w:t>
            </w:r>
            <w:r>
              <w:rPr>
                <w:rFonts w:ascii="楷体_GB2312" w:cs="楷体_GB2312" w:eastAsia="楷体_GB2312" w:hint="eastAsia"/>
                <w:b w:val="0"/>
                <w:bCs w:val="0"/>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理财产品评级应当以代销机构最终披露的评级结果为准</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代销</w:t>
            </w:r>
            <w:r>
              <w:rPr>
                <w:rFonts w:ascii="楷体_GB2312" w:cs="楷体_GB2312" w:eastAsia="楷体_GB2312"/>
                <w:color w:themeColor="text1" w:val="000000"/>
                <w:sz w:val="20"/>
                <w:szCs w:val="20"/>
                <w:highlight w:val="none"/>
                <w14:textFill>
                  <w14:solidFill>
                    <w14:schemeClr w14:val="tx1"/>
                  </w14:solidFill>
                </w14:textFill>
              </w:rPr>
              <w:t>机构对</w:t>
            </w:r>
            <w:r>
              <w:rPr>
                <w:rFonts w:ascii="楷体_GB2312" w:cs="楷体_GB2312" w:eastAsia="楷体_GB2312" w:hint="eastAsia"/>
                <w:color w:themeColor="text1" w:val="000000"/>
                <w:sz w:val="20"/>
                <w:szCs w:val="20"/>
                <w:highlight w:val="none"/>
                <w14:textFill>
                  <w14:solidFill>
                    <w14:schemeClr w14:val="tx1"/>
                  </w14:solidFill>
                </w14:textFill>
              </w:rPr>
              <w:t>产品的</w:t>
            </w:r>
            <w:r>
              <w:rPr>
                <w:rFonts w:ascii="楷体_GB2312" w:cs="楷体_GB2312" w:eastAsia="楷体_GB2312"/>
                <w:color w:themeColor="text1" w:val="000000"/>
                <w:sz w:val="20"/>
                <w:szCs w:val="20"/>
                <w:highlight w:val="none"/>
                <w14:textFill>
                  <w14:solidFill>
                    <w14:schemeClr w14:val="tx1"/>
                  </w14:solidFill>
                </w14:textFill>
              </w:rPr>
              <w:t>风险</w:t>
            </w:r>
            <w:r>
              <w:rPr>
                <w:rFonts w:ascii="楷体_GB2312" w:cs="楷体_GB2312" w:eastAsia="楷体_GB2312" w:hint="eastAsia"/>
                <w:color w:themeColor="text1" w:val="000000"/>
                <w:sz w:val="20"/>
                <w:szCs w:val="20"/>
                <w:highlight w:val="none"/>
                <w14:textFill>
                  <w14:solidFill>
                    <w14:schemeClr w14:val="tx1"/>
                  </w14:solidFill>
                </w14:textFill>
              </w:rPr>
              <w:t>评级</w:t>
            </w:r>
            <w:r>
              <w:rPr>
                <w:rFonts w:ascii="楷体_GB2312" w:cs="楷体_GB2312" w:eastAsia="楷体_GB2312"/>
                <w:color w:themeColor="text1" w:val="000000"/>
                <w:sz w:val="20"/>
                <w:szCs w:val="20"/>
                <w:highlight w:val="none"/>
                <w14:textFill>
                  <w14:solidFill>
                    <w14:schemeClr w14:val="tx1"/>
                  </w14:solidFill>
                </w14:textFill>
              </w:rPr>
              <w:t>结果与信银理财不一致的，将采用对应较高风险</w:t>
            </w:r>
            <w:r>
              <w:rPr>
                <w:rFonts w:ascii="楷体_GB2312" w:cs="楷体_GB2312" w:eastAsia="楷体_GB2312" w:hint="eastAsia"/>
                <w:color w:themeColor="text1" w:val="000000"/>
                <w:sz w:val="20"/>
                <w:szCs w:val="20"/>
                <w:highlight w:val="none"/>
                <w14:textFill>
                  <w14:solidFill>
                    <w14:schemeClr w14:val="tx1"/>
                  </w14:solidFill>
                </w14:textFill>
              </w:rPr>
              <w:t>等级</w:t>
            </w:r>
            <w:r>
              <w:rPr>
                <w:rFonts w:ascii="楷体_GB2312" w:cs="楷体_GB2312" w:eastAsia="楷体_GB2312"/>
                <w:color w:themeColor="text1" w:val="000000"/>
                <w:sz w:val="20"/>
                <w:szCs w:val="20"/>
                <w:highlight w:val="none"/>
                <w14:textFill>
                  <w14:solidFill>
                    <w14:schemeClr w14:val="tx1"/>
                  </w14:solidFill>
                </w14:textFill>
              </w:rPr>
              <w:t>的评级结果。</w:t>
            </w:r>
          </w:p>
        </w:tc>
      </w:tr>
      <w:tr w14:paraId="4B7B4F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FAA7E0B">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发行对象</w:t>
            </w:r>
          </w:p>
        </w:tc>
        <w:tc>
          <w:tcPr>
            <w:tcW w:type="pct" w:w="3709"/>
            <w:vAlign w:val="center"/>
          </w:tcPr>
          <w:p w14:paraId="136D36A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【个人/机构】客户</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适合</w:t>
            </w:r>
            <w:r>
              <w:rPr>
                <w:rFonts w:ascii="楷体_GB2312" w:cs="Times New Roman" w:eastAsia="楷体_GB2312" w:hint="eastAsia"/>
                <w:sz w:val="20"/>
                <w:szCs w:val="20"/>
                <w:highlight w:val="none"/>
              </w:rPr>
              <w:t>【稳健型】、【平衡型】、【进取型】、【激进型】</w:t>
            </w:r>
            <w:r>
              <w:rPr>
                <w:rFonts w:ascii="楷体_GB2312" w:cs="Times New Roman" w:eastAsia="楷体_GB2312"/>
                <w:sz w:val="20"/>
                <w:szCs w:val="20"/>
                <w:highlight w:val="none"/>
              </w:rPr>
              <w:t/>
            </w:r>
            <w:r>
              <w:rPr>
                <w:rFonts w:ascii="楷体_GB2312" w:cs="楷体_GB2312" w:eastAsia="楷体_GB2312" w:hint="eastAsia"/>
                <w:color w:val="000000"/>
                <w:sz w:val="20"/>
                <w:szCs w:val="20"/>
                <w:highlight w:val="none"/>
              </w:rPr>
              <w:t>投资者。</w:t>
            </w:r>
            <w:r>
              <w:rPr>
                <w:rFonts w:ascii="楷体_GB2312" w:cs="楷体_GB2312" w:eastAsia="楷体_GB2312" w:hint="eastAsia"/>
                <w:sz w:val="20"/>
                <w:szCs w:val="20"/>
                <w:highlight w:val="none"/>
              </w:rPr>
              <w:t>代销机构对产品的发行对象与信银理财不一致的，以代销机构为准</w:t>
            </w:r>
            <w:r>
              <w:rPr>
                <w:rFonts w:ascii="楷体_GB2312" w:cs="楷体_GB2312" w:eastAsia="楷体_GB2312" w:hint="eastAsia"/>
                <w:b w:val="0"/>
                <w:bCs w:val="0"/>
                <w:sz w:val="20"/>
                <w:szCs w:val="20"/>
                <w:highlight w:val="none"/>
                <w:lang w:eastAsia="zh-CN"/>
              </w:rPr>
              <w:t>，</w:t>
            </w:r>
            <w:r>
              <w:rPr>
                <w:rFonts w:ascii="楷体_GB2312" w:cs="楷体_GB2312" w:eastAsia="楷体_GB2312" w:hint="eastAsia"/>
                <w:b w:val="0"/>
                <w:bCs w:val="0"/>
                <w:sz w:val="20"/>
                <w:szCs w:val="20"/>
                <w:highlight w:val="none"/>
                <w:lang w:eastAsia="zh-CN" w:val="en-US"/>
              </w:rPr>
              <w:t>但不得超出上述发行对象范围</w:t>
            </w:r>
            <w:r>
              <w:rPr>
                <w:rFonts w:ascii="楷体_GB2312" w:cs="楷体_GB2312" w:eastAsia="楷体_GB2312" w:hint="eastAsia"/>
                <w:b w:val="0"/>
                <w:bCs w:val="0"/>
                <w:sz w:val="20"/>
                <w:szCs w:val="20"/>
                <w:highlight w:val="none"/>
              </w:rPr>
              <w:t>。</w:t>
            </w:r>
          </w:p>
        </w:tc>
      </w:tr>
      <w:tr w14:paraId="2F49AD0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26F8B53">
            <w:pPr>
              <w:spacing w:line="300" w:lineRule="exact"/>
              <w:ind w:left="-2" w:leftChars="-1" w:right="36" w:rightChars="15"/>
              <w:rPr>
                <w:rFonts w:ascii="Times New Roman"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理财本金</w:t>
            </w:r>
          </w:p>
        </w:tc>
        <w:tc>
          <w:tcPr>
            <w:tcW w:type="pct" w:w="3709"/>
            <w:vAlign w:val="center"/>
          </w:tcPr>
          <w:p w14:paraId="7B38D788">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本理财产品不保证本金及理财收益，其理财收益随单位净值浮动。详细内容见以下“七</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理财资金分配</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77CA311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AF1123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w:t>
            </w:r>
          </w:p>
        </w:tc>
        <w:tc>
          <w:tcPr>
            <w:tcW w:type="pct" w:w="3709"/>
            <w:vAlign w:val="center"/>
          </w:tcPr>
          <w:p w14:paraId="74EAD760">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指</w:t>
            </w:r>
            <w:r>
              <w:rPr>
                <w:rFonts w:ascii="楷体_GB2312" w:cs="楷体_GB2312" w:eastAsia="楷体_GB2312"/>
                <w:color w:themeColor="text1" w:val="000000"/>
                <w:sz w:val="20"/>
                <w:szCs w:val="20"/>
                <w:highlight w:val="none"/>
                <w14:textFill>
                  <w14:solidFill>
                    <w14:schemeClr w14:val="tx1"/>
                  </w14:solidFill>
                </w14:textFill>
              </w:rPr>
              <w:t>管理人依据理财产品</w:t>
            </w:r>
            <w:r>
              <w:rPr>
                <w:rFonts w:ascii="楷体_GB2312" w:cs="楷体_GB2312" w:eastAsia="楷体_GB2312" w:hint="eastAsia"/>
                <w:color w:themeColor="text1" w:val="000000"/>
                <w:sz w:val="20"/>
                <w:szCs w:val="20"/>
                <w:highlight w:val="none"/>
                <w14:textFill>
                  <w14:solidFill>
                    <w14:schemeClr w14:val="tx1"/>
                  </w14:solidFill>
                </w14:textFill>
              </w:rPr>
              <w:t>合同</w:t>
            </w:r>
            <w:r>
              <w:rPr>
                <w:rFonts w:ascii="楷体_GB2312" w:cs="楷体_GB2312" w:eastAsia="楷体_GB2312"/>
                <w:color w:themeColor="text1" w:val="000000"/>
                <w:sz w:val="20"/>
                <w:szCs w:val="20"/>
                <w:highlight w:val="none"/>
                <w14:textFill>
                  <w14:solidFill>
                    <w14:schemeClr w14:val="tx1"/>
                  </w14:solidFill>
                </w14:textFill>
              </w:rPr>
              <w:t>向投资者发行的</w:t>
            </w:r>
            <w:r>
              <w:rPr>
                <w:rFonts w:ascii="楷体_GB2312" w:cs="楷体_GB2312" w:eastAsia="楷体_GB2312" w:hint="eastAsia"/>
                <w:color w:themeColor="text1" w:val="000000"/>
                <w:sz w:val="20"/>
                <w:szCs w:val="20"/>
                <w:highlight w:val="none"/>
                <w14:textFill>
                  <w14:solidFill>
                    <w14:schemeClr w14:val="tx1"/>
                  </w14:solidFill>
                </w14:textFill>
              </w:rPr>
              <w:t>理财产品</w:t>
            </w:r>
            <w:r>
              <w:rPr>
                <w:rFonts w:ascii="楷体_GB2312" w:cs="楷体_GB2312" w:eastAsia="楷体_GB2312"/>
                <w:color w:themeColor="text1" w:val="000000"/>
                <w:sz w:val="20"/>
                <w:szCs w:val="20"/>
                <w:highlight w:val="none"/>
                <w14:textFill>
                  <w14:solidFill>
                    <w14:schemeClr w14:val="tx1"/>
                  </w14:solidFill>
                </w14:textFill>
              </w:rPr>
              <w:t>受益凭证。理财产品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持有人基于其所持有的理财产品份额享有理财产品利益、承担理财产品资产风险。</w:t>
            </w:r>
          </w:p>
        </w:tc>
      </w:tr>
      <w:tr w14:paraId="673D4FF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2C0F9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产品份额面值</w:t>
            </w:r>
          </w:p>
        </w:tc>
        <w:tc>
          <w:tcPr>
            <w:tcW w:type="pct" w:w="3709"/>
            <w:vAlign w:val="center"/>
          </w:tcPr>
          <w:p w14:paraId="547247B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产品份额面值为</w:t>
            </w:r>
            <w:r>
              <w:rPr>
                <w:rFonts w:ascii="楷体_GB2312" w:cs="楷体_GB2312" w:eastAsia="楷体_GB2312" w:hint="eastAsia"/>
                <w:color w:themeColor="text1" w:val="000000"/>
                <w:sz w:val="20"/>
                <w:szCs w:val="20"/>
                <w:highlight w:val="none"/>
                <w14:textFill>
                  <w14:solidFill>
                    <w14:schemeClr w14:val="tx1"/>
                  </w14:solidFill>
                </w14:textFill>
              </w:rPr>
              <w:t>【人民币</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1元。</w:t>
            </w:r>
          </w:p>
        </w:tc>
      </w:tr>
      <w:tr w14:paraId="5B2F8B1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41C447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产品份额类型</w:t>
            </w:r>
          </w:p>
        </w:tc>
        <w:tc>
          <w:tcPr>
            <w:tcW w:type="pct" w:w="3709"/>
            <w:vAlign w:val="center"/>
          </w:tcPr>
          <w:p w14:paraId="0F8D0FF3">
            <w:pPr>
              <w:spacing w:line="300" w:lineRule="exact"/>
              <w:ind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【A】类份额：份额代码【AF265271A】</w:t>
              <w:br/>
              <w:t>【B】类份额：份额代码【AF265271B】</w:t>
              <w:br/>
              <w:t>【C】类份额：份额代码【AF265271C】</w:t>
              <w:br/>
              <w:t>【D】类份额：份额代码【AF265271D】</w:t>
              <w:br/>
              <w:t>【G】类份额：份额代码【AF265271G】</w:t>
              <w:br/>
              <w:t>【S】类份额：份额代码【AF265271S】</w:t>
            </w:r>
            <w:r>
              <w:rPr>
                <w:rFonts w:ascii="楷体_GB2312" w:cs="楷体_GB2312" w:eastAsia="楷体_GB2312"/>
                <w:sz w:val="20"/>
                <w:szCs w:val="20"/>
                <w:highlight w:val="none"/>
              </w:rPr>
              <w:t/>
            </w:r>
          </w:p>
          <w:p w14:paraId="585FCACA">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p>
          <w:p w14:paraId="66B5979E">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后续理财产品份额类型如有新增、减少和变更，信银理财将按照本说明书约定的方式告知投资者。</w:t>
            </w:r>
          </w:p>
        </w:tc>
      </w:tr>
      <w:tr w14:paraId="25B59E8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89387CE">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工作日</w:t>
            </w:r>
          </w:p>
        </w:tc>
        <w:tc>
          <w:tcPr>
            <w:tcW w:type="pct" w:w="3709"/>
            <w:vAlign w:val="center"/>
          </w:tcPr>
          <w:p w14:paraId="078AC594">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指除中国法定节假日和公休日外的其他日。</w:t>
            </w:r>
          </w:p>
        </w:tc>
      </w:tr>
      <w:tr w14:paraId="3CEC84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F14243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募集期</w:t>
            </w:r>
          </w:p>
        </w:tc>
        <w:tc>
          <w:tcPr>
            <w:tcW w:type="pct" w:w="3709"/>
            <w:vAlign w:val="center"/>
          </w:tcPr>
          <w:p w14:paraId="33B6B195">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【2026】年【8】月【4】日至【2026】年【8】月【10】日</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有权提前结束募集期并提前成立产品或者延长募集期。</w:t>
            </w:r>
          </w:p>
          <w:p w14:paraId="52A3ED1F">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信银</w:t>
            </w:r>
            <w:r>
              <w:rPr>
                <w:rFonts w:ascii="Times New Roman" w:cs="Times New Roman" w:eastAsia="楷体_GB2312" w:hAnsi="Times New Roman"/>
                <w:color w:themeColor="text1" w:val="000000"/>
                <w:sz w:val="20"/>
                <w:szCs w:val="20"/>
                <w:highlight w:val="none"/>
                <w14:textFill>
                  <w14:solidFill>
                    <w14:schemeClr w14:val="tx1"/>
                  </w14:solidFill>
                </w14:textFill>
              </w:rPr>
              <w:t>理财直销渠道购买</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产品</w:t>
            </w:r>
            <w:r>
              <w:rPr>
                <w:rFonts w:ascii="Times New Roman" w:cs="Times New Roman" w:eastAsia="楷体_GB2312" w:hAnsi="Times New Roman"/>
                <w:color w:themeColor="text1" w:val="000000"/>
                <w:sz w:val="20"/>
                <w:szCs w:val="20"/>
                <w:highlight w:val="none"/>
                <w14:textFill>
                  <w14:solidFill>
                    <w14:schemeClr w14:val="tx1"/>
                  </w14:solidFill>
                </w14:textFill>
              </w:rPr>
              <w:t>的，募集期内可以撤单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。撤单</w:t>
            </w:r>
            <w:r>
              <w:rPr>
                <w:rFonts w:ascii="Times New Roman" w:cs="Times New Roman" w:eastAsia="楷体_GB2312" w:hAnsi="Times New Roman"/>
                <w:color w:themeColor="text1" w:val="000000"/>
                <w:sz w:val="20"/>
                <w:szCs w:val="20"/>
                <w:highlight w:val="none"/>
                <w14:textFill>
                  <w14:solidFill>
                    <w14:schemeClr w14:val="tx1"/>
                  </w14:solidFill>
                </w14:textFill>
              </w:rPr>
              <w:t>具体规则</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w:t>
            </w:r>
            <w:r>
              <w:rPr>
                <w:rFonts w:ascii="Times New Roman" w:cs="Times New Roman" w:eastAsia="楷体_GB2312" w:hAnsi="Times New Roman"/>
                <w:color w:themeColor="text1" w:val="000000"/>
                <w:sz w:val="20"/>
                <w:szCs w:val="20"/>
                <w:highlight w:val="none"/>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说明</w:t>
            </w:r>
            <w:r>
              <w:rPr>
                <w:rFonts w:ascii="Times New Roman" w:cs="Times New Roman" w:eastAsia="楷体_GB2312" w:hAnsi="Times New Roman"/>
                <w:color w:themeColor="text1" w:val="000000"/>
                <w:sz w:val="20"/>
                <w:szCs w:val="20"/>
                <w:highlight w:val="none"/>
                <w14:textFill>
                  <w14:solidFill>
                    <w14:schemeClr w14:val="tx1"/>
                  </w14:solidFill>
                </w14:textFill>
              </w:rPr>
              <w:t>或公布的操作方式为准。</w:t>
            </w:r>
          </w:p>
          <w:p w14:paraId="7908389D">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color w:themeColor="text1" w:val="000000"/>
                <w:sz w:val="20"/>
                <w:szCs w:val="20"/>
                <w:highlight w:val="none"/>
                <w14:textFill>
                  <w14:solidFill>
                    <w14:schemeClr w14:val="tx1"/>
                  </w14:solidFill>
                </w14:textFill>
              </w:rPr>
              <w:t>代销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color w:themeColor="text1" w:val="000000"/>
                <w:sz w:val="20"/>
                <w:szCs w:val="20"/>
                <w:highlight w:val="none"/>
                <w14:textFill>
                  <w14:solidFill>
                    <w14:schemeClr w14:val="tx1"/>
                  </w14:solidFill>
                </w14:textFill>
              </w:rPr>
              <w:t>购买理财产品的，</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募集期</w:t>
            </w:r>
            <w:r>
              <w:rPr>
                <w:rFonts w:ascii="Times New Roman" w:cs="Times New Roman" w:eastAsia="楷体_GB2312" w:hAnsi="Times New Roman"/>
                <w:color w:themeColor="text1" w:val="000000"/>
                <w:sz w:val="20"/>
                <w:szCs w:val="20"/>
                <w:highlight w:val="none"/>
                <w14:textFill>
                  <w14:solidFill>
                    <w14:schemeClr w14:val="tx1"/>
                  </w14:solidFill>
                </w14:textFill>
              </w:rPr>
              <w:t>内是否可以撤单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以及</w:t>
            </w:r>
            <w:r>
              <w:rPr>
                <w:rFonts w:ascii="Times New Roman" w:cs="Times New Roman" w:eastAsia="楷体_GB2312" w:hAnsi="Times New Roman"/>
                <w:color w:themeColor="text1" w:val="000000"/>
                <w:sz w:val="20"/>
                <w:szCs w:val="20"/>
                <w:highlight w:val="none"/>
                <w14:textFill>
                  <w14:solidFill>
                    <w14:schemeClr w14:val="tx1"/>
                  </w14:solidFill>
                </w14:textFill>
              </w:rPr>
              <w:t>撤单规则，以代销机构说明或公布的操作方式为准。</w:t>
            </w:r>
          </w:p>
          <w:p w14:paraId="624B8A1F">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“可以</w:t>
            </w:r>
            <w:r>
              <w:rPr>
                <w:rFonts w:ascii="Times New Roman" w:cs="Times New Roman" w:eastAsia="楷体_GB2312" w:hAnsi="Times New Roman"/>
                <w:color w:themeColor="text1" w:val="000000"/>
                <w:sz w:val="20"/>
                <w:szCs w:val="20"/>
                <w:highlight w:val="none"/>
                <w14:textFill>
                  <w14:solidFill>
                    <w14:schemeClr w14:val="tx1"/>
                  </w14:solidFill>
                </w14:textFill>
              </w:rPr>
              <w:t>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”则</w:t>
            </w:r>
            <w:r>
              <w:rPr>
                <w:rFonts w:ascii="Times New Roman" w:cs="Times New Roman" w:eastAsia="楷体_GB2312" w:hAnsi="Times New Roman"/>
                <w:color w:themeColor="text1" w:val="000000"/>
                <w:sz w:val="20"/>
                <w:szCs w:val="20"/>
                <w:highlight w:val="none"/>
                <w14:textFill>
                  <w14:solidFill>
                    <w14:schemeClr w14:val="tx1"/>
                  </w14:solidFill>
                </w14:textFill>
              </w:rPr>
              <w:t>意味着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投资者有权撤销其已向信银理财或代销机构提交的认购申请。</w:t>
            </w:r>
          </w:p>
          <w:p w14:paraId="2B55BFA6">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募集期内投资者认购款项在管理人募集账户不产生利息，是否计付利息以及利息计付规则以销售机构为准。</w:t>
            </w:r>
          </w:p>
        </w:tc>
      </w:tr>
      <w:tr w14:paraId="3AB6E04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D3BBF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w:t>
            </w:r>
          </w:p>
        </w:tc>
        <w:tc>
          <w:tcPr>
            <w:tcW w:type="pct" w:w="3709"/>
            <w:vAlign w:val="center"/>
          </w:tcPr>
          <w:p w14:paraId="2D30CB6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int="eastAsia"/>
                <w:color w:themeColor="text1" w:val="000000"/>
                <w:sz w:val="20"/>
                <w:szCs w:val="20"/>
                <w:highlight w:val="none"/>
                <w14:textFill>
                  <w14:solidFill>
                    <w14:schemeClr w14:val="tx1"/>
                  </w14:solidFill>
                </w14:textFill>
              </w:rPr>
              <w:t>【2026】年【8】月【11】日</w:t>
            </w:r>
            <w:r>
              <w:rPr>
                <w:rFonts w:ascii="Times New Roman" w:cs="Times New Roman" w:eastAsia="楷体_GB2312"/>
                <w:color w:themeColor="text1" w:val="000000"/>
                <w:sz w:val="20"/>
                <w:szCs w:val="20"/>
                <w:highlight w:val="none"/>
                <w14:textFill>
                  <w14:solidFill>
                    <w14:schemeClr w14:val="tx1"/>
                  </w14:solidFill>
                </w14:textFill>
              </w:rPr>
              <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（如</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调整募集期，则运作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日将相应调整。）</w:t>
            </w:r>
          </w:p>
        </w:tc>
      </w:tr>
      <w:tr w14:paraId="468685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CE1C3EA">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产品建仓期</w:t>
            </w:r>
          </w:p>
        </w:tc>
        <w:tc>
          <w:tcPr>
            <w:tcW w:type="pct" w:w="3709"/>
            <w:vAlign w:val="center"/>
          </w:tcPr>
          <w:p w14:paraId="15383D9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【2026】年【8】月【11】日</w:t>
            </w:r>
            <w:r>
              <w:rPr>
                <w:rFonts w:ascii="楷体_GB2312" w:cs="楷体_GB2312" w:eastAsia="楷体_GB2312" w:hint="eastAsia"/>
                <w:color w:themeColor="text1" w:val="000000"/>
                <w:sz w:val="20"/>
                <w:szCs w:val="20"/>
                <w:highlight w:val="none"/>
                <w14:textFill>
                  <w14:solidFill>
                    <w14:schemeClr w14:val="tx1"/>
                  </w14:solidFill>
                </w14:textFill>
              </w:rPr>
              <w:t>至【2026】年【11】月【10】日</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676A10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649C0C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到期日</w:t>
            </w:r>
          </w:p>
        </w:tc>
        <w:tc>
          <w:tcPr>
            <w:tcW w:type="pct" w:w="3709"/>
            <w:vAlign w:val="center"/>
          </w:tcPr>
          <w:p w14:paraId="161A27DB">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【2027】年【2】月【17】日</w:t>
            </w:r>
            <w:r>
              <w:rPr>
                <w:rFonts w:ascii="楷体_GB2312" w:cs="楷体_GB2312" w:eastAsia="楷体_GB2312" w:hint="eastAsia"/>
                <w:color w:themeColor="text1" w:val="000000"/>
                <w:sz w:val="20"/>
                <w:szCs w:val="20"/>
                <w:highlight w:val="none"/>
                <w14:textFill>
                  <w14:solidFill>
                    <w14:schemeClr w14:val="tx1"/>
                  </w14:solidFill>
                </w14:textFill>
              </w:rPr>
              <w:t>（受运作</w:t>
            </w:r>
            <w:r>
              <w:rPr>
                <w:rFonts w:ascii="楷体_GB2312" w:cs="楷体_GB2312" w:eastAsia="楷体_GB2312"/>
                <w:color w:themeColor="text1" w:val="000000"/>
                <w:sz w:val="20"/>
                <w:szCs w:val="20"/>
                <w:highlight w:val="none"/>
                <w14:textFill>
                  <w14:solidFill>
                    <w14:schemeClr w14:val="tx1"/>
                  </w14:solidFill>
                </w14:textFill>
              </w:rPr>
              <w:t>起始</w:t>
            </w:r>
            <w:r>
              <w:rPr>
                <w:rFonts w:ascii="楷体_GB2312" w:cs="楷体_GB2312" w:eastAsia="楷体_GB2312" w:hint="eastAsia"/>
                <w:color w:themeColor="text1" w:val="000000"/>
                <w:sz w:val="20"/>
                <w:szCs w:val="20"/>
                <w:highlight w:val="none"/>
                <w14:textFill>
                  <w14:solidFill>
                    <w14:schemeClr w14:val="tx1"/>
                  </w14:solidFill>
                </w14:textFill>
              </w:rPr>
              <w:t>日、提前终止条款等约束，遇非工作日则顺延至下一工作日）</w:t>
            </w:r>
          </w:p>
        </w:tc>
      </w:tr>
      <w:tr w14:paraId="441155B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2DC643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清算期</w:t>
            </w:r>
          </w:p>
        </w:tc>
        <w:tc>
          <w:tcPr>
            <w:tcW w:type="pct" w:w="3709"/>
            <w:vAlign w:val="center"/>
          </w:tcPr>
          <w:p w14:paraId="12CF1F5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到期日（或理财产品实际终止日）至投资者持有</w:t>
            </w:r>
            <w:r>
              <w:rPr>
                <w:rFonts w:ascii="楷体_GB2312" w:cs="楷体_GB2312" w:eastAsia="楷体_GB2312"/>
                <w:color w:themeColor="text1" w:val="000000"/>
                <w:sz w:val="20"/>
                <w:szCs w:val="20"/>
                <w:highlight w:val="none"/>
                <w14:textFill>
                  <w14:solidFill>
                    <w14:schemeClr w14:val="tx1"/>
                  </w14:solidFill>
                </w14:textFill>
              </w:rPr>
              <w:t>的本</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产品份额清零之日</w:t>
            </w:r>
            <w:r>
              <w:rPr>
                <w:rFonts w:ascii="楷体_GB2312" w:cs="楷体_GB2312" w:eastAsia="楷体_GB2312" w:hint="eastAsia"/>
                <w:color w:themeColor="text1" w:val="000000"/>
                <w:sz w:val="20"/>
                <w:szCs w:val="20"/>
                <w:highlight w:val="none"/>
                <w14:textFill>
                  <w14:solidFill>
                    <w14:schemeClr w14:val="tx1"/>
                  </w14:solidFill>
                </w14:textFill>
              </w:rPr>
              <w:t>为清算期。</w:t>
            </w:r>
          </w:p>
        </w:tc>
      </w:tr>
      <w:tr w14:paraId="61BAC6B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41DA36E">
            <w:pPr>
              <w:spacing w:line="300" w:lineRule="exact"/>
              <w:ind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color w:themeColor="text1" w:val="000000"/>
                <w:sz w:val="20"/>
                <w:szCs w:val="20"/>
                <w:highlight w:val="none"/>
                <w14:textFill>
                  <w14:solidFill>
                    <w14:schemeClr w14:val="tx1"/>
                  </w14:solidFill>
                </w14:textFill>
              </w:rPr>
              <w:t>业绩</w:t>
            </w:r>
            <w:r>
              <w:rPr>
                <w:rFonts w:ascii="Times New Roman" w:cs="楷体_GB2312" w:eastAsia="楷体_GB2312" w:hint="eastAsia"/>
                <w:color w:themeColor="text1" w:val="000000"/>
                <w:sz w:val="20"/>
                <w:szCs w:val="20"/>
                <w:highlight w:val="none"/>
                <w14:textFill>
                  <w14:solidFill>
                    <w14:schemeClr w14:val="tx1"/>
                  </w14:solidFill>
                </w14:textFill>
              </w:rPr>
              <w:t>比较</w:t>
            </w:r>
            <w:r>
              <w:rPr>
                <w:rFonts w:ascii="Times New Roman" w:cs="楷体_GB2312" w:eastAsia="楷体_GB2312"/>
                <w:color w:themeColor="text1" w:val="000000"/>
                <w:sz w:val="20"/>
                <w:szCs w:val="20"/>
                <w:highlight w:val="none"/>
                <w14:textFill>
                  <w14:solidFill>
                    <w14:schemeClr w14:val="tx1"/>
                  </w14:solidFill>
                </w14:textFill>
              </w:rPr>
              <w:t>基准</w:t>
            </w:r>
          </w:p>
        </w:tc>
        <w:tc>
          <w:tcPr>
            <w:tcW w:type="pct" w:w="3709"/>
            <w:vAlign w:val="center"/>
          </w:tcPr>
          <w:p w14:paraId="2F968686">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【A】类份额：【2.00%】</w:t>
              <w:br/>
              <w:t>【B】类份额：【2.00%】</w:t>
              <w:br/>
              <w:t>【C】类份额：【2.10%】</w:t>
              <w:br/>
              <w:t>【D】类份额：【2.05%】</w:t>
              <w:br/>
              <w:t>【G】类份额：【2.05%】</w:t>
              <w:br/>
              <w:t>【S】类份额：【2.05%】</w:t>
            </w:r>
            <w:r>
              <w:rPr>
                <w:rFonts w:ascii="楷体_GB2312" w:cs="楷体_GB2312" w:eastAsia="楷体_GB2312"/>
                <w:sz w:val="20"/>
                <w:szCs w:val="20"/>
                <w:highlight w:val="none"/>
              </w:rPr>
              <w:t/>
            </w:r>
          </w:p>
          <w:p w14:paraId="121DD7AE">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p>
          <w:p w14:paraId="0618A9FB">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b/>
                <w:bCs/>
                <w:sz w:val="20"/>
                <w:szCs w:val="20"/>
                <w:highlight w:val="none"/>
              </w:rPr>
              <w:t>业绩</w:t>
            </w:r>
            <w:r>
              <w:rPr>
                <w:rFonts w:ascii="楷体_GB2312" w:cs="楷体_GB2312" w:eastAsia="楷体_GB2312"/>
                <w:b/>
                <w:bCs/>
                <w:sz w:val="20"/>
                <w:szCs w:val="20"/>
                <w:highlight w:val="none"/>
              </w:rPr>
              <w:t>比较基准测算依据：</w:t>
            </w:r>
            <w:r>
              <w:rPr>
                <w:rFonts w:ascii="楷体_GB2312" w:cs="楷体_GB2312" w:eastAsia="楷体_GB2312" w:hint="eastAsia"/>
                <w:b/>
                <w:bCs/>
                <w:sz w:val="20"/>
                <w:szCs w:val="20"/>
                <w:highlight w:val="none"/>
              </w:rPr>
              <w:t>【</w:t>
            </w:r>
            <w:r>
              <w:rPr>
                <w:rFonts w:ascii="楷体_GB2312" w:cs="楷体_GB2312" w:eastAsia="楷体_GB2312"/>
                <w:b/>
                <w:bCs/>
                <w:sz w:val="20"/>
                <w:szCs w:val="20"/>
                <w:highlight w:val="none"/>
              </w:rPr>
              <w:t>本理财产品为固定收益类产品，主要投向为同业存单、短融、中票、PPN、公司债、资产支持证券等标准化债权类资产以及非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hint="eastAsia"/>
                <w:b/>
                <w:bCs/>
                <w:sz w:val="20"/>
                <w:szCs w:val="20"/>
                <w:highlight w:val="none"/>
              </w:rPr>
              <w:t>】</w:t>
            </w:r>
          </w:p>
          <w:p w14:paraId="54138B23">
            <w:pPr>
              <w:spacing w:line="300" w:lineRule="exact"/>
              <w:ind w:left="-2" w:leftChars="-1" w:right="36" w:rightChars="15"/>
              <w:jc w:val="both"/>
              <w:rPr>
                <w:rFonts w:ascii="黑体" w:cs="楷体_GB2312" w:eastAsia="黑体" w:hAnsi="黑体"/>
                <w:b/>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本产品收取的销售服务费可能因销售</w:t>
            </w:r>
            <w:r>
              <w:rPr>
                <w:rFonts w:ascii="楷体_GB2312" w:cs="楷体_GB2312" w:eastAsia="楷体_GB2312"/>
                <w:b/>
                <w:bCs/>
                <w:color w:themeColor="text1" w:val="000000"/>
                <w:sz w:val="20"/>
                <w:szCs w:val="20"/>
                <w:highlight w:val="none"/>
                <w14:textFill>
                  <w14:solidFill>
                    <w14:schemeClr w14:val="tx1"/>
                  </w14:solidFill>
                </w14:textFill>
              </w:rPr>
              <w:t>机构</w:t>
            </w:r>
            <w:r>
              <w:rPr>
                <w:rFonts w:ascii="楷体_GB2312" w:cs="楷体_GB2312" w:eastAsia="楷体_GB2312" w:hint="eastAsia"/>
                <w:b/>
                <w:bCs/>
                <w:color w:themeColor="text1" w:val="000000"/>
                <w:sz w:val="20"/>
                <w:szCs w:val="20"/>
                <w:highlight w:val="none"/>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A5ED974">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交易时间</w:t>
            </w:r>
          </w:p>
        </w:tc>
        <w:tc>
          <w:tcPr>
            <w:tcW w:type="pct" w:w="3709"/>
            <w:vAlign w:val="center"/>
          </w:tcPr>
          <w:p w14:paraId="447AC58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本产品交易时间为</w:t>
            </w:r>
            <w:r>
              <w:rPr>
                <w:rFonts w:ascii="楷体_GB2312" w:cs="楷体_GB2312" w:eastAsia="楷体_GB2312"/>
                <w:color w:themeColor="text1" w:val="000000"/>
                <w:sz w:val="20"/>
                <w:szCs w:val="20"/>
                <w:highlight w:val="none"/>
                <w14:textFill>
                  <w14:solidFill>
                    <w14:schemeClr w14:val="tx1"/>
                  </w14:solidFill>
                </w14:textFill>
              </w:rPr>
              <w:t>【8：30-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投资者应当根据产品说明书约定在交易时间内进行认购交易操作，</w:t>
            </w:r>
            <w:r>
              <w:rPr>
                <w:rFonts w:ascii="楷体_GB2312" w:cs="楷体_GB2312" w:eastAsia="楷体_GB2312"/>
                <w:color w:themeColor="text1" w:val="000000"/>
                <w:sz w:val="20"/>
                <w:szCs w:val="20"/>
                <w:highlight w:val="none"/>
                <w14:textFill>
                  <w14:solidFill>
                    <w14:schemeClr w14:val="tx1"/>
                  </w14:solidFill>
                </w14:textFill>
              </w:rPr>
              <w:t>信银理财有权变更交易时间</w:t>
            </w:r>
            <w:r>
              <w:rPr>
                <w:rFonts w:ascii="楷体_GB2312" w:cs="楷体_GB2312" w:eastAsia="楷体_GB2312" w:hint="eastAsia"/>
                <w:color w:themeColor="text1" w:val="000000"/>
                <w:sz w:val="20"/>
                <w:szCs w:val="20"/>
                <w:highlight w:val="none"/>
                <w14:textFill>
                  <w14:solidFill>
                    <w14:schemeClr w14:val="tx1"/>
                  </w14:solidFill>
                </w14:textFill>
              </w:rPr>
              <w:t>，请投资者关注管理人及销售机构相关信息披露。</w:t>
            </w:r>
            <w:r>
              <w:rPr>
                <w:rFonts w:ascii="楷体_GB2312" w:cs="楷体_GB2312" w:eastAsia="楷体_GB2312"/>
                <w:color w:themeColor="text1" w:val="000000"/>
                <w:sz w:val="20"/>
                <w:szCs w:val="20"/>
                <w:highlight w:val="none"/>
                <w14:textFill>
                  <w14:solidFill>
                    <w14:schemeClr w14:val="tx1"/>
                  </w14:solidFill>
                </w14:textFill>
              </w:rPr>
              <w:t>如果投资者通过信银理财</w:t>
            </w:r>
            <w:r>
              <w:rPr>
                <w:rFonts w:ascii="楷体_GB2312" w:cs="楷体_GB2312" w:eastAsia="楷体_GB2312" w:hint="eastAsia"/>
                <w:color w:themeColor="text1" w:val="000000"/>
                <w:sz w:val="20"/>
                <w:szCs w:val="20"/>
                <w:highlight w:val="none"/>
                <w14:textFill>
                  <w14:solidFill>
                    <w14:schemeClr w14:val="tx1"/>
                  </w14:solidFill>
                </w14:textFill>
              </w:rPr>
              <w:t>直销渠道</w:t>
            </w:r>
            <w:r>
              <w:rPr>
                <w:rFonts w:ascii="楷体_GB2312" w:cs="楷体_GB2312" w:eastAsia="楷体_GB2312"/>
                <w:color w:themeColor="text1" w:val="000000"/>
                <w:sz w:val="20"/>
                <w:szCs w:val="20"/>
                <w:highlight w:val="none"/>
                <w14:textFill>
                  <w14:solidFill>
                    <w14:schemeClr w14:val="tx1"/>
                  </w14:solidFill>
                </w14:textFill>
              </w:rPr>
              <w:t>购买的，则交易时间以</w:t>
            </w:r>
            <w:r>
              <w:rPr>
                <w:rFonts w:ascii="楷体_GB2312" w:cs="楷体_GB2312" w:eastAsia="楷体_GB2312" w:hint="eastAsia"/>
                <w:color w:themeColor="text1" w:val="000000"/>
                <w:sz w:val="20"/>
                <w:szCs w:val="20"/>
                <w:highlight w:val="none"/>
                <w14:textFill>
                  <w14:solidFill>
                    <w14:schemeClr w14:val="tx1"/>
                  </w14:solidFill>
                </w14:textFill>
              </w:rPr>
              <w:t>信银理财直销渠道</w:t>
            </w:r>
            <w:r>
              <w:rPr>
                <w:rFonts w:ascii="楷体_GB2312" w:cs="楷体_GB2312" w:eastAsia="楷体_GB2312"/>
                <w:color w:themeColor="text1" w:val="000000"/>
                <w:sz w:val="20"/>
                <w:szCs w:val="20"/>
                <w:highlight w:val="none"/>
                <w14:textFill>
                  <w14:solidFill>
                    <w14:schemeClr w14:val="tx1"/>
                  </w14:solidFill>
                </w14:textFill>
              </w:rPr>
              <w:t>的营业时间和公布的交易时间为准，且必须在【8：30-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投资者通过</w:t>
            </w:r>
            <w:r>
              <w:rPr>
                <w:rFonts w:ascii="楷体_GB2312" w:cs="楷体_GB2312" w:eastAsia="楷体_GB2312"/>
                <w:color w:themeColor="text1" w:val="000000"/>
                <w:sz w:val="20"/>
                <w:szCs w:val="20"/>
                <w:highlight w:val="none"/>
                <w14:textFill>
                  <w14:solidFill>
                    <w14:schemeClr w14:val="tx1"/>
                  </w14:solidFill>
                </w14:textFill>
              </w:rPr>
              <w:t>代销机构购买理财产品的，还应按照代销机构对于交易时间以及交易申请的相关规定执行，但交易时间必须在【8：30-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p>
        </w:tc>
      </w:tr>
      <w:tr w14:paraId="67DF9B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E6416A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hint="eastAsia"/>
                <w:color w:themeColor="text1" w:val="000000"/>
                <w:sz w:val="20"/>
                <w:szCs w:val="20"/>
                <w:highlight w:val="none"/>
                <w:lang w:eastAsia="zh-Hans"/>
                <w14:textFill>
                  <w14:solidFill>
                    <w14:schemeClr w14:val="tx1"/>
                  </w14:solidFill>
                </w14:textFill>
              </w:rPr>
              <w:t>上</w:t>
            </w:r>
            <w:r>
              <w:rPr>
                <w:rFonts w:ascii="Times New Roman" w:cs="楷体_GB2312" w:eastAsia="楷体_GB2312"/>
                <w:color w:themeColor="text1" w:val="000000"/>
                <w:sz w:val="20"/>
                <w:szCs w:val="20"/>
                <w:highlight w:val="none"/>
                <w14:textFill>
                  <w14:solidFill>
                    <w14:schemeClr w14:val="tx1"/>
                  </w14:solidFill>
                </w14:textFill>
              </w:rPr>
              <w:t>限</w:t>
            </w:r>
          </w:p>
        </w:tc>
        <w:tc>
          <w:tcPr>
            <w:tcW w:type="pct" w:w="3709"/>
            <w:vAlign w:val="center"/>
          </w:tcPr>
          <w:p w14:paraId="20E44042">
            <w:pPr>
              <w:pStyle w:val="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无。</w:t>
            </w:r>
          </w:p>
        </w:tc>
      </w:tr>
      <w:tr w14:paraId="1100312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6A03B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color w:themeColor="text1" w:val="000000"/>
                <w:sz w:val="20"/>
                <w:szCs w:val="20"/>
                <w:highlight w:val="none"/>
                <w14:textFill>
                  <w14:solidFill>
                    <w14:schemeClr w14:val="tx1"/>
                  </w14:solidFill>
                </w14:textFill>
              </w:rPr>
              <w:t>下限</w:t>
            </w:r>
          </w:p>
        </w:tc>
        <w:tc>
          <w:tcPr>
            <w:tcW w:type="pct" w:w="3709"/>
            <w:vAlign w:val="center"/>
          </w:tcPr>
          <w:p w14:paraId="15B787E4">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r>
              <w:rPr>
                <w:rFonts w:ascii="楷体_GB2312" w:cs="楷体_GB2312" w:eastAsia="楷体_GB2312"/>
                <w:sz w:val="20"/>
                <w:szCs w:val="20"/>
                <w:highlight w:val="none"/>
              </w:rPr>
              <w:t/>
            </w:r>
          </w:p>
        </w:tc>
      </w:tr>
      <w:tr w14:paraId="03DBEC7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73008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币种</w:t>
            </w:r>
          </w:p>
        </w:tc>
        <w:tc>
          <w:tcPr>
            <w:tcW w:type="pct" w:w="3709"/>
            <w:vAlign w:val="center"/>
          </w:tcPr>
          <w:p w14:paraId="6C37B9B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本产品投资与收益币种为【人民币】</w:t>
            </w:r>
          </w:p>
        </w:tc>
      </w:tr>
      <w:tr w14:paraId="0BC63FE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C09B961">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认购起点</w:t>
            </w:r>
          </w:p>
        </w:tc>
        <w:tc>
          <w:tcPr>
            <w:tcW w:type="pct" w:w="3709"/>
            <w:vAlign w:val="center"/>
          </w:tcPr>
          <w:p w14:paraId="0B62AA2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【A】类份额初始认购金额不低于【人民币】【1】元，以【人民币】【0.01】元的整数倍增加。追加认购金额不低于【人民币】【0.01】元，以【人民币】【0.01】元的整数倍增加。</w:t>
              <w:br/>
              <w:t>【B】类份额初始认购金额不低于【人民币】【1】元，以【人民币】【0.01】元的整数倍增加。追加认购金额不低于【人民币】【0.01】元，以【人民币】【0.01】元的整数倍增加。</w:t>
              <w:br/>
              <w:t>【C】类份额初始认购金额不低于【人民币】【1】元，以【人民币】【0.01】元的整数倍增加。追加认购金额不低于【人民币】【0.01】元，以【人民币】【0.01】元的整数倍增加。</w:t>
              <w:br/>
              <w:t>【D】类份额初始认购金额不低于【人民币】【100】万元，以【人民币】【0.01】元的整数倍增加。追加认购金额不低于【人民币】【0.01】元，以【人民币】【0.01】元的整数倍增加。</w:t>
              <w:br/>
              <w:t>【G】类份额初始认购金额不低于【人民币】【1】元，以【人民币】【0.01】元的整数倍增加。追加认购金额不低于【人民币】【0.01】元，以【人民币】【0.01】元的整数倍增加。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r>
            <w:r>
              <w:rPr>
                <w:rFonts w:ascii="楷体_GB2312" w:cs="楷体_GB2312" w:eastAsia="楷体_GB2312"/>
                <w:sz w:val="20"/>
                <w:szCs w:val="20"/>
                <w:highlight w:val="none"/>
              </w:rPr>
              <w:t/>
            </w:r>
          </w:p>
        </w:tc>
      </w:tr>
      <w:tr w14:paraId="514ECAC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C33B0C">
            <w:pPr>
              <w:spacing w:line="300" w:lineRule="exact"/>
              <w:ind w:left="-2" w:leftChars="-1" w:right="36" w:rightChars="15"/>
              <w:rPr>
                <w:rFonts w:ascii="Times New Roman" w:cs="楷体_GB2312" w:eastAsia="楷体_GB2312"/>
                <w:b/>
                <w:bCs/>
                <w:color w:themeColor="text1" w:val="000000"/>
                <w:sz w:val="20"/>
                <w:szCs w:val="20"/>
                <w:highlight w:val="none"/>
                <w14:textFill>
                  <w14:solidFill>
                    <w14:schemeClr w14:val="tx1"/>
                  </w14:solidFill>
                </w14:textFill>
              </w:rPr>
            </w:pPr>
            <w:r>
              <w:rPr>
                <w:rFonts w:ascii="Times New Roman" w:cs="楷体_GB2312" w:eastAsia="楷体_GB2312" w:hint="eastAsia"/>
                <w:b/>
                <w:bCs/>
                <w:color w:themeColor="text1" w:val="000000"/>
                <w:sz w:val="20"/>
                <w:szCs w:val="20"/>
                <w:highlight w:val="none"/>
                <w14:textFill>
                  <w14:solidFill>
                    <w14:schemeClr w14:val="tx1"/>
                  </w14:solidFill>
                </w14:textFill>
              </w:rPr>
              <w:t>单个</w:t>
            </w:r>
            <w:r>
              <w:rPr>
                <w:rFonts w:ascii="Times New Roman" w:cs="楷体_GB2312" w:eastAsia="楷体_GB2312"/>
                <w:b/>
                <w:bCs/>
                <w:color w:themeColor="text1" w:val="000000"/>
                <w:sz w:val="20"/>
                <w:szCs w:val="20"/>
                <w:highlight w:val="none"/>
                <w14:textFill>
                  <w14:solidFill>
                    <w14:schemeClr w14:val="tx1"/>
                  </w14:solidFill>
                </w14:textFill>
              </w:rPr>
              <w:t>投资者持仓份额比例限制</w:t>
            </w:r>
          </w:p>
        </w:tc>
        <w:tc>
          <w:tcPr>
            <w:tcW w:type="pct" w:w="3709"/>
            <w:vAlign w:val="center"/>
          </w:tcPr>
          <w:p w14:paraId="752664D1">
            <w:pPr>
              <w:spacing w:line="300" w:lineRule="exact"/>
              <w:ind w:left="-2" w:leftChars="-1"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w:t>
            </w:r>
            <w:r>
              <w:rPr>
                <w:rFonts w:ascii="楷体_GB2312" w:cs="楷体_GB2312" w:eastAsia="楷体_GB2312"/>
                <w:b/>
                <w:bCs/>
                <w:color w:themeColor="text1" w:val="000000"/>
                <w:sz w:val="20"/>
                <w:szCs w:val="20"/>
                <w:highlight w:val="none"/>
                <w14:textFill>
                  <w14:solidFill>
                    <w14:schemeClr w14:val="tx1"/>
                  </w14:solidFill>
                </w14:textFill>
              </w:rPr>
              <w:t>单一投资者持有份额</w:t>
            </w:r>
            <w:r>
              <w:rPr>
                <w:rFonts w:ascii="楷体_GB2312" w:cs="楷体_GB2312" w:eastAsia="楷体_GB2312" w:hint="eastAsia"/>
                <w:b/>
                <w:bCs/>
                <w:color w:themeColor="text1" w:val="000000"/>
                <w:sz w:val="20"/>
                <w:szCs w:val="20"/>
                <w:highlight w:val="none"/>
                <w:lang w:eastAsia="zh-CN"/>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【b</w:t>
            </w:r>
            <w:r>
              <w:rPr>
                <w:rFonts w:ascii="楷体_GB2312" w:cs="楷体_GB2312" w:eastAsia="楷体_GB2312"/>
                <w:b/>
                <w:bCs/>
                <w:color w:themeColor="text1" w:val="000000"/>
                <w:sz w:val="20"/>
                <w:szCs w:val="20"/>
                <w:highlight w:val="none"/>
                <w14:textFill>
                  <w14:solidFill>
                    <w14:schemeClr w14:val="tx1"/>
                  </w14:solidFill>
                </w14:textFill>
              </w:rPr>
              <w:t>】</w:t>
            </w:r>
          </w:p>
          <w:p w14:paraId="261B67A2">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可以</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。但产品不得</w:t>
            </w:r>
            <w:r>
              <w:rPr>
                <w:rFonts w:ascii="楷体_GB2312" w:cs="楷体_GB2312" w:eastAsia="楷体_GB2312"/>
                <w:b/>
                <w:bCs/>
                <w:color w:themeColor="text1" w:val="000000"/>
                <w:sz w:val="20"/>
                <w:szCs w:val="20"/>
                <w:highlight w:val="none"/>
                <w14:textFill>
                  <w14:solidFill>
                    <w14:schemeClr w14:val="tx1"/>
                  </w14:solidFill>
                </w14:textFill>
              </w:rPr>
              <w:t xml:space="preserve">向个人投资者公开发售。 </w:t>
            </w:r>
          </w:p>
          <w:p w14:paraId="735BA2F5">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不得</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投资者提出认</w:t>
            </w:r>
            <w:r>
              <w:rPr>
                <w:rFonts w:ascii="楷体_GB2312" w:cs="楷体_GB2312" w:eastAsia="楷体_GB2312"/>
                <w:b/>
                <w:bCs/>
                <w:color w:themeColor="text1" w:val="000000"/>
                <w:sz w:val="20"/>
                <w:szCs w:val="20"/>
                <w:highlight w:val="none"/>
                <w14:textFill>
                  <w14:solidFill>
                    <w14:schemeClr w14:val="tx1"/>
                  </w14:solidFill>
                </w14:textFill>
              </w:rPr>
              <w:t>购申请时，如认购后投资者持有份额超过产品总份额的50%，信银理财将不接受超过单个投资者持仓份额比例限制的申请。</w:t>
            </w:r>
          </w:p>
        </w:tc>
      </w:tr>
      <w:tr w14:paraId="0048B47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328F217">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份额单位</w:t>
            </w:r>
          </w:p>
        </w:tc>
        <w:tc>
          <w:tcPr>
            <w:tcW w:type="pct" w:w="3709"/>
            <w:vAlign w:val="center"/>
          </w:tcPr>
          <w:p w14:paraId="3028C13D">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w:t>
            </w:r>
          </w:p>
        </w:tc>
      </w:tr>
      <w:tr w14:paraId="7143AE7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8AA2B6">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单位净值</w:t>
            </w:r>
          </w:p>
        </w:tc>
        <w:tc>
          <w:tcPr>
            <w:tcW w:type="pct" w:w="3709"/>
            <w:vAlign w:val="center"/>
          </w:tcPr>
          <w:p w14:paraId="45DF7300">
            <w:pPr>
              <w:spacing w:line="300" w:lineRule="exact"/>
              <w:ind w:right="29" w:rightChars="12"/>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单位净值为单位产品份额的净值，该净值为扣除相关税费（相关税费包含固定管理费、</w:t>
            </w:r>
            <w:r>
              <w:rPr>
                <w:rFonts w:ascii="楷体_GB2312" w:cs="楷体_GB2312" w:eastAsia="楷体_GB2312"/>
                <w:color w:themeColor="text1" w:val="000000"/>
                <w:sz w:val="20"/>
                <w:szCs w:val="20"/>
                <w:highlight w:val="none"/>
                <w14:textFill>
                  <w14:solidFill>
                    <w14:schemeClr w14:val="tx1"/>
                  </w14:solidFill>
                </w14:textFill>
              </w:rPr>
              <w:t>浮动管理费</w:t>
            </w:r>
            <w:r>
              <w:rPr>
                <w:rFonts w:ascii="楷体_GB2312" w:cs="楷体_GB2312" w:eastAsia="楷体_GB2312" w:hint="eastAsia"/>
                <w:color w:themeColor="text1" w:val="000000"/>
                <w:sz w:val="20"/>
                <w:szCs w:val="20"/>
                <w:highlight w:val="none"/>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本产品到期后，管理人将在到期日后【5】个工作日内披露产品</w:t>
            </w:r>
            <w:r>
              <w:rPr>
                <w:rFonts w:ascii="楷体_GB2312" w:cs="楷体_GB2312" w:eastAsia="楷体_GB2312"/>
                <w:color w:themeColor="text1" w:val="000000"/>
                <w:sz w:val="20"/>
                <w:szCs w:val="20"/>
                <w:highlight w:val="none"/>
                <w14:textFill>
                  <w14:solidFill>
                    <w14:schemeClr w14:val="tx1"/>
                  </w14:solidFill>
                </w14:textFill>
              </w:rPr>
              <w:t>份额</w:t>
            </w:r>
            <w:r>
              <w:rPr>
                <w:rFonts w:ascii="楷体_GB2312" w:cs="楷体_GB2312" w:eastAsia="楷体_GB2312" w:hint="eastAsia"/>
                <w:color w:themeColor="text1" w:val="000000"/>
                <w:sz w:val="20"/>
                <w:szCs w:val="20"/>
                <w:highlight w:val="none"/>
                <w14:textFill>
                  <w14:solidFill>
                    <w14:schemeClr w14:val="tx1"/>
                  </w14:solidFill>
                </w14:textFill>
              </w:rPr>
              <w:t>最终单位净值。</w:t>
            </w:r>
          </w:p>
        </w:tc>
      </w:tr>
      <w:tr w14:paraId="4E76B5E9">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EDA1EB8">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认购渠道</w:t>
            </w:r>
          </w:p>
        </w:tc>
        <w:tc>
          <w:tcPr>
            <w:tcW w:type="pct" w:w="3709"/>
            <w:vAlign w:val="center"/>
          </w:tcPr>
          <w:p w14:paraId="5E90A1A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理财产品通过代销机构销售的，投资者可通过代销机构规定的渠道认购。</w:t>
            </w:r>
            <w:r>
              <w:rPr>
                <w:rFonts w:ascii="楷体_GB2312" w:cs="楷体_GB2312" w:eastAsia="楷体_GB2312"/>
                <w:color w:themeColor="text1" w:val="000000"/>
                <w:sz w:val="20"/>
                <w:szCs w:val="20"/>
                <w:highlight w:val="none"/>
                <w14:textFill>
                  <w14:solidFill>
                    <w14:schemeClr w14:val="tx1"/>
                  </w14:solidFill>
                </w14:textFill>
              </w:rPr>
              <w:t/>
            </w:r>
          </w:p>
          <w:p w14:paraId="08BBF135">
            <w:pPr>
              <w:spacing w:line="300" w:lineRule="exact"/>
              <w:ind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93CECD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税收条款</w:t>
            </w:r>
          </w:p>
        </w:tc>
        <w:tc>
          <w:tcPr>
            <w:tcW w:type="pct" w:w="3709"/>
            <w:vAlign w:val="center"/>
          </w:tcPr>
          <w:p w14:paraId="44C81E18">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cs="楷体_GB2312" w:eastAsia="楷体_GB2312"/>
                <w:color w:themeColor="text1" w:val="000000"/>
                <w:sz w:val="20"/>
                <w:szCs w:val="20"/>
                <w:highlight w:val="none"/>
                <w14:textFill>
                  <w14:solidFill>
                    <w14:schemeClr w14:val="tx1"/>
                  </w14:solidFill>
                </w14:textFill>
              </w:rPr>
              <w:t>产品管理人</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理财资金</w:t>
            </w:r>
            <w:r>
              <w:rPr>
                <w:rFonts w:ascii="楷体_GB2312" w:cs="楷体_GB2312" w:eastAsia="楷体_GB2312" w:hint="eastAsia"/>
                <w:color w:themeColor="text1" w:val="000000"/>
                <w:sz w:val="20"/>
                <w:szCs w:val="20"/>
                <w:highlight w:val="none"/>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4E6B4A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费用条款</w:t>
            </w:r>
          </w:p>
        </w:tc>
        <w:tc>
          <w:tcPr>
            <w:tcW w:type="pct" w:w="3709"/>
            <w:vAlign w:val="center"/>
          </w:tcPr>
          <w:p w14:paraId="0DC19621">
            <w:pPr>
              <w:snapToGrid w:val="0"/>
              <w:spacing w:line="300" w:lineRule="exact"/>
              <w:ind w:left="-2" w:leftChars="-1" w:right="53" w:rightChars="22"/>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highlight w:val="none"/>
                <w14:textFill>
                  <w14:solidFill>
                    <w14:schemeClr w14:val="tx1"/>
                  </w14:solidFill>
                </w14:textFill>
              </w:rPr>
              <w:t>，按照实际发生时列支</w:t>
            </w:r>
            <w:r>
              <w:rPr>
                <w:rFonts w:ascii="楷体_GB2312" w:cs="楷体_GB2312" w:eastAsia="楷体_GB2312"/>
                <w:b/>
                <w:color w:themeColor="text1" w:val="000000"/>
                <w:sz w:val="20"/>
                <w:szCs w:val="20"/>
                <w:highlight w:val="none"/>
                <w14:textFill>
                  <w14:solidFill>
                    <w14:schemeClr w14:val="tx1"/>
                  </w14:solidFill>
                </w14:textFill>
              </w:rPr>
              <w:t>。管理人因管理、运营理财产品发生的税费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1.</w:t>
            </w:r>
            <w:r>
              <w:rPr>
                <w:rFonts w:ascii="楷体_GB2312" w:cs="楷体_GB2312" w:eastAsia="楷体_GB2312" w:hint="eastAsia"/>
                <w:b/>
                <w:sz w:val="20"/>
                <w:szCs w:val="20"/>
                <w:highlight w:val="none"/>
              </w:rPr>
              <w:t>认购费</w:t>
            </w:r>
            <w:r>
              <w:rPr>
                <w:rFonts w:ascii="楷体_GB2312" w:cs="楷体_GB2312" w:eastAsia="楷体_GB2312"/>
                <w:b/>
                <w:sz w:val="20"/>
                <w:szCs w:val="20"/>
                <w:highlight w:val="none"/>
              </w:rPr>
              <w:t>：</w:t>
            </w:r>
            <w:r>
              <w:rPr>
                <w:rFonts w:ascii="楷体_GB2312" w:eastAsia="楷体_GB2312" w:hint="eastAsia"/>
                <w:b/>
                <w:sz w:val="20"/>
                <w:szCs w:val="20"/>
                <w:highlight w:val="none"/>
              </w:rPr>
              <w:t>【A】类份额不收取认购费，【B】类份额不收取认购费，【C】类份额不收取认购费，【D】类份额不收取认购费，【G】类份额不收取认购费，【S】类份额不收取认购费</w:t>
            </w:r>
            <w:r>
              <w:rPr>
                <w:rFonts w:ascii="楷体_GB2312" w:eastAsia="楷体_GB2312"/>
                <w:b/>
                <w:sz w:val="20"/>
                <w:szCs w:val="20"/>
                <w:highlight w:val="none"/>
              </w:rPr>
              <w:t/>
            </w:r>
            <w:r>
              <w:rPr>
                <w:rFonts w:ascii="楷体_GB2312" w:eastAsia="楷体_GB2312" w:hint="eastAsia"/>
                <w:b/>
                <w:sz w:val="20"/>
                <w:szCs w:val="20"/>
                <w:highlight w:val="none"/>
                <w:lang w:eastAsia="zh-CN"/>
              </w:rPr>
              <w:t>；</w:t>
            </w:r>
          </w:p>
          <w:p w14:paraId="62A82753">
            <w:pPr>
              <w:snapToGrid w:val="0"/>
              <w:spacing w:line="300" w:lineRule="exact"/>
              <w:ind w:left="-2" w:leftChars="-1"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2.</w:t>
            </w:r>
            <w:r>
              <w:rPr>
                <w:rFonts w:ascii="楷体_GB2312" w:cs="楷体_GB2312" w:eastAsia="楷体_GB2312" w:hint="eastAsia"/>
                <w:b/>
                <w:sz w:val="20"/>
                <w:szCs w:val="20"/>
                <w:highlight w:val="none"/>
              </w:rPr>
              <w:t>销售服务费：【A】类份额费率【0.15%】/年，【B】类份额费率【0.15%】/年，【C】类份额费率【0.05%】/年，【D】类份额费率【0.10%】/年，【G】类份额费率【0.10%】/年，【S】类份额费率【0.10%】/年</w:t>
            </w:r>
            <w:r>
              <w:rPr>
                <w:rFonts w:ascii="楷体_GB2312" w:cs="楷体_GB2312" w:eastAsia="楷体_GB2312"/>
                <w:b/>
                <w:sz w:val="20"/>
                <w:szCs w:val="20"/>
                <w:highlight w:val="none"/>
              </w:rPr>
              <w:t/>
            </w:r>
            <w:r>
              <w:rPr>
                <w:rFonts w:ascii="楷体_GB2312" w:cs="楷体_GB2312" w:eastAsia="楷体_GB2312" w:hint="eastAsia"/>
                <w:b/>
                <w:sz w:val="20"/>
                <w:szCs w:val="20"/>
                <w:highlight w:val="none"/>
                <w:lang w:eastAsia="zh-CN"/>
              </w:rPr>
              <w:t>；</w:t>
            </w:r>
          </w:p>
          <w:p w14:paraId="793AE849">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3.</w:t>
            </w:r>
            <w:r>
              <w:rPr>
                <w:rFonts w:ascii="楷体_GB2312" w:cs="楷体_GB2312" w:eastAsia="楷体_GB2312" w:hint="eastAsia"/>
                <w:b/>
                <w:sz w:val="20"/>
                <w:szCs w:val="20"/>
                <w:highlight w:val="none"/>
              </w:rPr>
              <w:t>托管费：费率【</w:t>
            </w:r>
            <w:r>
              <w:rPr>
                <w:rFonts w:ascii="楷体_GB2312" w:cs="楷体_GB2312" w:eastAsia="楷体_GB2312"/>
                <w:b/>
                <w:sz w:val="20"/>
                <w:szCs w:val="20"/>
                <w:highlight w:val="none"/>
              </w:rPr>
              <w:t>0.05%】/年</w:t>
            </w:r>
            <w:r>
              <w:rPr>
                <w:rFonts w:ascii="楷体_GB2312" w:cs="楷体_GB2312" w:eastAsia="楷体_GB2312" w:hint="eastAsia"/>
                <w:b/>
                <w:sz w:val="20"/>
                <w:szCs w:val="20"/>
                <w:highlight w:val="none"/>
                <w:lang w:eastAsia="zh-CN"/>
              </w:rPr>
              <w:t>；</w:t>
            </w:r>
          </w:p>
          <w:p w14:paraId="0B46EB90">
            <w:pPr>
              <w:snapToGrid w:val="0"/>
              <w:spacing w:line="300" w:lineRule="exact"/>
              <w:ind w:right="96" w:rightChars="40"/>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4.</w:t>
            </w:r>
            <w:r>
              <w:rPr>
                <w:rFonts w:ascii="楷体_GB2312" w:cs="楷体_GB2312" w:eastAsia="楷体_GB2312" w:hint="eastAsia"/>
                <w:b/>
                <w:sz w:val="20"/>
                <w:szCs w:val="20"/>
                <w:highlight w:val="none"/>
              </w:rPr>
              <w:t>固定管理费：费率【0.15%</w:t>
            </w:r>
            <w:r>
              <w:rPr>
                <w:rFonts w:ascii="楷体_GB2312" w:cs="楷体_GB2312" w:eastAsia="楷体_GB2312"/>
                <w:b/>
                <w:sz w:val="20"/>
                <w:szCs w:val="20"/>
                <w:highlight w:val="none"/>
              </w:rPr>
              <w:t>】/年</w:t>
            </w:r>
            <w:r>
              <w:rPr>
                <w:rFonts w:ascii="楷体_GB2312" w:cs="楷体_GB2312" w:eastAsia="楷体_GB2312" w:hint="eastAsia"/>
                <w:b/>
                <w:sz w:val="20"/>
                <w:szCs w:val="20"/>
                <w:highlight w:val="none"/>
                <w:lang w:eastAsia="zh-CN"/>
              </w:rPr>
              <w:t>；</w:t>
            </w:r>
          </w:p>
          <w:p w14:paraId="0005DA40">
            <w:pPr>
              <w:snapToGrid w:val="0"/>
              <w:spacing w:line="300" w:lineRule="exact"/>
              <w:ind w:right="96" w:rightChars="40"/>
              <w:outlineLvl w:val="0"/>
              <w:rPr>
                <w:rFonts w:ascii="楷体_GB2312" w:cs="楷体_GB2312" w:eastAsia="楷体_GB2312"/>
                <w:b/>
                <w:sz w:val="20"/>
                <w:szCs w:val="20"/>
                <w:highlight w:val="none"/>
              </w:rPr>
            </w:pPr>
            <w:r>
              <w:rPr>
                <w:rFonts w:ascii="楷体_GB2312" w:cs="楷体_GB2312" w:eastAsia="楷体_GB2312"/>
                <w:b/>
                <w:sz w:val="20"/>
                <w:szCs w:val="20"/>
                <w:highlight w:val="none"/>
              </w:rPr>
              <w:t>5.</w:t>
            </w:r>
            <w:r>
              <w:rPr>
                <w:rFonts w:ascii="楷体_GB2312" w:cs="楷体_GB2312" w:eastAsia="楷体_GB2312" w:hint="eastAsia"/>
                <w:b/>
                <w:sz w:val="20"/>
                <w:szCs w:val="20"/>
                <w:highlight w:val="none"/>
              </w:rPr>
              <w:t>浮动管理费：</w:t>
            </w:r>
          </w:p>
          <w:p w14:paraId="00EF91D0">
            <w:pPr>
              <w:snapToGrid w:val="0"/>
              <w:spacing w:line="300" w:lineRule="exact"/>
              <w:ind w:right="96" w:rightChars="40"/>
              <w:outlineLvl w:val="0"/>
              <w:rPr>
                <w:rFonts w:ascii="楷体_GB2312" w:eastAsia="楷体_GB2312"/>
                <w:b/>
                <w:sz w:val="20"/>
                <w:szCs w:val="20"/>
                <w:highlight w:val="none"/>
              </w:rPr>
            </w:pPr>
            <w:r>
              <w:rPr>
                <w:rFonts w:ascii="楷体_GB2312" w:eastAsia="楷体_GB2312" w:hint="eastAsia"/>
                <w:b/>
                <w:sz w:val="20"/>
                <w:szCs w:val="20"/>
                <w:highlight w:val="none"/>
              </w:rPr>
              <w:t/>
              <w:t>【A】类份额设立业绩比较基准，在产品到期日或提前终止日时，如计提浮动管理费前年化收益率超过【2.20%】的，管理人将收取超额部分的【50%】作为浮动管理费。</w:t>
              <w:br/>
              <w:t>【B】类份额设立业绩比较基准，在产品到期日或提前终止日时，如计提浮动管理费前年化收益率超过【2.20%】的，管理人将收取超额部分的【50%】作为浮动管理费。</w:t>
              <w:br/>
              <w:t>【C】类份额设立业绩比较基准，在产品到期日或提前终止日时，如计提浮动管理费前年化收益率超过【2.30%】的，管理人将收取超额部分的【50%】作为浮动管理费。</w:t>
              <w:br/>
              <w:t>【D】类份额设立业绩比较基准，在产品到期日或提前终止日时，如计提浮动管理费前年化收益率超过【2.25%】的，管理人将收取超额部分的【50%】作为浮动管理费。</w:t>
              <w:br/>
              <w:t>【G】类份额设立业绩比较基准，在产品到期日或提前终止日时，如计提浮动管理费前年化收益率超过【2.25%】的，管理人将收取超额部分的【50%】作为浮动管理费。</w:t>
              <w:br/>
              <w:t>【S】类份额设立业绩比较基准，在产品到期日或提前终止日时，如计提浮动管理费前年化收益率超过【2.25%】的，管理人将收取超额部分的【50%】作为浮动管理费。</w:t>
            </w:r>
            <w:r>
              <w:rPr>
                <w:rFonts w:ascii="楷体_GB2312" w:eastAsia="楷体_GB2312"/>
                <w:b/>
                <w:sz w:val="20"/>
                <w:szCs w:val="20"/>
                <w:highlight w:val="none"/>
              </w:rPr>
              <w:t/>
            </w:r>
          </w:p>
          <w:p w14:paraId="2FBF8D6D">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p>
          <w:p w14:paraId="05FE616E">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color w:themeColor="text1" w:val="000000"/>
                <w:sz w:val="20"/>
                <w:szCs w:val="20"/>
                <w:highlight w:val="none"/>
                <w14:textFill>
                  <w14:solidFill>
                    <w14:schemeClr w14:val="tx1"/>
                  </w14:solidFill>
                </w14:textFill>
              </w:rPr>
              <w:t>以上1-5项费用金额均四舍五入保留小数点后【2】位。</w:t>
            </w:r>
          </w:p>
          <w:p w14:paraId="1A0F7EF0">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具体请参见本说明书“</w:t>
            </w:r>
            <w:r>
              <w:rPr>
                <w:rFonts w:ascii="黑体" w:cs="黑体" w:eastAsia="黑体" w:hint="eastAsia"/>
                <w:b/>
                <w:color w:themeColor="text1" w:val="000000"/>
                <w:sz w:val="20"/>
                <w:szCs w:val="20"/>
                <w:highlight w:val="none"/>
                <w14:textFill>
                  <w14:solidFill>
                    <w14:schemeClr w14:val="tx1"/>
                  </w14:solidFill>
                </w14:textFill>
              </w:rPr>
              <w:t>八、理财产品的费用</w:t>
            </w:r>
            <w:r>
              <w:rPr>
                <w:rFonts w:ascii="楷体_GB2312" w:cs="楷体_GB2312" w:eastAsia="楷体_GB2312"/>
                <w:b/>
                <w:color w:themeColor="text1" w:val="000000"/>
                <w:sz w:val="20"/>
                <w:szCs w:val="20"/>
                <w:highlight w:val="none"/>
                <w14:textFill>
                  <w14:solidFill>
                    <w14:schemeClr w14:val="tx1"/>
                  </w14:solidFill>
                </w14:textFill>
              </w:rPr>
              <w:t>”部分。</w:t>
            </w:r>
          </w:p>
          <w:p w14:paraId="00B37122">
            <w:pPr>
              <w:spacing w:line="300" w:lineRule="exact"/>
              <w:ind w:right="36" w:rightChars="15"/>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7B31997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w:t>
            </w:r>
            <w:r>
              <w:rPr>
                <w:rFonts w:ascii="Times New Roman" w:cs="楷体_GB2312" w:eastAsia="楷体_GB2312"/>
                <w:color w:themeColor="text1" w:val="000000"/>
                <w:sz w:val="20"/>
                <w:szCs w:val="20"/>
                <w:highlight w:val="none"/>
                <w14:textFill>
                  <w14:solidFill>
                    <w14:schemeClr w14:val="tx1"/>
                  </w14:solidFill>
                </w14:textFill>
              </w:rPr>
              <w:t>管理人</w:t>
            </w: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管理</w:t>
            </w:r>
            <w:r>
              <w:rPr>
                <w:rFonts w:ascii="Times New Roman" w:cs="楷体_GB2312" w:eastAsia="楷体_GB2312" w:hint="eastAsia"/>
                <w:color w:themeColor="text1" w:val="000000"/>
                <w:sz w:val="20"/>
                <w:szCs w:val="20"/>
                <w:highlight w:val="none"/>
                <w14:textFill>
                  <w14:solidFill>
                    <w14:schemeClr w14:val="tx1"/>
                  </w14:solidFill>
                </w14:textFill>
              </w:rPr>
              <w:t>人/管理人</w:t>
            </w:r>
            <w:r>
              <w:rPr>
                <w:rFonts w:ascii="Times New Roman" w:cs="楷体_GB2312" w:eastAsia="楷体_GB2312"/>
                <w:color w:themeColor="text1" w:val="000000"/>
                <w:sz w:val="20"/>
                <w:szCs w:val="20"/>
                <w:highlight w:val="none"/>
                <w14:textFill>
                  <w14:solidFill>
                    <w14:schemeClr w14:val="tx1"/>
                  </w14:solidFill>
                </w14:textFill>
              </w:rPr>
              <w:t>、</w:t>
            </w:r>
            <w:r>
              <w:rPr>
                <w:rFonts w:ascii="Times New Roman" w:cs="楷体_GB2312" w:eastAsia="楷体_GB2312" w:hint="eastAsia"/>
                <w:color w:themeColor="text1" w:val="000000"/>
                <w:sz w:val="20"/>
                <w:szCs w:val="20"/>
                <w:highlight w:val="none"/>
                <w14:textFill>
                  <w14:solidFill>
                    <w14:schemeClr w14:val="tx1"/>
                  </w14:solidFill>
                </w14:textFill>
              </w:rPr>
              <w:t>收益</w:t>
            </w:r>
            <w:r>
              <w:rPr>
                <w:rFonts w:ascii="Times New Roman" w:cs="楷体_GB2312" w:eastAsia="楷体_GB2312"/>
                <w:color w:themeColor="text1" w:val="000000"/>
                <w:sz w:val="20"/>
                <w:szCs w:val="20"/>
                <w:highlight w:val="none"/>
                <w14:textFill>
                  <w14:solidFill>
                    <w14:schemeClr w14:val="tx1"/>
                  </w14:solidFill>
                </w14:textFill>
              </w:rPr>
              <w:t>计算方</w:t>
            </w:r>
          </w:p>
        </w:tc>
        <w:tc>
          <w:tcPr>
            <w:tcW w:type="dxa" w:w="6328"/>
            <w:vAlign w:val="center"/>
          </w:tcPr>
          <w:p w14:paraId="3ACAFC2D">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企业名称：【信银理财有限责任公司】</w:t>
            </w:r>
          </w:p>
          <w:p w14:paraId="1EC9DD74">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住所：【上海市黄浦区中山东二路600号1幢35层、36层】</w:t>
            </w:r>
          </w:p>
          <w:p w14:paraId="61DB60F5">
            <w:pPr>
              <w:spacing w:line="300" w:lineRule="atLeast"/>
              <w:ind w:left="-2" w:leftChars="0" w:right="31" w:rightChars="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客户服务热线：【950950】</w:t>
            </w:r>
          </w:p>
        </w:tc>
      </w:tr>
      <w:tr w14:paraId="5B6DB1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53F3AACF">
            <w:pPr>
              <w:spacing w:line="300" w:lineRule="exact"/>
              <w:ind w:left="-2" w:leftChars="-1" w:right="36" w:rightChars="15"/>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管理人主要职责</w:t>
            </w:r>
          </w:p>
        </w:tc>
        <w:tc>
          <w:tcPr>
            <w:tcW w:type="dxa" w:w="6328"/>
            <w:vAlign w:val="center"/>
          </w:tcPr>
          <w:p w14:paraId="786DC71C">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依法募集资金，办理产品份额的发售和登记事宜；</w:t>
            </w:r>
          </w:p>
          <w:p w14:paraId="5D6703E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办理产品登记备案或者注册手续；</w:t>
            </w:r>
          </w:p>
          <w:p w14:paraId="7BDE41C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对所管理的不同产品受托财产分别管理、分别记账，进行投资；</w:t>
            </w:r>
          </w:p>
          <w:p w14:paraId="4BF702AE">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按照产品合同的约定确定收益分配方案，及时向投资者分配收益；</w:t>
            </w:r>
          </w:p>
          <w:p w14:paraId="258E0354">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进行产品会计核算并编制产品财务会计报告；</w:t>
            </w:r>
          </w:p>
          <w:p w14:paraId="4658768D">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依法计算并披露产品净值或者投资收益情况，确定申购、赎回价格；</w:t>
            </w:r>
          </w:p>
          <w:p w14:paraId="335BC975">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办理与受托财产管理业务活动有关的信息披露事项；</w:t>
            </w:r>
          </w:p>
          <w:p w14:paraId="4156FF0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保存受托财产管理业务活动的记录、账册、报表和其他相关资料；</w:t>
            </w:r>
          </w:p>
          <w:p w14:paraId="473B81A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以管理人名义，代表投资者利益行使诉讼权利或者实施其他法律行为；</w:t>
            </w:r>
          </w:p>
          <w:p w14:paraId="7DD14248">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在兑付受托资金及收益时，应当保证受托资金及收益返回委托人的原账户、同名账户或者合同约定的受益人账户；</w:t>
            </w:r>
          </w:p>
          <w:p w14:paraId="55EED232">
            <w:pPr>
              <w:numPr>
                <w:ilvl w:val="0"/>
                <w:numId w:val="3"/>
              </w:numPr>
              <w:spacing w:line="300" w:lineRule="atLeast"/>
              <w:ind w:hanging="425" w:left="425" w:right="31" w:rightChars="0"/>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国家金融监督管理总局规定的其他职责。</w:t>
            </w:r>
          </w:p>
        </w:tc>
      </w:tr>
      <w:tr w14:paraId="68ADDBA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29A16B1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w:t>
            </w:r>
          </w:p>
        </w:tc>
        <w:tc>
          <w:tcPr>
            <w:tcW w:type="pct" w:w="3709"/>
            <w:vAlign w:val="center"/>
          </w:tcPr>
          <w:p w14:paraId="0CE896E3">
            <w:pPr>
              <w:spacing w:line="300" w:lineRule="atLeast"/>
              <w:ind w:left="-2" w:right="31"/>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【A】类份额（份额代码【AF265271A】）合作销售机构信息：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【B】类份额（份额代码【AF265271B】）合作销售机构信息：</w:t>
              <w:br/>
              <w:t>1.企业名称：【江苏扬中农村商业银行股份有限公司】</w:t>
              <w:br/>
              <w:t>住所：【扬中市扬子西路79号】</w:t>
              <w:br/>
              <w:t>客户服务热线：【0511-96008】</w:t>
              <w:br/>
              <w:t>2.企业名称：【江苏句容农村商业银行股份有限公司】</w:t>
              <w:br/>
              <w:t>住所：【江苏省句容市福地东路66号】</w:t>
              <w:br/>
              <w:t>客户服务热线：【0511-96008】</w:t>
              <w:br/>
              <w:t>3.企业名称：【江苏射阳农村商业银行股份有限公司】</w:t>
              <w:br/>
              <w:t>住所：【江苏省盐城市射阳县合德镇解放路385号】</w:t>
              <w:br/>
              <w:t>客户服务热线：【0515-69966666】</w:t>
              <w:br/>
              <w:t>4.企业名称：【江苏建湖农村商业银行股份有限公司】</w:t>
              <w:br/>
              <w:t>住所：【江苏省建湖县湖南中路958号】</w:t>
              <w:br/>
              <w:t>客户服务热线：【0515-96008】</w:t>
              <w:br/>
              <w:t>5.企业名称：【江苏阜宁农村商业银行股份有限公司】</w:t>
              <w:br/>
              <w:t>住所：【江苏省阜宁县城南新区上海路459号】</w:t>
              <w:br/>
              <w:t>客户服务热线：【0515-96008】</w:t>
              <w:br/>
              <w:t>6.企业名称：【浙江东阳农村商业银行股份有限公司】</w:t>
              <w:br/>
              <w:t>住所：【东阳市双岘路18号】</w:t>
              <w:br/>
              <w:t>客户服务热线：【0571-96596】</w:t>
              <w:br/>
              <w:t>7.企业名称：【浙江乐清农村商业银行股份有限公司】</w:t>
              <w:br/>
              <w:t>住所：【乐清市城南街道伯乐西路99号】</w:t>
              <w:br/>
              <w:t>客户服务热线：【0571-96596】</w:t>
              <w:br/>
              <w:t>8.企业名称：【宁波余姚农村商业银行股份有限公司】</w:t>
              <w:br/>
              <w:t>住所：【余姚市新建路69号】</w:t>
              <w:br/>
              <w:t>客户服务热线：【0571-96596】</w:t>
              <w:br/>
              <w:t>9.企业名称：【宁波镇海农村商业银行股份有限公司】</w:t>
              <w:br/>
              <w:t>住所：【宁波市镇海区骆驼街道镇海大道中段788号】</w:t>
              <w:br/>
              <w:t>客户服务热线：【0571-96596】</w:t>
              <w:br/>
              <w:t>10.企业名称：【宁波宁海农村商业银行股份有限公司】</w:t>
              <w:br/>
              <w:t>住所：【宁海县跃龙街道学勉路1号（金融中心）】</w:t>
              <w:br/>
              <w:t>客户服务热线：【0571-96596】</w:t>
              <w:br/>
              <w:t>11.企业名称：【浙江丽水莲都农村商业银行股份有限公司】</w:t>
              <w:br/>
              <w:t>住所：【浙江丽水市解放街438号】</w:t>
              <w:br/>
              <w:t>客户服务热线：【0571-96596】</w:t>
              <w:br/>
              <w:t>12.企业名称：【浙江三门农村商业银行股份有限公司】</w:t>
              <w:br/>
              <w:t>住所：【浙江省三门县海游街道上洋路68号】</w:t>
              <w:br/>
              <w:t>客户服务热线：【0571-96596】</w:t>
              <w:br/>
              <w:t>13.企业名称：【浙江衢州柯城农村商业银行股份有限公司】</w:t>
              <w:br/>
              <w:t>住所：【浙江省上街92号】</w:t>
              <w:br/>
              <w:t>客户服务热线：【0571-96596】</w:t>
              <w:br/>
              <w:t>14.企业名称：【浙江云和农村商业银行股份有限公司】</w:t>
              <w:br/>
              <w:t>住所：【浙江省丽水市云和县浮云街道新建路72号】</w:t>
              <w:br/>
              <w:t>客户服务热线：【0571-96596】</w:t>
              <w:br/>
              <w:t>15.企业名称：【浙江庆元农村商业银行股份有限公司】</w:t>
              <w:br/>
              <w:t>住所：【浙江省丽水市庆元县濛洲街道云鹤路3号】</w:t>
              <w:br/>
              <w:t>客户服务热线：【0571-96596】</w:t>
              <w:br/>
              <w:t>16.企业名称：【浙江景宁农村商业银行股份有限公司】</w:t>
              <w:br/>
              <w:t>住所：【浙江省丽水市景宁畲族自治县红星街道人民中路201号】</w:t>
              <w:br/>
              <w:t>客户服务热线：【0571-96596】</w:t>
              <w:br/>
              <w:t>17.企业名称：【浙江松阳农村商业银行股份有限公司】</w:t>
              <w:br/>
              <w:t>住所：【浙江省丽水市松阳县水南街道要津南路71号】</w:t>
              <w:br/>
              <w:t>客户服务热线：【0571-96596】</w:t>
              <w:br/>
              <w:t>18.企业名称：【浙江缙云农村商业银行股份有限公司】</w:t>
              <w:br/>
              <w:t>住所：【浙江省丽水市缙云县五云镇新区仙都路68号】</w:t>
              <w:br/>
              <w:t>客户服务热线：【0571-96596】</w:t>
              <w:br/>
              <w:t>19.企业名称：【浙江遂昌农村商业银行股份有限公司】</w:t>
              <w:br/>
              <w:t>住所：【浙江省丽水市遂昌县妙高街道溪边路100号】</w:t>
              <w:br/>
              <w:t>客户服务热线：【0571-96596】</w:t>
              <w:br/>
              <w:t>20.企业名称：【浙江龙泉农村商业银行股份有限公司】</w:t>
              <w:br/>
              <w:t>住所：【浙江省丽水市龙泉市中山东路101号】</w:t>
              <w:br/>
              <w:t>客户服务热线：【0571-96596】</w:t>
              <w:br/>
              <w:t>21.企业名称：【浙江义乌农村商业银行股份有限公司】</w:t>
              <w:br/>
              <w:t>住所：【浙江省义乌市福田街道城北路677号】</w:t>
              <w:br/>
              <w:t>客户服务热线：【0571-96596】</w:t>
              <w:br/>
              <w:t>22.企业名称：【浙江仙居农村商业银行股份有限公司】</w:t>
              <w:br/>
              <w:t>住所：【浙江省仙居县南峰街道穿城中路21号】</w:t>
              <w:br/>
              <w:t>客户服务热线：【0571-96596】</w:t>
              <w:br/>
              <w:t>23.企业名称：【浙江兰溪农村商业银行股份有限公司】</w:t>
              <w:br/>
              <w:t>住所：【浙江省兰溪市兰江街道丹溪大道18号】</w:t>
              <w:br/>
              <w:t>客户服务热线：【0571-96596】</w:t>
              <w:br/>
              <w:t>24.企业名称：【浙江临海农村商业银行股份有限公司】</w:t>
              <w:br/>
              <w:t>住所：【浙江省台州市临海市大洋街道河阳路299号】</w:t>
              <w:br/>
              <w:t>客户服务热线：【0571-96596】</w:t>
              <w:br/>
              <w:t>25.企业名称：【浙江台州椒江农村商业银行股份有限公司】</w:t>
              <w:br/>
              <w:t>住所：【浙江省台州市椒江区工人东路322号】</w:t>
              <w:br/>
              <w:t>客户服务热线：【0571-96596】</w:t>
              <w:br/>
              <w:t>26.企业名称：【浙江温岭农村商业银行股份有限公司】</w:t>
              <w:br/>
              <w:t>住所：【浙江省台州市温岭市城东街道下保路100号】</w:t>
              <w:br/>
              <w:t>客户服务热线：【0571-96596】</w:t>
              <w:br/>
              <w:t>27.企业名称：【浙江台州路桥农村商业银行股份有限公司】</w:t>
              <w:br/>
              <w:t>住所：【浙江省台州市路桥区西路桥大道328号】</w:t>
              <w:br/>
              <w:t>客户服务热线：【0571-96596】</w:t>
              <w:br/>
              <w:t>28.企业名称：【浙江台州黄岩农村商业银行股份有限公司】</w:t>
              <w:br/>
              <w:t>住所：【浙江省台州市黄岩区洞天路88号】</w:t>
              <w:br/>
              <w:t>客户服务热线：【0571-96596】</w:t>
              <w:br/>
              <w:t>29.企业名称：【浙江嘉善农村商业银行股份有限公司】</w:t>
              <w:br/>
              <w:t>住所：【浙江省嘉兴市嘉善县罗星街道车站南路999号】</w:t>
              <w:br/>
              <w:t>客户服务热线：【0571-96596】</w:t>
              <w:br/>
              <w:t>30.企业名称：【浙江桐乡农村商业银行股份有限公司】</w:t>
              <w:br/>
              <w:t>住所：【浙江省嘉兴市桐乡市梧桐街道校场东路59号】</w:t>
              <w:br/>
              <w:t>客户服务热线：【0571-96596】</w:t>
              <w:br/>
              <w:t>31.企业名称：【浙江禾城农村商业银行股份有限公司】</w:t>
              <w:br/>
              <w:t>住所：【浙江省嘉兴市经济技术开发区文昌路1229号】</w:t>
              <w:br/>
              <w:t>客户服务热线：【0571-96596】</w:t>
              <w:br/>
              <w:t>32.企业名称：【浙江天台农村商业银行股份有限公司】</w:t>
              <w:br/>
              <w:t>住所：【浙江省天台县赤城街道飞鹤路358号】</w:t>
              <w:br/>
              <w:t>客户服务热线：【0571-96596】</w:t>
              <w:br/>
              <w:t>33.企业名称：【宁波北仑农村商业银行股份有限公司】</w:t>
              <w:br/>
              <w:t>住所：【浙江省宁波市北仑区新碶宝山路69号（凤凰国际商务广场）1幢69号、63号（凤凰国际商务广场）1幢（2-26层）】</w:t>
              <w:br/>
              <w:t>客户服务热线：【0571-96596】</w:t>
              <w:br/>
              <w:t>34.企业名称：【宁波奉化农村商业银行股份有限公司】</w:t>
              <w:br/>
              <w:t>住所：【浙江省宁波市奉化区锦屏街道中山路27号】</w:t>
              <w:br/>
              <w:t>客户服务热线：【0571-96596】</w:t>
              <w:br/>
              <w:t>35.企业名称：【宁波甬城农村商业银行股份有限公司】</w:t>
              <w:br/>
              <w:t>住所：【浙江省宁波市江北区育才路15、17号】</w:t>
              <w:br/>
              <w:t>客户服务热线：【0571-96596】</w:t>
              <w:br/>
              <w:t>36.企业名称：【浙江嵊州农村商业银行股份有限公司】</w:t>
              <w:br/>
              <w:t>住所：【浙江省嵊州市剡湖街道官河路398号】</w:t>
              <w:br/>
              <w:t>客户服务热线：【0571-96596】</w:t>
              <w:br/>
              <w:t>37.企业名称：【浙江嵊泗农村商业银行股份有限公司】</w:t>
              <w:br/>
              <w:t>住所：【浙江省嵊泗县菜园镇沙河路110号】</w:t>
              <w:br/>
              <w:t>客户服务热线：【0571-96596】</w:t>
              <w:br/>
              <w:t>38.企业名称：【浙江平湖农村商业银行股份有限公司】</w:t>
              <w:br/>
              <w:t>住所：【浙江省平湖市当湖街道胜利路518号】</w:t>
              <w:br/>
              <w:t>客户服务热线：【0571-96596】</w:t>
              <w:br/>
              <w:t>39.企业名称：【浙江平阳农村商业银行股份有限公司】</w:t>
              <w:br/>
              <w:t>住所：【浙江省平阳县鳌江镇车站大道999号】</w:t>
              <w:br/>
              <w:t>客户服务热线：【0571-96596】</w:t>
              <w:br/>
              <w:t>40.企业名称：【浙江建德农村商业银行股份有限公司】</w:t>
              <w:br/>
              <w:t>住所：【浙江省建德市新安江街道江滨中路176号】</w:t>
              <w:br/>
              <w:t>客户服务热线：【0571-96596】</w:t>
              <w:br/>
              <w:t>41.企业名称：【浙江德清农村商业银行股份有限公司】</w:t>
              <w:br/>
              <w:t>住所：【浙江省德清县武康街道沈长圩街50号】</w:t>
              <w:br/>
              <w:t>客户服务热线：【0571-96596】</w:t>
              <w:br/>
              <w:t>42.企业名称：【宁波慈溪农村商业银行股份有限公司】</w:t>
              <w:br/>
              <w:t>住所：【浙江省慈溪市浒山街道南城路 25 号、59 号 5-6 楼】</w:t>
              <w:br/>
              <w:t>客户服务热线：【0571-96596】</w:t>
              <w:br/>
              <w:t>43.企业名称：【浙江新昌农村商业银行股份有限公司】</w:t>
              <w:br/>
              <w:t>住所：【浙江省新昌县七星街道七星路18号】</w:t>
              <w:br/>
              <w:t>客户服务热线：【0571-96596】</w:t>
              <w:br/>
              <w:t>44.企业名称：【杭州联合农村商业银行股份有限公司】</w:t>
              <w:br/>
              <w:t>住所：【浙江省杭州市上城区建国中路99号】</w:t>
              <w:br/>
              <w:t>客户服务热线：【0571-96596】</w:t>
              <w:br/>
              <w:t>45.企业名称：【浙江临安农村商业银行股份有限公司】</w:t>
              <w:br/>
              <w:t>住所：【浙江省杭州市临安区锦城街道城中街442号】</w:t>
              <w:br/>
              <w:t>客户服务热线：【0571-96596】</w:t>
              <w:br/>
              <w:t>46.企业名称：【浙江杭州余杭农村商业银行股份有限公司】</w:t>
              <w:br/>
              <w:t>住所：【浙江省杭州市临平区南苑街道南大街72号】</w:t>
              <w:br/>
              <w:t>客户服务热线：【0571-96596】</w:t>
              <w:br/>
              <w:t>47.企业名称：【浙江富阳农村商业银行股份有限公司】</w:t>
              <w:br/>
              <w:t>住所：【浙江省杭州市富阳区鹿山街道依江路501号第1幢】</w:t>
              <w:br/>
              <w:t>客户服务热线：【0571-96596】</w:t>
              <w:br/>
              <w:t>48.企业名称：【浙江桐庐农村商业银行股份有限公司】</w:t>
              <w:br/>
              <w:t>住所：【浙江省杭州市桐庐县城迎春南路278号】</w:t>
              <w:br/>
              <w:t>客户服务热线：【0571-96596】</w:t>
              <w:br/>
              <w:t>49.企业名称：【浙江淳安农村商业银行股份有限公司】</w:t>
              <w:br/>
              <w:t>住所：【浙江省杭州市淳安县千岛湖镇环湖北路369号】</w:t>
              <w:br/>
              <w:t>客户服务热线：【0571-96596】</w:t>
              <w:br/>
              <w:t>50.企业名称：【浙江萧山农村商业银行股份有限公司】</w:t>
              <w:br/>
              <w:t>住所：【浙江省杭州市萧山区人民路258号】</w:t>
              <w:br/>
              <w:t>客户服务热线：【0571-96596】</w:t>
              <w:br/>
              <w:t>51.企业名称：【浙江武义农村商业银行股份有限公司】</w:t>
              <w:br/>
              <w:t>住所：【浙江省武义县城武阳中路37号】</w:t>
              <w:br/>
              <w:t>客户服务热线：【0571-96596】</w:t>
              <w:br/>
              <w:t>52.企业名称：【浙江江山农村商业银行股份有限公司】</w:t>
              <w:br/>
              <w:t>住所：【浙江省江山市双塔街道江滨路188号】</w:t>
              <w:br/>
              <w:t>客户服务热线：【0571-96596】</w:t>
              <w:br/>
              <w:t>53.企业名称：【浙江浦江农村商业银行股份有限公司】</w:t>
              <w:br/>
              <w:t>住所：【浙江省浦江县人民东路90号】</w:t>
              <w:br/>
              <w:t>客户服务热线：【0571-96596】</w:t>
              <w:br/>
              <w:t>54.企业名称：【浙江海宁农村商业银行股份有限公司】</w:t>
              <w:br/>
              <w:t>住所：【浙江省海宁市海洲街道钱江西路278号】</w:t>
              <w:br/>
              <w:t>客户服务热线：【0571-96596】</w:t>
              <w:br/>
              <w:t>55.企业名称：【浙江海盐农村商业银行股份有限公司】</w:t>
              <w:br/>
              <w:t>住所：【浙江省海盐县武原街道枣园西路176号】</w:t>
              <w:br/>
              <w:t>客户服务热线：【0571-96596】</w:t>
              <w:br/>
              <w:t>56.企业名称：【浙江文成农村商业银行股份有限公司】</w:t>
              <w:br/>
              <w:t>住所：【浙江省温州市文成县大峃镇伯温路6号】</w:t>
              <w:br/>
              <w:t>客户服务热线：【0571-96596】</w:t>
              <w:br/>
              <w:t>57.企业名称：【浙江永嘉农村商业银行股份有限公司】</w:t>
              <w:br/>
              <w:t>住所：【浙江省温州市永嘉县瓯北街道阳光大道3918号101室、201室、301室、401室、501室、1101室、1801室、2201室】</w:t>
              <w:br/>
              <w:t>客户服务热线：【0571-96596】</w:t>
              <w:br/>
              <w:t>58.企业名称：【浙江泰顺农村商业银行股份有限公司】</w:t>
              <w:br/>
              <w:t>住所：【浙江省温州市泰顺县罗阳镇新城区文祥大道181号】</w:t>
              <w:br/>
              <w:t>客户服务热线：【0571-96596】</w:t>
              <w:br/>
              <w:t>59.企业名称：【浙江温州瓯海农村商业银行股份有限公司】</w:t>
              <w:br/>
              <w:t>住所：【浙江省温州市瓯海区瓯海大道989号】</w:t>
              <w:br/>
              <w:t>客户服务热线：【0571-96596】</w:t>
              <w:br/>
              <w:t>60.企业名称：【浙江温州鹿城农村商业银行股份有限公司】</w:t>
              <w:br/>
              <w:t>住所：【浙江省温州市鹿城区会展路1500号富银大厦】</w:t>
              <w:br/>
              <w:t>客户服务热线：【0571-96596】</w:t>
              <w:br/>
              <w:t>61.企业名称：【浙江温州龙湾农村商业银行股份有限公司】</w:t>
              <w:br/>
              <w:t>住所：【浙江省温州市龙湾区永中街道永宁西路555号】</w:t>
              <w:br/>
              <w:t>客户服务热线：【0571-96596】</w:t>
              <w:br/>
              <w:t>62.企业名称：【湖州吴兴农村商业银行股份有限公司】</w:t>
              <w:br/>
              <w:t>住所：【浙江省湖州市东街55号】</w:t>
              <w:br/>
              <w:t>客户服务热线：【0571-96596】</w:t>
              <w:br/>
              <w:t>63.企业名称：【浙江南浔农村商业银行股份有限公司】</w:t>
              <w:br/>
              <w:t>住所：【浙江省湖州市南浔区南浔镇人瑞路1188号】</w:t>
              <w:br/>
              <w:t>客户服务热线：【0571-96596】</w:t>
              <w:br/>
              <w:t>64.企业名称：【浙江安吉农村商业银行股份有限公司】</w:t>
              <w:br/>
              <w:t>住所：【浙江省湖州市安吉县昌硕街道昌硕东路1号(自主申报)】</w:t>
              <w:br/>
              <w:t>客户服务热线：【0571-96596】</w:t>
              <w:br/>
              <w:t>65.企业名称：【浙江长兴农村商业银行股份有限公司】</w:t>
              <w:br/>
              <w:t>住所：【浙江省湖州市长兴县太湖街道明珠路1298号】</w:t>
              <w:br/>
              <w:t>客户服务热线：【0571-96596】</w:t>
              <w:br/>
              <w:t>66.企业名称：【浙江玉环农村商业银行股份有限公司】</w:t>
              <w:br/>
              <w:t>住所：【浙江省玉环市玉城街道珠港大道26号】</w:t>
              <w:br/>
              <w:t>客户服务热线：【0571-96596】</w:t>
              <w:br/>
              <w:t>67.企业名称：【浙江上虞农村商业银行股份有限公司】</w:t>
              <w:br/>
              <w:t>住所：【浙江省百官街道德盛路55号】</w:t>
              <w:br/>
              <w:t>客户服务热线：【0571-96596】</w:t>
              <w:br/>
              <w:t>68.企业名称：【浙江绍兴恒信农村商业银行股份有限公司】</w:t>
              <w:br/>
              <w:t>住所：【浙江省绍兴市中兴中路159号】</w:t>
              <w:br/>
              <w:t>客户服务热线：【0571-96596】</w:t>
              <w:br/>
              <w:t>69.企业名称：【浙江绍兴瑞丰农村商业银行股份有限公司】</w:t>
              <w:br/>
              <w:t>住所：【浙江省绍兴市柯桥区柯桥笛扬路1363号】</w:t>
              <w:br/>
              <w:t>客户服务热线：【0571-96596】</w:t>
              <w:br/>
              <w:t>70.企业名称：【浙江舟山定海海洋农村商业银行股份有限公司】</w:t>
              <w:br/>
              <w:t>住所：【浙江省舟山市定海区环城东路81号】</w:t>
              <w:br/>
              <w:t>客户服务热线：【0571-96596】</w:t>
              <w:br/>
              <w:t>71.企业名称：【浙江岱山农村商业银行股份有限公司】</w:t>
              <w:br/>
              <w:t>住所：【浙江省舟山市岱山县高亭镇衢山大道1009号(自主申报)】</w:t>
              <w:br/>
              <w:t>客户服务热线：【0571-96596】</w:t>
              <w:br/>
              <w:t>72.企业名称：【浙江舟山普陀农村商业银行股份有限公司】</w:t>
              <w:br/>
              <w:t>住所：【浙江省舟山市普陀区东港街道麒麟街225号（自贸试验区内）】</w:t>
              <w:br/>
              <w:t>客户服务热线：【0571-96596】</w:t>
              <w:br/>
              <w:t>73.企业名称：【浙江苍南农村商业银行股份有限公司】</w:t>
              <w:br/>
              <w:t>住所：【浙江省苍南县灵溪镇人民大道425号】</w:t>
              <w:br/>
              <w:t>客户服务热线：【0571-96596】</w:t>
              <w:br/>
              <w:t>74.企业名称：【浙江常山农村商业银行股份有限公司】</w:t>
              <w:br/>
              <w:t>住所：【浙江省衢州市常山县天马街道人民路125号】</w:t>
              <w:br/>
              <w:t>客户服务热线：【0571-96596】</w:t>
              <w:br/>
              <w:t>75.企业名称：【浙江开化农村商业银行股份有限公司】</w:t>
              <w:br/>
              <w:t>住所：【浙江省衢州市开化县华埠镇永吉二路8号】</w:t>
              <w:br/>
              <w:t>客户服务热线：【0571-96596】</w:t>
              <w:br/>
              <w:t>76.企业名称：【浙江衢州衢江农村商业银行股份有限公司】</w:t>
              <w:br/>
              <w:t>住所：【浙江省衢州市衢江区樟潭街道信安东路37号】</w:t>
              <w:br/>
              <w:t>客户服务热线：【0571-96596】</w:t>
              <w:br/>
              <w:t>77.企业名称：【浙江龙游农村商业银行股份有限公司】</w:t>
              <w:br/>
              <w:t>住所：【浙江省衢州市龙游县龙洲街道荣昌大道683、685、687号】</w:t>
              <w:br/>
              <w:t>客户服务热线：【0571-96596】</w:t>
              <w:br/>
              <w:t>78.企业名称：【浙江诸暨农村商业银行股份有限公司】</w:t>
              <w:br/>
              <w:t>住所：【浙江省诸暨市暨阳街道大桥东路2号】</w:t>
              <w:br/>
              <w:t>客户服务热线：【0571-96596】</w:t>
              <w:br/>
              <w:t>79.企业名称：【浙江金华成泰农村商业银行股份有限公司】</w:t>
              <w:br/>
              <w:t>住所：【浙江省金华市八一南街123号】</w:t>
              <w:br/>
              <w:t>客户服务热线：【0571-96596】</w:t>
              <w:br/>
              <w:t>80.企业名称：【浙江永康农村商业银行股份有限公司】</w:t>
              <w:br/>
              <w:t>住所：【浙江省金华市永康市九铃东路3259号】</w:t>
              <w:br/>
              <w:t>客户服务热线：【0571-96596】</w:t>
              <w:br/>
              <w:t>81.企业名称：【浙江青田农村商业银行股份有限公司】</w:t>
              <w:br/>
              <w:t>住所：【浙江省青田县鹤城街道鹤城东路180号】</w:t>
              <w:br/>
              <w:t>客户服务热线：【0571-96596】</w:t>
              <w:br/>
              <w:t>82.企业名称：【浙江瑞安农村商业银行股份有限公司】</w:t>
              <w:br/>
              <w:t>住所：【瑞安市安阳街道万松东路148号】</w:t>
              <w:br/>
              <w:t>客户服务热线：【0571-96596】</w:t>
              <w:br/>
              <w:t>83.企业名称：【江苏宜兴农村商业银行股份有限公司】</w:t>
              <w:br/>
              <w:t>住所：【江苏省宜兴市宜城街道解放东路579号】</w:t>
              <w:br/>
              <w:t>客户服务热线：【96008】</w:t>
              <w:br/>
              <w:t>84.企业名称：【江苏民丰农村商业银行股份有限公司】</w:t>
              <w:br/>
              <w:t>住所：【江苏省宿迁市宿城区高宝湖路1号】</w:t>
              <w:br/>
              <w:t>客户服务热线：【96008】</w:t>
              <w:br/>
              <w:t>85.企业名称：【江苏响水农村商业银行股份有限公司】</w:t>
              <w:br/>
              <w:t>住所：【江苏省盐城市响水县双园路84号】</w:t>
              <w:br/>
              <w:t>客户服务热线：【96008】</w:t>
              <w:br/>
              <w:t xml:space="preserve">    </w:t>
              <w:br/>
              <w:t>【C】类份额（份额代码【AF265271C】）合作销售机构信息：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【D】类份额（份额代码【AF265271D】）合作销售机构信息：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【G】类份额（份额代码【AF265271G】）合作销售机构信息：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【S】类份额（份额代码【AF265271S】）合作销售机构信息：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后续合作销售机构如有新增、减少和变更，信银理财将按照本说明书约定的方式告知投资者。</w:t>
            </w:r>
            <w:r>
              <w:rPr>
                <w:rFonts w:ascii="楷体_GB2312" w:cs="楷体_GB2312" w:eastAsia="楷体_GB2312"/>
                <w:sz w:val="20"/>
                <w:szCs w:val="20"/>
                <w:highlight w:val="none"/>
              </w:rPr>
              <w:t/>
            </w:r>
          </w:p>
        </w:tc>
      </w:tr>
      <w:tr w14:paraId="3BF4609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E5FB7AD">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销售机构主要职责</w:t>
            </w:r>
          </w:p>
        </w:tc>
        <w:tc>
          <w:tcPr>
            <w:tcW w:type="pct" w:w="3709"/>
            <w:vAlign w:val="center"/>
          </w:tcPr>
          <w:p w14:paraId="0CCB71FB">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理财产品的宣传推广；</w:t>
            </w:r>
          </w:p>
          <w:p w14:paraId="7CDAF1AF">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投资者风险承受能力评估和投资者适当性管理；</w:t>
            </w:r>
          </w:p>
          <w:p w14:paraId="702914E0">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理财产品认</w:t>
            </w:r>
            <w:r>
              <w:rPr>
                <w:rFonts w:ascii="楷体_GB2312" w:cs="楷体_GB2312" w:eastAsia="楷体_GB2312" w:hint="eastAsia"/>
                <w:color w:themeColor="text1" w:val="000000"/>
                <w:sz w:val="20"/>
                <w:szCs w:val="20"/>
                <w:highlight w:val="none"/>
                <w14:textFill>
                  <w14:solidFill>
                    <w14:schemeClr w14:val="tx1"/>
                  </w14:solidFill>
                </w14:textFill>
              </w:rPr>
              <w:t>/申购、赎回等业务办理；</w:t>
            </w:r>
          </w:p>
          <w:p w14:paraId="4A9AD0E7">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协助管理人与投资者订立相关协议；</w:t>
            </w:r>
          </w:p>
          <w:p w14:paraId="2C74EE7E">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协助管理人与投资者沟通及进行信息披露；</w:t>
            </w:r>
          </w:p>
          <w:p w14:paraId="139ACE42">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接受投资者咨询、投诉和客户维护等销售服务；</w:t>
            </w:r>
          </w:p>
          <w:p w14:paraId="7AAA1E7A">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0D71B2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050542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w:t>
            </w:r>
          </w:p>
        </w:tc>
        <w:tc>
          <w:tcPr>
            <w:tcW w:type="pct" w:w="3709"/>
            <w:vAlign w:val="center"/>
          </w:tcPr>
          <w:p w14:paraId="7881BBF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r>
              <w:rPr>
                <w:rFonts w:ascii="楷体_GB2312" w:cs="楷体_GB2312" w:eastAsia="楷体_GB2312"/>
                <w:sz w:val="20"/>
                <w:szCs w:val="20"/>
                <w:highlight w:val="none"/>
              </w:rPr>
              <w:t/>
            </w:r>
          </w:p>
        </w:tc>
      </w:tr>
      <w:tr w14:paraId="5735591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C8FAB9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托管人职责</w:t>
            </w:r>
          </w:p>
        </w:tc>
        <w:tc>
          <w:tcPr>
            <w:tcW w:type="pct" w:w="3709"/>
            <w:vAlign w:val="center"/>
          </w:tcPr>
          <w:p w14:paraId="361E7CE9">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安全保管理财产品财产；</w:t>
            </w:r>
          </w:p>
          <w:p w14:paraId="783F89AB">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按照托管协议约定和管理人的投资指令，及时办理理财产品的清算、交割事宜，核对理财产品资金划拨记录；</w:t>
            </w:r>
          </w:p>
          <w:p w14:paraId="15E5EBA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建立与理财产品管理人的对账机制，复核、审查理财产品资金头寸、资产账目、</w:t>
            </w:r>
            <w:r>
              <w:rPr>
                <w:rFonts w:ascii="楷体_GB2312" w:cs="楷体_GB2312" w:eastAsia="楷体_GB2312"/>
                <w:color w:themeColor="text1" w:val="000000"/>
                <w:sz w:val="20"/>
                <w:szCs w:val="20"/>
                <w:highlight w:val="none"/>
                <w14:textFill>
                  <w14:solidFill>
                    <w14:schemeClr w14:val="tx1"/>
                  </w14:solidFill>
                </w14:textFill>
              </w:rPr>
              <w:t>资产净值</w:t>
            </w:r>
            <w:r>
              <w:rPr>
                <w:rFonts w:ascii="楷体_GB2312" w:cs="楷体_GB2312" w:eastAsia="楷体_GB2312" w:hint="eastAsia"/>
                <w:color w:themeColor="text1" w:val="000000"/>
                <w:sz w:val="20"/>
                <w:szCs w:val="20"/>
                <w:highlight w:val="none"/>
                <w14:textFill>
                  <w14:solidFill>
                    <w14:schemeClr w14:val="tx1"/>
                  </w14:solidFill>
                </w14:textFill>
              </w:rPr>
              <w:t>、理财产品份额认/申购、赎回价格等数据，及时核查认/申购、赎回以及投资资金的支付和到账情况；</w:t>
            </w:r>
          </w:p>
          <w:p w14:paraId="28C9B121">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监督理财产品投资运作，发现理财产品违反法律、行政法规、规章规定或合同约定进行投资的，应当拒绝执行，及时通知理财产品管理人并报告国务院银行业监督管理机构；</w:t>
            </w:r>
          </w:p>
          <w:p w14:paraId="4D3CA57E">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保存理财产品托管业务活动的记录、账册、报表和其他相关材料1</w:t>
            </w:r>
            <w:r>
              <w:rPr>
                <w:rFonts w:ascii="楷体_GB2312" w:cs="楷体_GB2312" w:eastAsia="楷体_GB2312"/>
                <w:color w:themeColor="text1" w:val="000000"/>
                <w:sz w:val="20"/>
                <w:szCs w:val="20"/>
                <w:highlight w:val="none"/>
                <w14:textFill>
                  <w14:solidFill>
                    <w14:schemeClr w14:val="tx1"/>
                  </w14:solidFill>
                </w14:textFill>
              </w:rPr>
              <w:t>5</w:t>
            </w:r>
            <w:r>
              <w:rPr>
                <w:rFonts w:ascii="楷体_GB2312" w:cs="楷体_GB2312" w:eastAsia="楷体_GB2312" w:hint="eastAsia"/>
                <w:color w:themeColor="text1" w:val="000000"/>
                <w:sz w:val="20"/>
                <w:szCs w:val="20"/>
                <w:highlight w:val="none"/>
                <w14:textFill>
                  <w14:solidFill>
                    <w14:schemeClr w14:val="tx1"/>
                  </w14:solidFill>
                </w14:textFill>
              </w:rPr>
              <w:t>年以上；</w:t>
            </w:r>
          </w:p>
          <w:p w14:paraId="65054DC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3191A57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5AE062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理财托管</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382C2B1E">
            <w:pPr>
              <w:spacing w:line="300" w:lineRule="exact"/>
              <w:ind w:firstLine="284" w:firstLineChars="14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C5387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5031BE54">
            <w:pPr>
              <w:pStyle w:val="20"/>
              <w:spacing w:line="300" w:lineRule="exact"/>
              <w:ind w:firstLine="0"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投资者认购或申购（如有）理财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的资金划出账户与理财产品到期或期间赎回（如有）接收资金的银行</w:t>
            </w:r>
            <w:r>
              <w:rPr>
                <w:rFonts w:ascii="楷体_GB2312" w:cs="楷体_GB2312" w:eastAsia="楷体_GB2312"/>
                <w:color w:themeColor="text1" w:val="000000"/>
                <w:sz w:val="20"/>
                <w:szCs w:val="20"/>
                <w:highlight w:val="none"/>
                <w14:textFill>
                  <w14:solidFill>
                    <w14:schemeClr w14:val="tx1"/>
                  </w14:solidFill>
                </w14:textFill>
              </w:rPr>
              <w:t>结算</w:t>
            </w:r>
            <w:r>
              <w:rPr>
                <w:rFonts w:ascii="楷体_GB2312" w:cs="楷体_GB2312" w:eastAsia="楷体_GB2312" w:hint="eastAsia"/>
                <w:color w:themeColor="text1" w:val="000000"/>
                <w:sz w:val="20"/>
                <w:szCs w:val="20"/>
                <w:highlight w:val="none"/>
                <w14:textFill>
                  <w14:solidFill>
                    <w14:schemeClr w14:val="tx1"/>
                  </w14:solidFill>
                </w14:textFill>
              </w:rPr>
              <w:t>账户。在本理财产品存续期间，除非经理财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C9168B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理财账户</w:t>
            </w:r>
          </w:p>
        </w:tc>
        <w:tc>
          <w:tcPr>
            <w:tcW w:type="pct" w:w="3709"/>
            <w:vAlign w:val="center"/>
          </w:tcPr>
          <w:p w14:paraId="28841A80">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7660C98">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理财交易账户</w:t>
            </w:r>
          </w:p>
        </w:tc>
        <w:tc>
          <w:tcPr>
            <w:tcW w:type="pct" w:w="3709"/>
            <w:vAlign w:val="center"/>
          </w:tcPr>
          <w:p w14:paraId="32D4C033">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cs="楷体_GB2312" w:eastAsia="楷体_GB2312"/>
                <w:color w:themeColor="text1" w:val="000000"/>
                <w:sz w:val="20"/>
                <w:szCs w:val="20"/>
                <w:highlight w:val="none"/>
                <w14:textFill>
                  <w14:solidFill>
                    <w14:schemeClr w14:val="tx1"/>
                  </w14:solidFill>
                </w14:textFill>
              </w:rPr>
              <w:t>。具体</w:t>
            </w:r>
            <w:r>
              <w:rPr>
                <w:rFonts w:ascii="楷体_GB2312" w:cs="楷体_GB2312" w:eastAsia="楷体_GB2312" w:hint="eastAsia"/>
                <w:color w:themeColor="text1" w:val="000000"/>
                <w:sz w:val="20"/>
                <w:szCs w:val="20"/>
                <w:highlight w:val="none"/>
                <w14:textFill>
                  <w14:solidFill>
                    <w14:schemeClr w14:val="tx1"/>
                  </w14:solidFill>
                </w14:textFill>
              </w:rPr>
              <w:t>开户</w:t>
            </w:r>
            <w:r>
              <w:rPr>
                <w:rFonts w:ascii="楷体_GB2312" w:cs="楷体_GB2312" w:eastAsia="楷体_GB2312"/>
                <w:color w:themeColor="text1" w:val="000000"/>
                <w:sz w:val="20"/>
                <w:szCs w:val="20"/>
                <w:highlight w:val="none"/>
                <w14:textFill>
                  <w14:solidFill>
                    <w14:schemeClr w14:val="tx1"/>
                  </w14:solidFill>
                </w14:textFill>
              </w:rPr>
              <w:t>流程应</w:t>
            </w:r>
            <w:r>
              <w:rPr>
                <w:rFonts w:ascii="楷体_GB2312" w:cs="楷体_GB2312" w:eastAsia="楷体_GB2312" w:hint="eastAsia"/>
                <w:color w:themeColor="text1" w:val="000000"/>
                <w:sz w:val="20"/>
                <w:szCs w:val="20"/>
                <w:highlight w:val="none"/>
                <w14:textFill>
                  <w14:solidFill>
                    <w14:schemeClr w14:val="tx1"/>
                  </w14:solidFill>
                </w14:textFill>
              </w:rPr>
              <w:t>遵守</w:t>
            </w:r>
            <w:r>
              <w:rPr>
                <w:rFonts w:ascii="楷体_GB2312" w:cs="楷体_GB2312" w:eastAsia="楷体_GB2312"/>
                <w:color w:themeColor="text1" w:val="000000"/>
                <w:sz w:val="20"/>
                <w:szCs w:val="20"/>
                <w:highlight w:val="none"/>
                <w14:textFill>
                  <w14:solidFill>
                    <w14:schemeClr w14:val="tx1"/>
                  </w14:solidFill>
                </w14:textFill>
              </w:rPr>
              <w:t>信银理财或代销机构</w:t>
            </w:r>
            <w:r>
              <w:rPr>
                <w:rFonts w:ascii="楷体_GB2312" w:cs="楷体_GB2312" w:eastAsia="楷体_GB2312" w:hint="eastAsia"/>
                <w:color w:themeColor="text1" w:val="000000"/>
                <w:sz w:val="20"/>
                <w:szCs w:val="20"/>
                <w:highlight w:val="none"/>
                <w14:textFill>
                  <w14:solidFill>
                    <w14:schemeClr w14:val="tx1"/>
                  </w14:solidFill>
                </w14:textFill>
              </w:rPr>
              <w:t>网点</w:t>
            </w:r>
            <w:r>
              <w:rPr>
                <w:rFonts w:ascii="楷体_GB2312" w:cs="楷体_GB2312" w:eastAsia="楷体_GB2312"/>
                <w:color w:themeColor="text1" w:val="000000"/>
                <w:sz w:val="20"/>
                <w:szCs w:val="20"/>
                <w:highlight w:val="none"/>
                <w14:textFill>
                  <w14:solidFill>
                    <w14:schemeClr w14:val="tx1"/>
                  </w14:solidFill>
                </w14:textFill>
              </w:rPr>
              <w:t>或线上办理要求。</w:t>
            </w:r>
          </w:p>
        </w:tc>
      </w:tr>
      <w:tr w14:paraId="79CDDB8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7F6AE4F">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信息披露</w:t>
            </w:r>
          </w:p>
        </w:tc>
        <w:tc>
          <w:tcPr>
            <w:tcW w:type="pct" w:w="3709"/>
            <w:vAlign w:val="center"/>
          </w:tcPr>
          <w:p w14:paraId="27FDFA24">
            <w:pPr>
              <w:pStyle w:val="20"/>
              <w:numPr>
                <w:ilvl w:val="3"/>
                <w:numId w:val="5"/>
              </w:numPr>
              <w:spacing w:line="300" w:lineRule="exact"/>
              <w:ind w:firstLineChars="0" w:hanging="425" w:left="427"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将通过【</w:t>
            </w:r>
            <w:r>
              <w:rPr>
                <w:rFonts w:ascii="楷体_GB2312" w:cs="楷体_GB2312" w:eastAsia="楷体_GB2312" w:hint="eastAsia"/>
                <w:color w:themeColor="text1" w:val="000000"/>
                <w:sz w:val="20"/>
                <w:szCs w:val="20"/>
                <w:highlight w:val="none"/>
                <w14:textFill>
                  <w14:solidFill>
                    <w14:schemeClr w14:val="tx1"/>
                  </w14:solidFill>
                </w14:textFill>
              </w:rPr>
              <w:t>信银理财官方网站（</w:t>
            </w:r>
            <w:r>
              <w:rPr>
                <w:highlight w:val="none"/>
              </w:rPr>
              <w:fldChar w:fldCharType="begin"/>
            </w:r>
            <w:r>
              <w:rPr>
                <w:highlight w:val="none"/>
              </w:rPr>
              <w:instrText xml:space="preserve"> HYPERLINK "http://www.citic-wealth.com" </w:instrText>
            </w:r>
            <w:r>
              <w:rPr>
                <w:highlight w:val="none"/>
              </w:rPr>
              <w:fldChar w:fldCharType="separate"/>
            </w:r>
            <w:r>
              <w:rPr>
                <w:rStyle w:val="12"/>
                <w:rFonts w:ascii="楷体_GB2312" w:cs="楷体_GB2312" w:eastAsia="楷体_GB2312"/>
                <w:sz w:val="20"/>
                <w:szCs w:val="20"/>
                <w:highlight w:val="none"/>
              </w:rPr>
              <w:t>http://www.citic-wealth.com</w:t>
            </w:r>
            <w:r>
              <w:rPr>
                <w:rStyle w:val="12"/>
                <w:rFonts w:ascii="楷体_GB2312" w:cs="楷体_GB2312" w:eastAsia="楷体_GB2312"/>
                <w:sz w:val="20"/>
                <w:szCs w:val="20"/>
                <w:highlight w:val="none"/>
              </w:rPr>
              <w:fldChar w:fldCharType="end"/>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披露</w:t>
            </w:r>
            <w:r>
              <w:rPr>
                <w:rFonts w:ascii="楷体_GB2312" w:cs="楷体_GB2312" w:eastAsia="楷体_GB2312"/>
                <w:color w:themeColor="text1" w:val="000000"/>
                <w:sz w:val="20"/>
                <w:szCs w:val="20"/>
                <w:highlight w:val="none"/>
                <w14:textFill>
                  <w14:solidFill>
                    <w14:schemeClr w14:val="tx1"/>
                  </w14:solidFill>
                </w14:textFill>
              </w:rPr>
              <w:t>本理财产品的各类信息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并按照国家金融监督管理总局</w:t>
            </w:r>
            <w:r>
              <w:rPr>
                <w:rFonts w:ascii="楷体_GB2312" w:cs="楷体_GB2312" w:eastAsia="楷体_GB2312"/>
                <w:color w:themeColor="text1" w:val="000000"/>
                <w:sz w:val="20"/>
                <w:szCs w:val="20"/>
                <w:highlight w:val="none"/>
                <w14:textFill>
                  <w14:solidFill>
                    <w14:schemeClr w14:val="tx1"/>
                  </w14:solidFill>
                </w14:textFill>
              </w:rPr>
              <w:t>规定</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在【中国理财网（www.chinawealth.com.cn）】披露本理财产品的相关信息</w:t>
            </w:r>
            <w:r>
              <w:rPr>
                <w:rFonts w:ascii="楷体_GB2312" w:cs="楷体_GB2312" w:eastAsia="楷体_GB2312"/>
                <w:color w:themeColor="text1" w:val="000000"/>
                <w:sz w:val="20"/>
                <w:szCs w:val="20"/>
                <w:highlight w:val="none"/>
                <w14:textFill>
                  <w14:solidFill>
                    <w14:schemeClr w14:val="tx1"/>
                  </w14:solidFill>
                </w14:textFill>
              </w:rPr>
              <w:t>。</w:t>
            </w:r>
          </w:p>
          <w:p w14:paraId="5811A9B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本理财产品存续期间内，因</w:t>
            </w:r>
            <w:r>
              <w:rPr>
                <w:rFonts w:ascii="楷体_GB2312" w:cs="楷体_GB2312" w:eastAsia="楷体_GB2312"/>
                <w:color w:themeColor="text1" w:val="000000"/>
                <w:sz w:val="20"/>
                <w:szCs w:val="20"/>
                <w:highlight w:val="none"/>
                <w14:textFill>
                  <w14:solidFill>
                    <w14:schemeClr w14:val="tx1"/>
                  </w14:solidFill>
                </w14:textFill>
              </w:rPr>
              <w:t>国家法律法规、监管规定发生变化，或是出于维持本产品正常运营需要</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在不损害投资者</w:t>
            </w:r>
            <w:r>
              <w:rPr>
                <w:rFonts w:ascii="楷体_GB2312" w:cs="楷体_GB2312" w:eastAsia="楷体_GB2312" w:hint="eastAsia"/>
                <w:color w:themeColor="text1" w:val="000000"/>
                <w:sz w:val="20"/>
                <w:szCs w:val="20"/>
                <w:highlight w:val="none"/>
                <w14:textFill>
                  <w14:solidFill>
                    <w14:schemeClr w14:val="tx1"/>
                  </w14:solidFill>
                </w14:textFill>
              </w:rPr>
              <w:t>利益</w:t>
            </w:r>
            <w:r>
              <w:rPr>
                <w:rFonts w:ascii="楷体_GB2312" w:cs="楷体_GB2312" w:eastAsia="楷体_GB2312"/>
                <w:color w:themeColor="text1" w:val="000000"/>
                <w:sz w:val="20"/>
                <w:szCs w:val="20"/>
                <w:highlight w:val="none"/>
                <w14:textFill>
                  <w14:solidFill>
                    <w14:schemeClr w14:val="tx1"/>
                  </w14:solidFill>
                </w14:textFill>
              </w:rPr>
              <w:t>的前提下</w:t>
            </w:r>
            <w:r>
              <w:rPr>
                <w:rFonts w:ascii="楷体_GB2312" w:cs="楷体_GB2312" w:eastAsia="楷体_GB2312" w:hint="eastAsia"/>
                <w:color w:themeColor="text1" w:val="000000"/>
                <w:sz w:val="20"/>
                <w:szCs w:val="20"/>
                <w:highlight w:val="none"/>
                <w14:textFill>
                  <w14:solidFill>
                    <w14:schemeClr w14:val="tx1"/>
                  </w14:solidFill>
                </w14:textFill>
              </w:rPr>
              <w:t>，信银理财有权提前【2】个工作日向投资者发出</w:t>
            </w:r>
            <w:r>
              <w:rPr>
                <w:rFonts w:ascii="楷体_GB2312" w:cs="楷体_GB2312" w:eastAsia="楷体_GB2312"/>
                <w:color w:themeColor="text1" w:val="000000"/>
                <w:sz w:val="20"/>
                <w:szCs w:val="20"/>
                <w:highlight w:val="none"/>
                <w14:textFill>
                  <w14:solidFill>
                    <w14:schemeClr w14:val="tx1"/>
                  </w14:solidFill>
                </w14:textFill>
              </w:rPr>
              <w:t>通知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符合监管规定的方式</w:t>
            </w:r>
            <w:r>
              <w:rPr>
                <w:rFonts w:ascii="楷体_GB2312" w:cs="楷体_GB2312" w:eastAsia="楷体_GB2312" w:hint="eastAsia"/>
                <w:color w:themeColor="text1" w:val="000000"/>
                <w:sz w:val="20"/>
                <w:szCs w:val="20"/>
                <w:highlight w:val="none"/>
                <w14:textFill>
                  <w14:solidFill>
                    <w14:schemeClr w14:val="tx1"/>
                  </w14:solidFill>
                </w14:textFill>
              </w:rPr>
              <w:t>对说明书条款进行补充、说明和修改。</w:t>
            </w:r>
          </w:p>
          <w:p w14:paraId="07DBB1E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决定理财产品不成立，将在决定本理财产品不成立后的【2】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w:t>
            </w:r>
            <w:r>
              <w:rPr>
                <w:rFonts w:ascii="楷体_GB2312" w:cs="楷体_GB2312" w:eastAsia="楷体_GB2312" w:hint="eastAsia"/>
                <w:color w:themeColor="text1" w:val="000000"/>
                <w:sz w:val="20"/>
                <w:szCs w:val="20"/>
                <w:highlight w:val="none"/>
                <w14:textFill>
                  <w14:solidFill>
                    <w14:schemeClr w14:val="tx1"/>
                  </w14:solidFill>
                </w14:textFill>
              </w:rPr>
              <w:t>内向</w:t>
            </w:r>
            <w:r>
              <w:rPr>
                <w:rFonts w:ascii="楷体_GB2312" w:cs="楷体_GB2312" w:eastAsia="楷体_GB2312"/>
                <w:color w:themeColor="text1" w:val="000000"/>
                <w:sz w:val="20"/>
                <w:szCs w:val="20"/>
                <w:highlight w:val="none"/>
                <w14:textFill>
                  <w14:solidFill>
                    <w14:schemeClr w14:val="tx1"/>
                  </w14:solidFill>
                </w14:textFill>
              </w:rPr>
              <w:t>投资者发布信息。</w:t>
            </w:r>
          </w:p>
          <w:p w14:paraId="3A94158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决定提前</w:t>
            </w:r>
            <w:r>
              <w:rPr>
                <w:rFonts w:ascii="楷体_GB2312" w:cs="楷体_GB2312" w:eastAsia="楷体_GB2312" w:hint="eastAsia"/>
                <w:color w:themeColor="text1" w:val="000000"/>
                <w:sz w:val="20"/>
                <w:szCs w:val="20"/>
                <w:highlight w:val="none"/>
                <w14:textFill>
                  <w14:solidFill>
                    <w14:schemeClr w14:val="tx1"/>
                  </w14:solidFill>
                </w14:textFill>
              </w:rPr>
              <w:t>结束募集期或</w:t>
            </w:r>
            <w:r>
              <w:rPr>
                <w:rFonts w:ascii="楷体_GB2312" w:cs="楷体_GB2312" w:eastAsia="楷体_GB2312"/>
                <w:color w:themeColor="text1" w:val="000000"/>
                <w:sz w:val="20"/>
                <w:szCs w:val="20"/>
                <w:highlight w:val="none"/>
                <w14:textFill>
                  <w14:solidFill>
                    <w14:schemeClr w14:val="tx1"/>
                  </w14:solidFill>
                </w14:textFill>
              </w:rPr>
              <w:t>延长募集期</w:t>
            </w:r>
            <w:r>
              <w:rPr>
                <w:rFonts w:ascii="楷体_GB2312" w:cs="楷体_GB2312" w:eastAsia="楷体_GB2312" w:hint="eastAsia"/>
                <w:color w:themeColor="text1" w:val="000000"/>
                <w:sz w:val="20"/>
                <w:szCs w:val="20"/>
                <w:highlight w:val="none"/>
                <w14:textFill>
                  <w14:solidFill>
                    <w14:schemeClr w14:val="tx1"/>
                  </w14:solidFill>
                </w14:textFill>
              </w:rPr>
              <w:t>的，将在</w:t>
            </w:r>
            <w:r>
              <w:rPr>
                <w:rFonts w:ascii="楷体_GB2312" w:cs="楷体_GB2312" w:eastAsia="楷体_GB2312"/>
                <w:color w:themeColor="text1" w:val="000000"/>
                <w:sz w:val="20"/>
                <w:szCs w:val="20"/>
                <w:highlight w:val="none"/>
                <w14:textFill>
                  <w14:solidFill>
                    <w14:schemeClr w14:val="tx1"/>
                  </w14:solidFill>
                </w14:textFill>
              </w:rPr>
              <w:t>决定调整募集期后的【2】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工作日内向</w:t>
            </w:r>
            <w:r>
              <w:rPr>
                <w:rFonts w:ascii="楷体_GB2312" w:cs="楷体_GB2312" w:eastAsia="楷体_GB2312" w:hint="eastAsia"/>
                <w:color w:themeColor="text1" w:val="000000"/>
                <w:sz w:val="20"/>
                <w:szCs w:val="20"/>
                <w:highlight w:val="none"/>
                <w14:textFill>
                  <w14:solidFill>
                    <w14:schemeClr w14:val="tx1"/>
                  </w14:solidFill>
                </w14:textFill>
              </w:rPr>
              <w:t>投资者发布</w:t>
            </w:r>
            <w:r>
              <w:rPr>
                <w:rFonts w:ascii="楷体_GB2312" w:cs="楷体_GB2312" w:eastAsia="楷体_GB2312"/>
                <w:color w:themeColor="text1" w:val="000000"/>
                <w:sz w:val="20"/>
                <w:szCs w:val="20"/>
                <w:highlight w:val="none"/>
                <w14:textFill>
                  <w14:solidFill>
                    <w14:schemeClr w14:val="tx1"/>
                  </w14:solidFill>
                </w14:textFill>
              </w:rPr>
              <w:t>相关信息。</w:t>
            </w:r>
          </w:p>
          <w:p w14:paraId="7965FB0F">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在本产品成立后【</w:t>
            </w: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w:t>
            </w:r>
            <w:r>
              <w:rPr>
                <w:rFonts w:ascii="楷体_GB2312" w:cs="楷体_GB2312" w:eastAsia="楷体_GB2312" w:hint="eastAsia"/>
                <w:color w:themeColor="text1" w:val="000000"/>
                <w:sz w:val="20"/>
                <w:szCs w:val="20"/>
                <w:highlight w:val="none"/>
                <w14:textFill>
                  <w14:solidFill>
                    <w14:schemeClr w14:val="tx1"/>
                  </w14:solidFill>
                </w14:textFill>
              </w:rPr>
              <w:t>日</w:t>
            </w:r>
            <w:r>
              <w:rPr>
                <w:rFonts w:ascii="楷体_GB2312" w:cs="楷体_GB2312" w:eastAsia="楷体_GB2312"/>
                <w:color w:themeColor="text1" w:val="000000"/>
                <w:sz w:val="20"/>
                <w:szCs w:val="20"/>
                <w:highlight w:val="none"/>
                <w14:textFill>
                  <w14:solidFill>
                    <w14:schemeClr w14:val="tx1"/>
                  </w14:solidFill>
                </w14:textFill>
              </w:rPr>
              <w:t>内披露发行公告。</w:t>
            </w:r>
          </w:p>
          <w:p w14:paraId="76FC2D2A">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如信银理财决定提前终止本产品，将于提前终止日前【2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个工作日向投资者发布相关信息。</w:t>
            </w:r>
          </w:p>
          <w:p w14:paraId="237D92F2">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如本产品需延期清算，将于原定到期日前【2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个工作日内向投资者发布相关信息。</w:t>
            </w:r>
          </w:p>
          <w:p w14:paraId="056B2842">
            <w:pPr>
              <w:pStyle w:val="20"/>
              <w:spacing w:line="300" w:lineRule="exact"/>
              <w:ind w:firstLine="0" w:firstLineChars="0" w:left="36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信银理财将在本产品终止</w:t>
            </w:r>
            <w:r>
              <w:rPr>
                <w:rFonts w:ascii="楷体_GB2312" w:cs="楷体_GB2312" w:eastAsia="楷体_GB2312"/>
                <w:color w:themeColor="text1" w:val="000000"/>
                <w:sz w:val="20"/>
                <w:szCs w:val="20"/>
                <w:highlight w:val="none"/>
                <w14:textFill>
                  <w14:solidFill>
                    <w14:schemeClr w14:val="tx1"/>
                  </w14:solidFill>
                </w14:textFill>
              </w:rPr>
              <w:t>（包括</w:t>
            </w:r>
            <w:r>
              <w:rPr>
                <w:rFonts w:ascii="楷体_GB2312" w:cs="楷体_GB2312" w:eastAsia="楷体_GB2312" w:hint="eastAsia"/>
                <w:color w:themeColor="text1" w:val="000000"/>
                <w:sz w:val="20"/>
                <w:szCs w:val="20"/>
                <w:highlight w:val="none"/>
                <w14:textFill>
                  <w14:solidFill>
                    <w14:schemeClr w14:val="tx1"/>
                  </w14:solidFill>
                </w14:textFill>
              </w:rPr>
              <w:t>到期和</w:t>
            </w:r>
            <w:r>
              <w:rPr>
                <w:rFonts w:ascii="楷体_GB2312" w:cs="楷体_GB2312" w:eastAsia="楷体_GB2312"/>
                <w:color w:themeColor="text1" w:val="000000"/>
                <w:sz w:val="20"/>
                <w:szCs w:val="20"/>
                <w:highlight w:val="none"/>
                <w14:textFill>
                  <w14:solidFill>
                    <w14:schemeClr w14:val="tx1"/>
                  </w14:solidFill>
                </w14:textFill>
              </w:rPr>
              <w:t>提前终止）</w:t>
            </w:r>
            <w:r>
              <w:rPr>
                <w:rFonts w:ascii="楷体_GB2312" w:cs="楷体_GB2312" w:eastAsia="楷体_GB2312" w:hint="eastAsia"/>
                <w:color w:themeColor="text1" w:val="000000"/>
                <w:sz w:val="20"/>
                <w:szCs w:val="20"/>
                <w:highlight w:val="none"/>
                <w14:textFill>
                  <w14:solidFill>
                    <w14:schemeClr w14:val="tx1"/>
                  </w14:solidFill>
                </w14:textFill>
              </w:rPr>
              <w:t>日后【5】个工作日内，向投资者披露</w:t>
            </w:r>
            <w:r>
              <w:rPr>
                <w:rFonts w:ascii="楷体_GB2312" w:cs="楷体_GB2312" w:eastAsia="楷体_GB2312"/>
                <w:color w:themeColor="text1" w:val="000000"/>
                <w:sz w:val="20"/>
                <w:szCs w:val="20"/>
                <w:highlight w:val="none"/>
                <w14:textFill>
                  <w14:solidFill>
                    <w14:schemeClr w14:val="tx1"/>
                  </w14:solidFill>
                </w14:textFill>
              </w:rPr>
              <w:t>到期公告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到期日产品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单位净值在内的</w:t>
            </w:r>
            <w:r>
              <w:rPr>
                <w:rFonts w:ascii="楷体_GB2312" w:cs="楷体_GB2312" w:eastAsia="楷体_GB2312" w:hint="eastAsia"/>
                <w:color w:themeColor="text1" w:val="000000"/>
                <w:sz w:val="20"/>
                <w:szCs w:val="20"/>
                <w:highlight w:val="none"/>
                <w14:textFill>
                  <w14:solidFill>
                    <w14:schemeClr w14:val="tx1"/>
                  </w14:solidFill>
                </w14:textFill>
              </w:rPr>
              <w:t>到期相关信息。</w:t>
            </w:r>
          </w:p>
          <w:p w14:paraId="23460B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在产品</w:t>
            </w:r>
            <w:r>
              <w:rPr>
                <w:rFonts w:ascii="楷体_GB2312" w:cs="楷体_GB2312" w:eastAsia="楷体_GB2312"/>
                <w:color w:themeColor="text1" w:val="000000"/>
                <w:sz w:val="20"/>
                <w:szCs w:val="20"/>
                <w:highlight w:val="none"/>
                <w14:textFill>
                  <w14:solidFill>
                    <w14:schemeClr w14:val="tx1"/>
                  </w14:solidFill>
                </w14:textFill>
              </w:rPr>
              <w:t>存续期间，</w:t>
            </w:r>
            <w:r>
              <w:rPr>
                <w:rFonts w:ascii="楷体_GB2312" w:cs="楷体_GB2312" w:eastAsia="楷体_GB2312" w:hint="eastAsia"/>
                <w:color w:themeColor="text1" w:val="000000"/>
                <w:sz w:val="20"/>
                <w:szCs w:val="20"/>
                <w:highlight w:val="none"/>
                <w14:textFill>
                  <w14:solidFill>
                    <w14:schemeClr w14:val="tx1"/>
                  </w14:solidFill>
                </w14:textFill>
              </w:rPr>
              <w:t>信银理财根据</w:t>
            </w:r>
            <w:r>
              <w:rPr>
                <w:rFonts w:ascii="楷体_GB2312" w:cs="楷体_GB2312" w:eastAsia="楷体_GB2312"/>
                <w:color w:themeColor="text1" w:val="000000"/>
                <w:sz w:val="20"/>
                <w:szCs w:val="20"/>
                <w:highlight w:val="none"/>
                <w14:textFill>
                  <w14:solidFill>
                    <w14:schemeClr w14:val="tx1"/>
                  </w14:solidFill>
                </w14:textFill>
              </w:rPr>
              <w:t>市场情况对投资范围、投资品种或投资比例进行调整</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将</w:t>
            </w:r>
            <w:r>
              <w:rPr>
                <w:rFonts w:ascii="楷体_GB2312" w:cs="楷体_GB2312" w:eastAsia="楷体_GB2312"/>
                <w:color w:themeColor="text1" w:val="000000"/>
                <w:sz w:val="20"/>
                <w:szCs w:val="20"/>
                <w:highlight w:val="none"/>
                <w14:textFill>
                  <w14:solidFill>
                    <w14:schemeClr w14:val="tx1"/>
                  </w14:solidFill>
                </w14:textFill>
              </w:rPr>
              <w:t>提前【2】个工作日告知</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w:t>
            </w:r>
          </w:p>
          <w:p w14:paraId="79FB8F9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themeColor="text1" w:val="000000"/>
                <w:sz w:val="20"/>
                <w:szCs w:val="20"/>
                <w:highlight w:val="none"/>
                <w14:textFill>
                  <w14:solidFill>
                    <w14:schemeClr w14:val="tx1"/>
                  </w14:solidFill>
                </w14:textFill>
              </w:rPr>
              <w:t>生效前</w:t>
            </w: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个</w:t>
            </w:r>
            <w:r>
              <w:rPr>
                <w:rFonts w:ascii="楷体_GB2312" w:eastAsia="楷体_GB2312"/>
                <w:color w:themeColor="text1" w:val="000000"/>
                <w:sz w:val="20"/>
                <w:szCs w:val="20"/>
                <w:highlight w:val="none"/>
                <w14:textFill>
                  <w14:solidFill>
                    <w14:schemeClr w14:val="tx1"/>
                  </w14:solidFill>
                </w14:textFill>
              </w:rPr>
              <w:t>工作日</w:t>
            </w:r>
            <w:r>
              <w:rPr>
                <w:rFonts w:ascii="楷体_GB2312" w:eastAsia="楷体_GB2312" w:hint="eastAsia"/>
                <w:color w:themeColor="text1" w:val="000000"/>
                <w:sz w:val="20"/>
                <w:szCs w:val="20"/>
                <w:highlight w:val="none"/>
                <w14:textFill>
                  <w14:solidFill>
                    <w14:schemeClr w14:val="tx1"/>
                  </w14:solidFill>
                </w14:textFill>
              </w:rPr>
              <w:t>告知投资者。</w:t>
            </w:r>
          </w:p>
          <w:p w14:paraId="13ECEA48">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产品存续</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期间</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如</w:t>
            </w:r>
            <w:r>
              <w:rPr>
                <w:rFonts w:ascii="Times New Roman" w:cs="楷体_GB2312" w:eastAsia="楷体_GB2312" w:hAnsi="Times New Roman"/>
                <w:color w:themeColor="text1" w:val="000000"/>
                <w:sz w:val="20"/>
                <w:szCs w:val="20"/>
                <w:highlight w:val="none"/>
                <w14:textFill>
                  <w14:solidFill>
                    <w14:schemeClr w14:val="tx1"/>
                  </w14:solidFill>
                </w14:textFill>
              </w:rPr>
              <w:t>因市场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重大</w:t>
            </w:r>
            <w:r>
              <w:rPr>
                <w:rFonts w:ascii="Times New Roman" w:cs="楷体_GB2312" w:eastAsia="楷体_GB2312" w:hAnsi="Times New Roman"/>
                <w:color w:themeColor="text1" w:val="000000"/>
                <w:sz w:val="20"/>
                <w:szCs w:val="20"/>
                <w:highlight w:val="none"/>
                <w14:textFill>
                  <w14:solidFill>
                    <w14:schemeClr w14:val="tx1"/>
                  </w14:solidFill>
                </w14:textFill>
              </w:rPr>
              <w:t>变化导致投资比例暂时超出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说明书约定的投资比例区间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且</w:t>
            </w:r>
            <w:r>
              <w:rPr>
                <w:rFonts w:ascii="Times New Roman" w:cs="楷体_GB2312" w:eastAsia="楷体_GB2312" w:hAnsi="Times New Roman"/>
                <w:color w:themeColor="text1" w:val="000000"/>
                <w:sz w:val="20"/>
                <w:szCs w:val="20"/>
                <w:highlight w:val="none"/>
                <w14:textFill>
                  <w14:solidFill>
                    <w14:schemeClr w14:val="tx1"/>
                  </w14:solidFill>
                </w14:textFill>
              </w:rPr>
              <w:t>可能对理财产品收益产生重大影响的，</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信银理财</w:t>
            </w:r>
            <w:r>
              <w:rPr>
                <w:rFonts w:ascii="Times New Roman" w:cs="楷体_GB2312" w:eastAsia="楷体_GB2312" w:hAnsi="Times New Roman"/>
                <w:color w:themeColor="text1" w:val="000000"/>
                <w:sz w:val="20"/>
                <w:szCs w:val="20"/>
                <w:highlight w:val="none"/>
                <w14:textFill>
                  <w14:solidFill>
                    <w14:schemeClr w14:val="tx1"/>
                  </w14:solidFill>
                </w14:textFill>
              </w:rPr>
              <w:t>将</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5</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】个</w:t>
            </w:r>
            <w:r>
              <w:rPr>
                <w:rFonts w:ascii="Times New Roman" w:cs="楷体_GB2312" w:eastAsia="楷体_GB2312" w:hAnsi="Times New Roman"/>
                <w:color w:themeColor="text1" w:val="000000"/>
                <w:sz w:val="20"/>
                <w:szCs w:val="20"/>
                <w:highlight w:val="none"/>
                <w14:textFill>
                  <w14:solidFill>
                    <w14:schemeClr w14:val="tx1"/>
                  </w14:solidFill>
                </w14:textFill>
              </w:rPr>
              <w:t>工作日内</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告知投资者</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13C3E740">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52D47665">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将向投资者</w:t>
            </w:r>
            <w:r>
              <w:rPr>
                <w:rFonts w:ascii="楷体_GB2312" w:cs="楷体_GB2312" w:eastAsia="楷体_GB2312" w:hint="eastAsia"/>
                <w:color w:themeColor="text1" w:val="000000"/>
                <w:sz w:val="20"/>
                <w:szCs w:val="20"/>
                <w:highlight w:val="none"/>
                <w14:textFill>
                  <w14:solidFill>
                    <w14:schemeClr w14:val="tx1"/>
                  </w14:solidFill>
                </w14:textFill>
              </w:rPr>
              <w:t>发布</w:t>
            </w:r>
            <w:r>
              <w:rPr>
                <w:rFonts w:ascii="楷体_GB2312" w:cs="楷体_GB2312" w:eastAsia="楷体_GB2312"/>
                <w:color w:themeColor="text1" w:val="000000"/>
                <w:sz w:val="20"/>
                <w:szCs w:val="20"/>
                <w:highlight w:val="none"/>
                <w14:textFill>
                  <w14:solidFill>
                    <w14:schemeClr w14:val="tx1"/>
                  </w14:solidFill>
                </w14:textFill>
              </w:rPr>
              <w:t>定期报告，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但不限于季度、半年和年度报告。</w:t>
            </w:r>
            <w:r>
              <w:rPr>
                <w:rFonts w:ascii="楷体_GB2312" w:cs="楷体_GB2312" w:eastAsia="楷体_GB2312" w:hint="eastAsia"/>
                <w:color w:themeColor="text1" w:val="000000"/>
                <w:sz w:val="20"/>
                <w:szCs w:val="20"/>
                <w:highlight w:val="none"/>
                <w14:textFill>
                  <w14:solidFill>
                    <w14:schemeClr w14:val="tx1"/>
                  </w14:solidFill>
                </w14:textFill>
              </w:rPr>
              <w:t>理财产品成立不足九十个自然日的，</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w:t>
            </w:r>
            <w:r>
              <w:rPr>
                <w:rFonts w:ascii="楷体_GB2312" w:cs="楷体_GB2312" w:eastAsia="楷体_GB2312" w:hint="eastAsia"/>
                <w:color w:themeColor="text1" w:val="000000"/>
                <w:sz w:val="20"/>
                <w:szCs w:val="20"/>
                <w:highlight w:val="none"/>
                <w14:textFill>
                  <w14:solidFill>
                    <w14:schemeClr w14:val="tx1"/>
                  </w14:solidFill>
                </w14:textFill>
              </w:rPr>
              <w:t>可以不编制当期的季度、半年和年度报告。管理人</w:t>
            </w:r>
            <w:r>
              <w:rPr>
                <w:rFonts w:ascii="楷体_GB2312" w:cs="楷体_GB2312" w:eastAsia="楷体_GB2312"/>
                <w:color w:themeColor="text1" w:val="000000"/>
                <w:sz w:val="20"/>
                <w:szCs w:val="20"/>
                <w:highlight w:val="none"/>
                <w14:textFill>
                  <w14:solidFill>
                    <w14:schemeClr w14:val="tx1"/>
                  </w14:solidFill>
                </w14:textFill>
              </w:rPr>
              <w:t>将在理财产品季度、半年和年度报告中披露理财产品组合资产情况及其流动性风险分析</w:t>
            </w:r>
            <w:r>
              <w:rPr>
                <w:rFonts w:ascii="楷体_GB2312" w:cs="楷体_GB2312" w:eastAsia="楷体_GB2312" w:hint="eastAsia"/>
                <w:color w:themeColor="text1" w:val="000000"/>
                <w:sz w:val="20"/>
                <w:szCs w:val="20"/>
                <w:highlight w:val="none"/>
                <w:lang w:eastAsia="zh-CN"/>
                <w14:textFill>
                  <w14:solidFill>
                    <w14:schemeClr w14:val="tx1"/>
                  </w14:solidFill>
                </w14:textFill>
              </w:rPr>
              <w:t>、投资资产类别和比例</w:t>
            </w:r>
            <w:r>
              <w:rPr>
                <w:rFonts w:ascii="楷体_GB2312" w:cs="楷体_GB2312" w:eastAsia="楷体_GB2312"/>
                <w:color w:themeColor="text1" w:val="000000"/>
                <w:sz w:val="20"/>
                <w:szCs w:val="20"/>
                <w:highlight w:val="none"/>
                <w14:textFill>
                  <w14:solidFill>
                    <w14:schemeClr w14:val="tx1"/>
                  </w14:solidFill>
                </w14:textFill>
              </w:rPr>
              <w:t>等</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 </w:t>
            </w:r>
          </w:p>
          <w:p w14:paraId="10EC2279">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w:t>
            </w:r>
            <w:r>
              <w:rPr>
                <w:rFonts w:ascii="楷体_GB2312" w:cs="楷体_GB2312" w:eastAsia="楷体_GB2312"/>
                <w:color w:themeColor="text1" w:val="000000"/>
                <w:sz w:val="20"/>
                <w:szCs w:val="20"/>
                <w:highlight w:val="none"/>
                <w14:textFill>
                  <w14:solidFill>
                    <w14:schemeClr w14:val="tx1"/>
                  </w14:solidFill>
                </w14:textFill>
              </w:rPr>
              <w:t>本理财产品存续期间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获知</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经信银理财合理判断认为对</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产品、投资者权益、投资收益等有重大影响的事件，将</w:t>
            </w:r>
            <w:r>
              <w:rPr>
                <w:rFonts w:ascii="楷体_GB2312" w:cs="楷体_GB2312" w:eastAsia="楷体_GB2312" w:hint="eastAsia"/>
                <w:color w:themeColor="text1" w:val="000000"/>
                <w:sz w:val="20"/>
                <w:szCs w:val="20"/>
                <w:highlight w:val="none"/>
                <w14:textFill>
                  <w14:solidFill>
                    <w14:schemeClr w14:val="tx1"/>
                  </w14:solidFill>
                </w14:textFill>
              </w:rPr>
              <w:t>按照</w:t>
            </w:r>
            <w:r>
              <w:rPr>
                <w:rFonts w:ascii="楷体_GB2312" w:cs="楷体_GB2312" w:eastAsia="楷体_GB2312"/>
                <w:color w:themeColor="text1" w:val="000000"/>
                <w:sz w:val="20"/>
                <w:szCs w:val="20"/>
                <w:highlight w:val="none"/>
                <w14:textFill>
                  <w14:solidFill>
                    <w14:schemeClr w14:val="tx1"/>
                  </w14:solidFill>
                </w14:textFill>
              </w:rPr>
              <w:t>法律法规、监管规定</w:t>
            </w:r>
            <w:r>
              <w:rPr>
                <w:rFonts w:ascii="楷体_GB2312" w:cs="楷体_GB2312" w:eastAsia="楷体_GB2312" w:hint="eastAsia"/>
                <w:color w:themeColor="text1" w:val="000000"/>
                <w:sz w:val="20"/>
                <w:szCs w:val="20"/>
                <w:highlight w:val="none"/>
                <w14:textFill>
                  <w14:solidFill>
                    <w14:schemeClr w14:val="tx1"/>
                  </w14:solidFill>
                </w14:textFill>
              </w:rPr>
              <w:t>及时</w:t>
            </w:r>
            <w:r>
              <w:rPr>
                <w:rFonts w:ascii="楷体_GB2312" w:cs="楷体_GB2312" w:eastAsia="楷体_GB2312"/>
                <w:color w:themeColor="text1" w:val="000000"/>
                <w:sz w:val="20"/>
                <w:szCs w:val="20"/>
                <w:highlight w:val="none"/>
                <w14:textFill>
                  <w14:solidFill>
                    <w14:schemeClr w14:val="tx1"/>
                  </w14:solidFill>
                </w14:textFill>
              </w:rPr>
              <w:t>向投资者发布相关信息。</w:t>
            </w:r>
          </w:p>
          <w:p w14:paraId="7013C4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至少每周向投资者披露一次本产品的资产净值和份额净值。</w:t>
            </w:r>
          </w:p>
          <w:p w14:paraId="167010B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管理人在</w:t>
            </w:r>
            <w:r>
              <w:rPr>
                <w:rFonts w:ascii="楷体_GB2312" w:cs="楷体_GB2312" w:eastAsia="楷体_GB2312"/>
                <w:color w:themeColor="text1" w:val="000000"/>
                <w:sz w:val="20"/>
                <w:szCs w:val="20"/>
                <w:highlight w:val="none"/>
                <w14:textFill>
                  <w14:solidFill>
                    <w14:schemeClr w14:val="tx1"/>
                  </w14:solidFill>
                </w14:textFill>
              </w:rPr>
              <w:t>运用暂停</w:t>
            </w:r>
            <w:r>
              <w:rPr>
                <w:rFonts w:ascii="楷体_GB2312" w:cs="楷体_GB2312" w:eastAsia="楷体_GB2312" w:hint="eastAsia"/>
                <w:color w:themeColor="text1" w:val="000000"/>
                <w:sz w:val="20"/>
                <w:szCs w:val="20"/>
                <w:highlight w:val="none"/>
                <w14:textFill>
                  <w14:solidFill>
                    <w14:schemeClr w14:val="tx1"/>
                  </w14:solidFill>
                </w14:textFill>
              </w:rPr>
              <w:t>或</w:t>
            </w:r>
            <w:r>
              <w:rPr>
                <w:rFonts w:ascii="楷体_GB2312" w:cs="楷体_GB2312" w:eastAsia="楷体_GB2312"/>
                <w:color w:themeColor="text1" w:val="000000"/>
                <w:sz w:val="20"/>
                <w:szCs w:val="20"/>
                <w:highlight w:val="none"/>
                <w14:textFill>
                  <w14:solidFill>
                    <w14:schemeClr w14:val="tx1"/>
                  </w14:solidFill>
                </w14:textFill>
              </w:rPr>
              <w:t>拒绝认</w:t>
            </w:r>
            <w:r>
              <w:rPr>
                <w:rFonts w:ascii="楷体_GB2312" w:cs="楷体_GB2312" w:eastAsia="楷体_GB2312" w:hint="eastAsia"/>
                <w:color w:themeColor="text1" w:val="000000"/>
                <w:sz w:val="20"/>
                <w:szCs w:val="20"/>
                <w:highlight w:val="none"/>
                <w14:textFill>
                  <w14:solidFill>
                    <w14:schemeClr w14:val="tx1"/>
                  </w14:solidFill>
                </w14:textFill>
              </w:rPr>
              <w:t>购</w:t>
            </w:r>
            <w:r>
              <w:rPr>
                <w:rFonts w:ascii="楷体_GB2312" w:cs="楷体_GB2312" w:eastAsia="楷体_GB2312"/>
                <w:color w:themeColor="text1" w:val="000000"/>
                <w:sz w:val="20"/>
                <w:szCs w:val="20"/>
                <w:highlight w:val="none"/>
                <w14:textFill>
                  <w14:solidFill>
                    <w14:schemeClr w14:val="tx1"/>
                  </w14:solidFill>
                </w14:textFill>
              </w:rPr>
              <w:t>申请</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暂停理财产品估值等措施后，</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个交易日内告知投资者，并说明运用相关措施的原因、拟采取的应对安排等。在发生涉及理财产品认购事项调</w:t>
            </w:r>
            <w:r>
              <w:rPr>
                <w:rFonts w:ascii="楷体_GB2312" w:cs="楷体_GB2312" w:eastAsia="楷体_GB2312" w:hint="eastAsia"/>
                <w:color w:themeColor="text1" w:val="000000"/>
                <w:sz w:val="20"/>
                <w:szCs w:val="20"/>
                <w:highlight w:val="none"/>
                <w14:textFill>
                  <w14:solidFill>
                    <w14:schemeClr w14:val="tx1"/>
                  </w14:solidFill>
                </w14:textFill>
              </w:rPr>
              <w:t>整</w:t>
            </w:r>
            <w:r>
              <w:rPr>
                <w:rFonts w:ascii="楷体_GB2312" w:cs="楷体_GB2312" w:eastAsia="楷体_GB2312"/>
                <w:color w:themeColor="text1" w:val="000000"/>
                <w:sz w:val="20"/>
                <w:szCs w:val="20"/>
                <w:highlight w:val="none"/>
                <w14:textFill>
                  <w14:solidFill>
                    <w14:schemeClr w14:val="tx1"/>
                  </w14:solidFill>
                </w14:textFill>
              </w:rPr>
              <w:t>时，及时发布临时公告</w:t>
            </w:r>
            <w:r>
              <w:rPr>
                <w:rFonts w:ascii="楷体_GB2312" w:cs="楷体_GB2312" w:eastAsia="楷体_GB2312" w:hint="eastAsia"/>
                <w:color w:themeColor="text1" w:val="000000"/>
                <w:sz w:val="20"/>
                <w:szCs w:val="20"/>
                <w:highlight w:val="none"/>
                <w14:textFill>
                  <w14:solidFill>
                    <w14:schemeClr w14:val="tx1"/>
                  </w14:solidFill>
                </w14:textFill>
              </w:rPr>
              <w:t>。</w:t>
            </w:r>
          </w:p>
          <w:p w14:paraId="4D7FDA24">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法律法规、</w:t>
            </w:r>
            <w:r>
              <w:rPr>
                <w:rFonts w:ascii="楷体_GB2312" w:cs="楷体_GB2312" w:eastAsia="楷体_GB2312"/>
                <w:color w:themeColor="text1" w:val="000000"/>
                <w:sz w:val="20"/>
                <w:szCs w:val="20"/>
                <w:highlight w:val="none"/>
                <w14:textFill>
                  <w14:solidFill>
                    <w14:schemeClr w14:val="tx1"/>
                  </w14:solidFill>
                </w14:textFill>
              </w:rPr>
              <w:t>规范性文件、</w:t>
            </w:r>
            <w:r>
              <w:rPr>
                <w:rFonts w:ascii="楷体_GB2312" w:cs="楷体_GB2312" w:eastAsia="楷体_GB2312" w:hint="eastAsia"/>
                <w:color w:themeColor="text1" w:val="000000"/>
                <w:sz w:val="20"/>
                <w:szCs w:val="20"/>
                <w:highlight w:val="none"/>
                <w14:textFill>
                  <w14:solidFill>
                    <w14:schemeClr w14:val="tx1"/>
                  </w14:solidFill>
                </w14:textFill>
              </w:rPr>
              <w:t>监管政策规定或本说明书约定其他应向投资者进行</w:t>
            </w:r>
            <w:r>
              <w:rPr>
                <w:rFonts w:ascii="楷体_GB2312" w:cs="楷体_GB2312" w:eastAsia="楷体_GB2312"/>
                <w:color w:themeColor="text1" w:val="000000"/>
                <w:sz w:val="20"/>
                <w:szCs w:val="20"/>
                <w:highlight w:val="none"/>
                <w14:textFill>
                  <w14:solidFill>
                    <w14:schemeClr w14:val="tx1"/>
                  </w14:solidFill>
                </w14:textFill>
              </w:rPr>
              <w:t>信息</w:t>
            </w:r>
            <w:r>
              <w:rPr>
                <w:rFonts w:ascii="楷体_GB2312" w:cs="楷体_GB2312" w:eastAsia="楷体_GB2312" w:hint="eastAsia"/>
                <w:color w:themeColor="text1" w:val="000000"/>
                <w:sz w:val="20"/>
                <w:szCs w:val="20"/>
                <w:highlight w:val="none"/>
                <w14:textFill>
                  <w14:solidFill>
                    <w14:schemeClr w14:val="tx1"/>
                  </w14:solidFill>
                </w14:textFill>
              </w:rPr>
              <w:t>披露的情形</w:t>
            </w:r>
            <w:r>
              <w:rPr>
                <w:rFonts w:ascii="楷体_GB2312" w:cs="楷体_GB2312" w:eastAsia="楷体_GB2312"/>
                <w:color w:themeColor="text1" w:val="000000"/>
                <w:sz w:val="20"/>
                <w:szCs w:val="20"/>
                <w:highlight w:val="none"/>
                <w14:textFill>
                  <w14:solidFill>
                    <w14:schemeClr w14:val="tx1"/>
                  </w14:solidFill>
                </w14:textFill>
              </w:rPr>
              <w:t>的，信银理财将根据上述规定向投资者发布相关信息</w:t>
            </w:r>
            <w:r>
              <w:rPr>
                <w:rFonts w:ascii="楷体_GB2312" w:cs="楷体_GB2312" w:eastAsia="楷体_GB2312" w:hint="eastAsia"/>
                <w:color w:themeColor="text1" w:val="000000"/>
                <w:sz w:val="20"/>
                <w:szCs w:val="20"/>
                <w:highlight w:val="none"/>
                <w14:textFill>
                  <w14:solidFill>
                    <w14:schemeClr w14:val="tx1"/>
                  </w14:solidFill>
                </w14:textFill>
              </w:rPr>
              <w:t>。</w:t>
            </w:r>
          </w:p>
        </w:tc>
      </w:tr>
    </w:tbl>
    <w:p w14:paraId="68AE099C">
      <w:pPr>
        <w:snapToGrid w:val="0"/>
        <w:ind w:left="-2" w:leftChars="-1" w:right="53" w:rightChars="22"/>
        <w:outlineLvl w:val="0"/>
        <w:rPr>
          <w:rFonts w:ascii="黑体" w:cs="黑体" w:eastAsia="黑体" w:hAnsi="Times New Roman"/>
          <w:color w:themeColor="text1" w:val="000000"/>
          <w:sz w:val="20"/>
          <w:szCs w:val="20"/>
          <w:highlight w:val="none"/>
          <w14:textFill>
            <w14:solidFill>
              <w14:schemeClr w14:val="tx1"/>
            </w14:solidFill>
          </w14:textFill>
        </w:rPr>
      </w:pPr>
    </w:p>
    <w:p w14:paraId="30C464FF">
      <w:pPr>
        <w:snapToGrid w:val="0"/>
        <w:ind w:left="-2" w:leftChars="-1" w:right="53" w:rightChars="22"/>
        <w:outlineLvl w:val="0"/>
        <w:rPr>
          <w:b/>
          <w:color w:themeColor="text1" w:val="00000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20"/>
        <w:widowControl w:val="0"/>
        <w:snapToGrid w:val="0"/>
        <w:spacing w:line="300" w:lineRule="exact"/>
        <w:ind w:firstLine="201" w:firstLineChars="100" w:left="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2.代表理财产品签订投资和资产管理过程中涉及到的协议、合同等文本；</w:t>
      </w:r>
    </w:p>
    <w:p w14:paraId="1B580ABA">
      <w:pPr>
        <w:pStyle w:val="20"/>
        <w:widowControl w:val="0"/>
        <w:snapToGrid w:val="0"/>
        <w:spacing w:line="300" w:lineRule="exact"/>
        <w:ind w:firstLine="402"/>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eastAsia="楷体_GB2312" w:hAnsi="Times New Roman"/>
          <w:b/>
          <w:color w:themeColor="text1" w:val="000000"/>
          <w:sz w:val="20"/>
          <w:szCs w:val="20"/>
          <w:highlight w:val="none"/>
          <w14:textFill>
            <w14:solidFill>
              <w14:schemeClr w14:val="tx1"/>
            </w14:solidFill>
          </w14:textFill>
        </w:rPr>
      </w:pPr>
      <w:r>
        <w:rPr>
          <w:rFonts w:ascii="Times New Roman" w:eastAsia="楷体_GB2312" w:hAnsi="Times New Roman"/>
          <w:b/>
          <w:color w:themeColor="text1" w:val="000000"/>
          <w:sz w:val="20"/>
          <w:szCs w:val="20"/>
          <w:highlight w:val="none"/>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firstLine="400" w:firstLineChars="200" w:left="-2" w:leftChars="-1" w:right="53" w:rightChars="22"/>
        <w:outlineLvl w:val="0"/>
        <w:rPr>
          <w:rFonts w:ascii="楷体_GB2312" w:eastAsia="楷体_GB2312"/>
          <w:color w:themeColor="text1" w:val="000000"/>
          <w:sz w:val="20"/>
          <w:szCs w:val="20"/>
          <w:highlight w:val="none"/>
          <w14:textFill>
            <w14:solidFill>
              <w14:schemeClr w14:val="tx1"/>
            </w14:solidFill>
          </w14:textFill>
        </w:rPr>
      </w:pPr>
    </w:p>
    <w:p w14:paraId="35CD7F63">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四、理财</w:t>
      </w:r>
      <w:r>
        <w:rPr>
          <w:rFonts w:ascii="黑体" w:cs="黑体" w:eastAsia="黑体" w:hAnsi="Times New Roman"/>
          <w:color w:themeColor="text1" w:val="000000"/>
          <w:sz w:val="20"/>
          <w:szCs w:val="20"/>
          <w:highlight w:val="none"/>
          <w14:textFill>
            <w14:solidFill>
              <w14:schemeClr w14:val="tx1"/>
            </w14:solidFill>
          </w14:textFill>
        </w:rPr>
        <w:t>产品的认购</w:t>
      </w:r>
    </w:p>
    <w:p w14:paraId="408920C5">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投资者在募集期</w:t>
      </w:r>
      <w:r>
        <w:rPr>
          <w:rFonts w:ascii="Times New Roman" w:cs="Times New Roman" w:eastAsia="楷体_GB2312" w:hAnsi="Times New Roman"/>
          <w:color w:themeColor="text1" w:val="000000"/>
          <w:sz w:val="20"/>
          <w:szCs w:val="20"/>
          <w:highlight w:val="none"/>
          <w14:textFill>
            <w14:solidFill>
              <w14:schemeClr w14:val="tx1"/>
            </w14:solidFill>
          </w14:textFill>
        </w:rPr>
        <w:t>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提交</w:t>
      </w:r>
      <w:r>
        <w:rPr>
          <w:rFonts w:ascii="Times New Roman" w:cs="Times New Roman" w:eastAsia="楷体_GB2312" w:hAnsi="Times New Roman"/>
          <w:color w:themeColor="text1" w:val="000000"/>
          <w:sz w:val="20"/>
          <w:szCs w:val="20"/>
          <w:highlight w:val="none"/>
          <w14:textFill>
            <w14:solidFill>
              <w14:schemeClr w14:val="tx1"/>
            </w14:solidFill>
          </w14:textFill>
        </w:rPr>
        <w:t>认购申请，认购</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理财</w:t>
      </w:r>
      <w:r>
        <w:rPr>
          <w:rFonts w:ascii="Times New Roman" w:cs="Times New Roman" w:eastAsia="楷体_GB2312" w:hAnsi="Times New Roman"/>
          <w:color w:themeColor="text1" w:val="000000"/>
          <w:sz w:val="20"/>
          <w:szCs w:val="20"/>
          <w:highlight w:val="none"/>
          <w14:textFill>
            <w14:solidFill>
              <w14:schemeClr w14:val="tx1"/>
            </w14:solidFill>
          </w14:textFill>
        </w:rPr>
        <w:t>产品份额</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p>
    <w:p w14:paraId="433102F3">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本</w:t>
      </w:r>
      <w:r>
        <w:rPr>
          <w:rFonts w:ascii="Times New Roman" w:cs="Times New Roman" w:eastAsia="楷体_GB2312" w:hAnsi="Times New Roman"/>
          <w:color w:themeColor="text1" w:val="000000"/>
          <w:sz w:val="20"/>
          <w:szCs w:val="20"/>
          <w:highlight w:val="none"/>
          <w14:textFill>
            <w14:solidFill>
              <w14:schemeClr w14:val="tx1"/>
            </w14:solidFill>
          </w14:textFill>
        </w:rPr>
        <w:t>理财产品采取金额认购的方式，</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认购份额</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人民币认购金额</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认购费率）</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/1元</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认购份额按照四舍五入方法计算，保留小数点后【2】位</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由此误差产生的损失由理财财产承担，产生的收益归理财财产所有</w:t>
      </w:r>
      <w:r>
        <w:rPr>
          <w:rFonts w:ascii="Times New Roman" w:cs="Times New Roman" w:eastAsia="楷体_GB2312" w:hAnsi="Times New Roman"/>
          <w:color w:themeColor="text1" w:val="000000"/>
          <w:sz w:val="20"/>
          <w:szCs w:val="20"/>
          <w:highlight w:val="none"/>
          <w14:textFill>
            <w14:solidFill>
              <w14:schemeClr w14:val="tx1"/>
            </w14:solidFill>
          </w14:textFill>
        </w:rPr>
        <w:t>。</w:t>
      </w:r>
    </w:p>
    <w:p w14:paraId="166A4339">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募集期结束后的第一个工作日</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为认购份额</w:t>
      </w:r>
      <w:r>
        <w:rPr>
          <w:rFonts w:ascii="Times New Roman" w:cs="Times New Roman" w:eastAsia="楷体_GB2312" w:hAnsi="Times New Roman"/>
          <w:color w:themeColor="text1" w:val="000000"/>
          <w:sz w:val="20"/>
          <w:szCs w:val="20"/>
          <w:highlight w:val="none"/>
          <w14:textFill>
            <w14:solidFill>
              <w14:schemeClr w14:val="tx1"/>
            </w14:solidFill>
          </w14:textFill>
        </w:rPr>
        <w:t>确认日</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w:t>
      </w:r>
      <w:r>
        <w:rPr>
          <w:rFonts w:ascii="Times New Roman" w:cs="Times New Roman" w:eastAsia="楷体_GB2312" w:hAnsi="Times New Roman"/>
          <w:color w:themeColor="text1" w:val="000000"/>
          <w:sz w:val="20"/>
          <w:szCs w:val="20"/>
          <w:highlight w:val="none"/>
          <w14:textFill>
            <w14:solidFill>
              <w14:schemeClr w14:val="tx1"/>
            </w14:solidFill>
          </w14:textFill>
        </w:rPr>
        <w:t>份额确认日后投资者可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向销售机构</w:t>
      </w:r>
      <w:r>
        <w:rPr>
          <w:rFonts w:ascii="Times New Roman" w:cs="Times New Roman" w:eastAsia="楷体_GB2312" w:hAnsi="Times New Roman"/>
          <w:color w:themeColor="text1" w:val="000000"/>
          <w:sz w:val="20"/>
          <w:szCs w:val="20"/>
          <w:highlight w:val="none"/>
          <w14:textFill>
            <w14:solidFill>
              <w14:schemeClr w14:val="tx1"/>
            </w14:solidFill>
          </w14:textFill>
        </w:rPr>
        <w:t>查询认购是否</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成功</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管理人保留不接受认购申请的权利。</w:t>
      </w:r>
    </w:p>
    <w:p w14:paraId="787D599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p>
    <w:p w14:paraId="2142C2C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五</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理财</w:t>
      </w:r>
      <w:r>
        <w:rPr>
          <w:rFonts w:ascii="黑体" w:cs="黑体" w:eastAsia="黑体" w:hAnsi="Times New Roman"/>
          <w:color w:themeColor="text1" w:val="000000"/>
          <w:sz w:val="20"/>
          <w:szCs w:val="20"/>
          <w:highlight w:val="none"/>
          <w14:textFill>
            <w14:solidFill>
              <w14:schemeClr w14:val="tx1"/>
            </w14:solidFill>
          </w14:textFill>
        </w:rPr>
        <w:t>产品的</w:t>
      </w:r>
      <w:r>
        <w:rPr>
          <w:rFonts w:ascii="黑体" w:cs="黑体" w:eastAsia="黑体" w:hAnsi="Times New Roman" w:hint="eastAsia"/>
          <w:color w:themeColor="text1" w:val="000000"/>
          <w:sz w:val="20"/>
          <w:szCs w:val="20"/>
          <w:highlight w:val="none"/>
          <w14:textFill>
            <w14:solidFill>
              <w14:schemeClr w14:val="tx1"/>
            </w14:solidFill>
          </w14:textFill>
        </w:rPr>
        <w:t>申购和</w:t>
      </w:r>
      <w:r>
        <w:rPr>
          <w:rFonts w:ascii="黑体" w:cs="黑体" w:eastAsia="黑体" w:hAnsi="Times New Roman"/>
          <w:color w:themeColor="text1" w:val="000000"/>
          <w:sz w:val="20"/>
          <w:szCs w:val="20"/>
          <w:highlight w:val="none"/>
          <w14:textFill>
            <w14:solidFill>
              <w14:schemeClr w14:val="tx1"/>
            </w14:solidFill>
          </w14:textFill>
        </w:rPr>
        <w:t>赎回</w:t>
      </w:r>
    </w:p>
    <w:p w14:paraId="0AC6A6FA">
      <w:pPr>
        <w:spacing w:line="300" w:lineRule="exact"/>
        <w:ind w:firstLine="428" w:firstLineChars="214"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本产品不开放申购和赎回。</w:t>
      </w:r>
    </w:p>
    <w:p w14:paraId="453E6466">
      <w:pPr>
        <w:spacing w:line="300" w:lineRule="exact"/>
        <w:ind w:right="36" w:rightChars="15"/>
        <w:rPr>
          <w:rFonts w:ascii="楷体_GB2312" w:eastAsia="楷体_GB2312"/>
          <w:color w:themeColor="text1" w:val="000000"/>
          <w:sz w:val="20"/>
          <w:szCs w:val="20"/>
          <w:highlight w:val="none"/>
          <w14:textFill>
            <w14:solidFill>
              <w14:schemeClr w14:val="tx1"/>
            </w14:solidFill>
          </w14:textFill>
        </w:rPr>
      </w:pPr>
    </w:p>
    <w:p w14:paraId="6B9F2CF3">
      <w:pPr>
        <w:spacing w:line="300" w:lineRule="exact"/>
        <w:ind w:left="-2" w:leftChars="-1" w:right="96" w:rightChars="40"/>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法律法规规定或管理人基于审慎考虑认定的其他情形。</w:t>
      </w:r>
    </w:p>
    <w:p w14:paraId="2D8C760D">
      <w:pPr>
        <w:spacing w:line="300" w:lineRule="exact"/>
        <w:ind w:firstLine="400" w:firstLineChars="200" w:right="0" w:rightChars="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如果投资者的认购申请被拒绝，被拒绝的认购款项将全额退还给投资者，扣款日至认购款项返还日期间是否计付利息以及利息计付规则以销售机构为准。</w:t>
      </w:r>
    </w:p>
    <w:p w14:paraId="2F9BC8AD">
      <w:pPr>
        <w:pStyle w:val="20"/>
        <w:numPr>
          <w:ilvl w:val="0"/>
          <w:numId w:val="8"/>
        </w:numPr>
        <w:spacing w:line="300" w:lineRule="exact"/>
        <w:ind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color w:themeColor="text1" w:val="000000"/>
          <w:sz w:val="20"/>
          <w:szCs w:val="20"/>
          <w:highlight w:val="none"/>
          <w14:textFill>
            <w14:solidFill>
              <w14:schemeClr w14:val="tx1"/>
            </w14:solidFill>
          </w14:textFill>
        </w:rPr>
        <w:t>理财资金分配</w:t>
      </w:r>
    </w:p>
    <w:p w14:paraId="44DD0FE2">
      <w:pPr>
        <w:pStyle w:val="20"/>
        <w:numPr>
          <w:ilvl w:val="0"/>
          <w:numId w:val="0"/>
        </w:numPr>
        <w:spacing w:line="300" w:lineRule="exact"/>
        <w:ind w:firstLine="420"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（一）</w:t>
      </w:r>
      <w:r>
        <w:rPr>
          <w:rFonts w:ascii="黑体" w:cs="黑体" w:eastAsia="黑体" w:hint="eastAsia"/>
          <w:color w:themeColor="text1" w:val="000000"/>
          <w:sz w:val="20"/>
          <w:szCs w:val="20"/>
          <w:highlight w:val="none"/>
          <w14:textFill>
            <w14:solidFill>
              <w14:schemeClr w14:val="tx1"/>
            </w14:solidFill>
          </w14:textFill>
        </w:rPr>
        <w:t>期间</w:t>
      </w:r>
      <w:r>
        <w:rPr>
          <w:rFonts w:ascii="黑体" w:cs="黑体" w:eastAsia="黑体"/>
          <w:color w:themeColor="text1" w:val="000000"/>
          <w:sz w:val="20"/>
          <w:szCs w:val="20"/>
          <w:highlight w:val="none"/>
          <w14:textFill>
            <w14:solidFill>
              <w14:schemeClr w14:val="tx1"/>
            </w14:solidFill>
          </w14:textFill>
        </w:rPr>
        <w:t>分配</w:t>
      </w:r>
    </w:p>
    <w:p w14:paraId="244E4B04">
      <w:pPr>
        <w:spacing w:line="300" w:lineRule="exact"/>
        <w:ind w:firstLine="402" w:firstLineChars="200" w:right="96" w:rightChars="4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
        <w:t>无。</w:t>
      </w:r>
      <w:r>
        <w:rPr>
          <w:rFonts w:ascii="楷体_GB2312" w:cs="楷体_GB2312" w:eastAsia="楷体_GB2312"/>
          <w:b/>
          <w:bCs/>
          <w:color w:themeColor="text1" w:val="000000"/>
          <w:sz w:val="20"/>
          <w:szCs w:val="20"/>
          <w:highlight w:val="none"/>
          <w14:textFill>
            <w14:solidFill>
              <w14:schemeClr w14:val="tx1"/>
            </w14:solidFill>
          </w14:textFill>
        </w:rPr>
        <w:t/>
      </w:r>
    </w:p>
    <w:p w14:paraId="2FCF4BB6">
      <w:pPr>
        <w:pStyle w:val="20"/>
        <w:numPr>
          <w:ilvl w:val="0"/>
          <w:numId w:val="0"/>
        </w:numPr>
        <w:spacing w:line="300" w:lineRule="exact"/>
        <w:ind w:firstLine="420" w:firstLineChars="0" w:right="96" w:rightChars="40"/>
        <w:rPr>
          <w:rFonts w:ascii="黑体" w:cs="黑体" w:eastAsia="黑体" w:hint="eastAsia"/>
          <w:color w:themeColor="text1" w:val="000000"/>
          <w:sz w:val="20"/>
          <w:szCs w:val="20"/>
          <w:highlight w:val="none"/>
          <w:lang w:eastAsia="zh-CN"/>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（二）终止分配</w:t>
      </w:r>
    </w:p>
    <w:p w14:paraId="5F49184E">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本产品在扣除信银理财</w:t>
      </w:r>
      <w:r>
        <w:rPr>
          <w:rFonts w:ascii="楷体_GB2312" w:cs="楷体_GB2312" w:eastAsia="楷体_GB2312"/>
          <w:color w:themeColor="text1" w:val="000000"/>
          <w:sz w:val="20"/>
          <w:szCs w:val="20"/>
          <w:highlight w:val="none"/>
          <w14:textFill>
            <w14:solidFill>
              <w14:schemeClr w14:val="tx1"/>
            </w14:solidFill>
          </w14:textFill>
        </w:rPr>
        <w:t>应收取费用</w:t>
      </w:r>
      <w:r>
        <w:rPr>
          <w:rFonts w:ascii="楷体_GB2312" w:cs="楷体_GB2312" w:eastAsia="楷体_GB2312" w:hint="eastAsia"/>
          <w:color w:themeColor="text1" w:val="000000"/>
          <w:sz w:val="20"/>
          <w:szCs w:val="20"/>
          <w:highlight w:val="none"/>
          <w14:textFill>
            <w14:solidFill>
              <w14:schemeClr w14:val="tx1"/>
            </w14:solidFill>
          </w14:textFill>
        </w:rPr>
        <w:t>及其他应由产品承担的税费后的投资损益全部归属投资者。</w:t>
      </w:r>
    </w:p>
    <w:p w14:paraId="6CF59FB7">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.如产品正常到期</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提前终止，理财资金于</w:t>
      </w:r>
      <w:r>
        <w:rPr>
          <w:rFonts w:ascii="楷体_GB2312" w:eastAsia="楷体_GB2312" w:hint="eastAsia"/>
          <w:color w:themeColor="text1" w:val="000000"/>
          <w:sz w:val="20"/>
          <w:szCs w:val="20"/>
          <w:highlight w:val="none"/>
          <w14:textFill>
            <w14:solidFill>
              <w14:schemeClr w14:val="tx1"/>
            </w14:solidFill>
          </w14:textFill>
        </w:rPr>
        <w:t>到期日</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实际</w:t>
      </w:r>
      <w:r>
        <w:rPr>
          <w:rFonts w:ascii="楷体_GB2312" w:eastAsia="楷体_GB2312"/>
          <w:color w:themeColor="text1" w:val="000000"/>
          <w:sz w:val="20"/>
          <w:szCs w:val="20"/>
          <w:highlight w:val="none"/>
          <w14:textFill>
            <w14:solidFill>
              <w14:schemeClr w14:val="tx1"/>
            </w14:solidFill>
          </w14:textFill>
        </w:rPr>
        <w:t>到期日</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提前终止日</w:t>
      </w: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后【</w:t>
      </w: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】个工作日内根据实际情况一次性分配，如遇</w:t>
      </w:r>
      <w:r>
        <w:rPr>
          <w:rFonts w:ascii="楷体_GB2312" w:eastAsia="楷体_GB2312" w:hint="eastAsia"/>
          <w:color w:themeColor="text1" w:val="000000"/>
          <w:sz w:val="20"/>
          <w:szCs w:val="20"/>
          <w:highlight w:val="none"/>
          <w14:textFill>
            <w14:solidFill>
              <w14:schemeClr w14:val="tx1"/>
            </w14:solidFill>
          </w14:textFill>
        </w:rPr>
        <w:t>非工作日</w:t>
      </w:r>
      <w:r>
        <w:rPr>
          <w:rFonts w:ascii="楷体_GB2312" w:eastAsia="楷体_GB2312"/>
          <w:color w:themeColor="text1" w:val="000000"/>
          <w:sz w:val="20"/>
          <w:szCs w:val="20"/>
          <w:highlight w:val="none"/>
          <w14:textFill>
            <w14:solidFill>
              <w14:schemeClr w14:val="tx1"/>
            </w14:solidFill>
          </w14:textFill>
        </w:rPr>
        <w:t>则顺延至下一工作日。</w:t>
      </w:r>
    </w:p>
    <w:p w14:paraId="0B5273DF">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投资者到期日应得资金计算公式如下：</w:t>
      </w:r>
    </w:p>
    <w:p w14:paraId="3D646041">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投资者应得资金</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到期日产品可分配的总金额</w:t>
      </w:r>
      <w:r>
        <w:rPr>
          <w:rFonts w:ascii="楷体_GB2312" w:cs="楷体_GB2312" w:eastAsia="楷体_GB2312"/>
          <w:color w:themeColor="text1" w:val="000000"/>
          <w:sz w:val="20"/>
          <w:szCs w:val="20"/>
          <w:highlight w:val="none"/>
          <w14:textFill>
            <w14:solidFill>
              <w14:schemeClr w14:val="tx1"/>
            </w14:solidFill>
          </w14:textFill>
        </w:rPr>
        <w:t>/产品的总份额*投资者的持有份额</w:t>
      </w:r>
    </w:p>
    <w:p w14:paraId="55FA2824">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若募集期发生变化（募集期提前结束或募集期延长）、运作起始日发生变化或者清算期遇非工作日或</w:t>
      </w:r>
      <w:r>
        <w:rPr>
          <w:rFonts w:ascii="楷体_GB2312" w:cs="楷体_GB2312" w:eastAsia="楷体_GB2312"/>
          <w:color w:themeColor="text1" w:val="000000"/>
          <w:sz w:val="20"/>
          <w:szCs w:val="20"/>
          <w:highlight w:val="none"/>
          <w14:textFill>
            <w14:solidFill>
              <w14:schemeClr w14:val="tx1"/>
            </w14:solidFill>
          </w14:textFill>
        </w:rPr>
        <w:t>其他原因延长</w:t>
      </w:r>
      <w:r>
        <w:rPr>
          <w:rFonts w:ascii="楷体_GB2312" w:cs="楷体_GB2312" w:eastAsia="楷体_GB2312" w:hint="eastAsia"/>
          <w:color w:themeColor="text1" w:val="000000"/>
          <w:sz w:val="20"/>
          <w:szCs w:val="20"/>
          <w:highlight w:val="none"/>
          <w14:textFill>
            <w14:solidFill>
              <w14:schemeClr w14:val="tx1"/>
            </w14:solidFill>
          </w14:textFill>
        </w:rPr>
        <w:t>，产品到期日视情况将可能相应进行调整，若进行调整，信银理财将以本产品</w:t>
      </w:r>
      <w:r>
        <w:rPr>
          <w:rFonts w:ascii="楷体_GB2312" w:cs="楷体_GB2312" w:eastAsia="楷体_GB2312"/>
          <w:color w:themeColor="text1" w:val="000000"/>
          <w:sz w:val="20"/>
          <w:szCs w:val="20"/>
          <w:highlight w:val="none"/>
          <w14:textFill>
            <w14:solidFill>
              <w14:schemeClr w14:val="tx1"/>
            </w14:solidFill>
          </w14:textFill>
        </w:rPr>
        <w:t>说明书</w:t>
      </w:r>
      <w:r>
        <w:rPr>
          <w:rFonts w:ascii="楷体_GB2312" w:cs="楷体_GB2312" w:eastAsia="楷体_GB2312" w:hint="eastAsia"/>
          <w:color w:themeColor="text1" w:val="000000"/>
          <w:sz w:val="20"/>
          <w:szCs w:val="20"/>
          <w:highlight w:val="none"/>
          <w14:textFill>
            <w14:solidFill>
              <w14:schemeClr w14:val="tx1"/>
            </w14:solidFill>
          </w14:textFill>
        </w:rPr>
        <w:t>约定的</w:t>
      </w:r>
      <w:r>
        <w:rPr>
          <w:rFonts w:ascii="楷体_GB2312" w:cs="楷体_GB2312" w:eastAsia="楷体_GB2312"/>
          <w:color w:themeColor="text1" w:val="000000"/>
          <w:sz w:val="20"/>
          <w:szCs w:val="20"/>
          <w:highlight w:val="none"/>
          <w14:textFill>
            <w14:solidFill>
              <w14:schemeClr w14:val="tx1"/>
            </w14:solidFill>
          </w14:textFill>
        </w:rPr>
        <w:t>方式通知投资者</w:t>
      </w:r>
      <w:r>
        <w:rPr>
          <w:rFonts w:ascii="楷体_GB2312" w:cs="楷体_GB2312" w:eastAsia="楷体_GB2312" w:hint="eastAsia"/>
          <w:color w:themeColor="text1" w:val="000000"/>
          <w:sz w:val="20"/>
          <w:szCs w:val="20"/>
          <w:highlight w:val="none"/>
          <w14:textFill>
            <w14:solidFill>
              <w14:schemeClr w14:val="tx1"/>
            </w14:solidFill>
          </w14:textFill>
        </w:rPr>
        <w:t>。</w:t>
      </w:r>
    </w:p>
    <w:p w14:paraId="558A3115">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投资者通过</w:t>
      </w:r>
      <w:r>
        <w:rPr>
          <w:rFonts w:ascii="楷体_GB2312" w:eastAsia="楷体_GB2312"/>
          <w:color w:themeColor="text1" w:val="000000"/>
          <w:sz w:val="20"/>
          <w:szCs w:val="20"/>
          <w:highlight w:val="none"/>
          <w14:textFill>
            <w14:solidFill>
              <w14:schemeClr w14:val="tx1"/>
            </w14:solidFill>
          </w14:textFill>
        </w:rPr>
        <w:t>代销机构渠道购买理财产品的，理财资金划转至投资者</w:t>
      </w:r>
      <w:r>
        <w:rPr>
          <w:rFonts w:ascii="楷体_GB2312" w:eastAsia="楷体_GB2312" w:hint="eastAsia"/>
          <w:color w:themeColor="text1" w:val="000000"/>
          <w:sz w:val="20"/>
          <w:szCs w:val="20"/>
          <w:highlight w:val="none"/>
          <w14:textFill>
            <w14:solidFill>
              <w14:schemeClr w14:val="tx1"/>
            </w14:solidFill>
          </w14:textFill>
        </w:rPr>
        <w:t>账户的</w:t>
      </w:r>
      <w:r>
        <w:rPr>
          <w:rFonts w:ascii="楷体_GB2312" w:eastAsia="楷体_GB2312"/>
          <w:color w:themeColor="text1" w:val="000000"/>
          <w:sz w:val="20"/>
          <w:szCs w:val="20"/>
          <w:highlight w:val="none"/>
          <w14:textFill>
            <w14:solidFill>
              <w14:schemeClr w14:val="tx1"/>
            </w14:solidFill>
          </w14:textFill>
        </w:rPr>
        <w:t>时间以代销机构的清算时间为准。</w:t>
      </w:r>
    </w:p>
    <w:p w14:paraId="3A470B0F">
      <w:pPr>
        <w:spacing w:line="300" w:lineRule="exact"/>
        <w:ind w:left="-2" w:leftChars="-1" w:right="36" w:rightChars="15"/>
        <w:rPr>
          <w:color w:themeColor="text1" w:val="000000"/>
          <w:highlight w:val="none"/>
          <w14:textFill>
            <w14:solidFill>
              <w14:schemeClr w14:val="tx1"/>
            </w14:solidFill>
          </w14:textFill>
        </w:rPr>
      </w:pPr>
    </w:p>
    <w:p w14:paraId="0B43CF77">
      <w:pPr>
        <w:snapToGrid w:val="0"/>
        <w:spacing w:line="300" w:lineRule="exact"/>
        <w:ind w:left="-2" w:leftChars="-1" w:right="53" w:rightChars="22"/>
        <w:outlineLvl w:val="0"/>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2.认购费</w:t>
      </w:r>
      <w:r>
        <w:rPr>
          <w:rFonts w:ascii="楷体_GB2312" w:cs="楷体_GB2312" w:eastAsia="楷体_GB2312" w:hint="eastAsia"/>
          <w:b/>
          <w:color w:val="000000"/>
          <w:sz w:val="20"/>
          <w:szCs w:val="20"/>
          <w:highlight w:val="none"/>
        </w:rPr>
        <w:t>：</w:t>
      </w:r>
      <w:r>
        <w:rPr>
          <w:rFonts w:ascii="楷体_GB2312" w:cs="楷体_GB2312" w:eastAsia="楷体_GB2312"/>
          <w:b/>
          <w:sz w:val="20"/>
          <w:szCs w:val="20"/>
          <w:highlight w:val="none"/>
        </w:rPr>
        <w:t>【A】类份额不收取认购费，【B】类份额不收取认购费，【C】类份额不收取认购费，【D】类份额不收取认购费，【G】类份额不收取认购费，【S】类份额不收取认购费</w:t>
      </w:r>
      <w:r>
        <w:rPr>
          <w:rFonts w:ascii="楷体_GB2312" w:cs="楷体_GB2312" w:eastAsia="楷体_GB2312" w:hint="eastAsia"/>
          <w:b/>
          <w:sz w:val="20"/>
          <w:szCs w:val="20"/>
          <w:highlight w:val="none"/>
        </w:rPr>
        <w:t>。</w:t>
      </w:r>
    </w:p>
    <w:p w14:paraId="54618D6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3.销售服务费</w:t>
      </w:r>
    </w:p>
    <w:p w14:paraId="284BF5F7">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【A】类份额费率【0.15%】/年，【B】类份额费率【0.15%】/年，【C】类份额费率【0.05%】/年，【D】类份额费率【0.10%】/年，【G】类份额费率【0.10%】/年，【S】类份额费率【0.10%】/年，计算方式为【</w:t>
      </w:r>
      <w:r>
        <w:rPr>
          <w:rFonts w:ascii="楷体_GB2312" w:cs="楷体_GB2312" w:eastAsia="楷体_GB2312" w:hint="eastAsia"/>
          <w:b/>
          <w:sz w:val="20"/>
          <w:szCs w:val="20"/>
          <w:highlight w:val="none"/>
        </w:rPr>
        <w:t>每日销售费</w:t>
      </w:r>
      <w:r>
        <w:rPr>
          <w:rFonts w:ascii="楷体_GB2312" w:cs="楷体_GB2312" w:eastAsia="楷体_GB2312"/>
          <w:b/>
          <w:sz w:val="20"/>
          <w:szCs w:val="20"/>
          <w:highlight w:val="none"/>
        </w:rPr>
        <w:t>=理财产品上一自然日产品净资产×销售费率/365。（在首个起息日计算销售服务费时，以产品成立日的实收本金为计提基础，计算托管费、固定管理费时亦参照执行）】</w:t>
      </w:r>
      <w:r>
        <w:rPr>
          <w:rFonts w:ascii="楷体_GB2312" w:cs="楷体_GB2312" w:eastAsia="楷体_GB2312" w:hint="eastAsia"/>
          <w:b/>
          <w:sz w:val="20"/>
          <w:szCs w:val="20"/>
          <w:highlight w:val="none"/>
        </w:rPr>
        <w:t>。</w:t>
      </w:r>
    </w:p>
    <w:p w14:paraId="55AFEBB0">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销售服务费每日计提，按【</w:t>
      </w:r>
      <w:r>
        <w:rPr>
          <w:rFonts w:ascii="楷体_GB2312" w:cs="楷体_GB2312" w:eastAsia="楷体_GB2312" w:hint="eastAsia"/>
          <w:b/>
          <w:sz w:val="20"/>
          <w:szCs w:val="20"/>
          <w:highlight w:val="none"/>
        </w:rPr>
        <w:t>季</w:t>
      </w:r>
      <w:r>
        <w:rPr>
          <w:rFonts w:ascii="楷体_GB2312" w:cs="楷体_GB2312" w:eastAsia="楷体_GB2312"/>
          <w:b/>
          <w:color w:val="000000"/>
          <w:sz w:val="20"/>
          <w:szCs w:val="20"/>
          <w:highlight w:val="none"/>
        </w:rPr>
        <w:t>】支付，由管理人向托管人发送指令，托管人复核后按【季】从资产中一次性支付。投资者通过代销机构购买理财产品的，代销机构收取的</w:t>
      </w:r>
      <w:r>
        <w:rPr>
          <w:rFonts w:ascii="楷体_GB2312" w:cs="楷体_GB2312" w:eastAsia="楷体_GB2312" w:hint="eastAsia"/>
          <w:b/>
          <w:color w:val="000000"/>
          <w:sz w:val="20"/>
          <w:szCs w:val="20"/>
          <w:highlight w:val="none"/>
        </w:rPr>
        <w:t>销售</w:t>
      </w:r>
      <w:r>
        <w:rPr>
          <w:rFonts w:ascii="楷体_GB2312" w:cs="楷体_GB2312" w:eastAsia="楷体_GB2312"/>
          <w:b/>
          <w:color w:val="000000"/>
          <w:sz w:val="20"/>
          <w:szCs w:val="20"/>
          <w:highlight w:val="none"/>
        </w:rPr>
        <w:t>相关费用以代销机构规定为准。</w:t>
      </w:r>
    </w:p>
    <w:p w14:paraId="7D1AECCA">
      <w:pPr>
        <w:spacing w:line="300" w:lineRule="exact"/>
        <w:ind w:firstLine="402" w:firstLineChars="200"/>
        <w:rPr>
          <w:rFonts w:ascii="楷体_GB2312" w:cs="楷体_GB2312" w:eastAsia="楷体_GB2312"/>
          <w:b/>
          <w:color w:val="000000"/>
          <w:sz w:val="20"/>
          <w:szCs w:val="20"/>
          <w:highlight w:val="none"/>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4.托管费</w:t>
      </w:r>
    </w:p>
    <w:p w14:paraId="2C84DF00">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费率【0.05%】/年，计算方式为【</w:t>
      </w:r>
      <w:r>
        <w:rPr>
          <w:rFonts w:ascii="楷体_GB2312" w:cs="楷体_GB2312" w:eastAsia="楷体_GB2312" w:hint="eastAsia"/>
          <w:b/>
          <w:sz w:val="20"/>
          <w:szCs w:val="20"/>
          <w:highlight w:val="none"/>
        </w:rPr>
        <w:t>每日托管费</w:t>
      </w:r>
      <w:r>
        <w:rPr>
          <w:rFonts w:ascii="楷体_GB2312" w:cs="楷体_GB2312" w:eastAsia="楷体_GB2312"/>
          <w:b/>
          <w:sz w:val="20"/>
          <w:szCs w:val="20"/>
          <w:highlight w:val="none"/>
        </w:rPr>
        <w:t>=理财产品上一自然日产品净资产×托管费率/365】</w:t>
      </w:r>
      <w:r>
        <w:rPr>
          <w:rFonts w:ascii="楷体_GB2312" w:cs="楷体_GB2312" w:eastAsia="楷体_GB2312" w:hint="eastAsia"/>
          <w:b/>
          <w:sz w:val="20"/>
          <w:szCs w:val="20"/>
          <w:highlight w:val="none"/>
        </w:rPr>
        <w:t>。</w:t>
      </w:r>
    </w:p>
    <w:p w14:paraId="61F79A12">
      <w:pPr>
        <w:snapToGrid w:val="0"/>
        <w:spacing w:line="300" w:lineRule="exact"/>
        <w:ind w:firstLine="402" w:firstLineChars="200"/>
        <w:outlineLvl w:val="0"/>
        <w:rPr>
          <w:rFonts w:ascii="楷体_GB2312" w:eastAsia="楷体_GB2312"/>
          <w:b/>
          <w:color w:val="000000"/>
          <w:sz w:val="20"/>
          <w:szCs w:val="20"/>
          <w:highlight w:val="none"/>
        </w:rPr>
      </w:pPr>
      <w:r>
        <w:rPr>
          <w:rFonts w:ascii="楷体_GB2312" w:cs="楷体_GB2312" w:eastAsia="楷体_GB2312"/>
          <w:b/>
          <w:color w:val="000000"/>
          <w:sz w:val="20"/>
          <w:szCs w:val="20"/>
          <w:highlight w:val="none"/>
        </w:rPr>
        <w:t>托管费每日计提，按【</w:t>
      </w:r>
      <w:r>
        <w:rPr>
          <w:rFonts w:ascii="楷体_GB2312" w:cs="楷体_GB2312" w:eastAsia="楷体_GB2312" w:hint="eastAsia"/>
          <w:b/>
          <w:color w:val="000000"/>
          <w:sz w:val="20"/>
          <w:szCs w:val="20"/>
          <w:highlight w:val="none"/>
        </w:rPr>
        <w:t>年</w:t>
      </w:r>
      <w:r>
        <w:rPr>
          <w:rFonts w:ascii="楷体_GB2312" w:cs="楷体_GB2312" w:eastAsia="楷体_GB2312"/>
          <w:b/>
          <w:color w:val="000000"/>
          <w:sz w:val="20"/>
          <w:szCs w:val="20"/>
          <w:highlight w:val="none"/>
        </w:rPr>
        <w:t>】支付，由管理人向托管人发送指令，托管人复核后从资产中一次性支付。</w:t>
      </w:r>
    </w:p>
    <w:p w14:paraId="015FAA49">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5.固定管理费</w:t>
      </w:r>
    </w:p>
    <w:p w14:paraId="0B9B6D7F">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hint="eastAsia"/>
          <w:b/>
          <w:sz w:val="20"/>
          <w:szCs w:val="20"/>
          <w:highlight w:val="none"/>
        </w:rPr>
        <w:t>费率【</w:t>
      </w:r>
      <w:r>
        <w:rPr>
          <w:rFonts w:ascii="楷体_GB2312" w:cs="楷体_GB2312" w:eastAsia="楷体_GB2312"/>
          <w:b/>
          <w:sz w:val="20"/>
          <w:szCs w:val="20"/>
          <w:highlight w:val="none"/>
        </w:rPr>
        <w:t>0.15%】/年，计算方式为【</w:t>
      </w:r>
      <w:r>
        <w:rPr>
          <w:rFonts w:ascii="楷体_GB2312" w:cs="楷体_GB2312" w:eastAsia="楷体_GB2312" w:hint="eastAsia"/>
          <w:b/>
          <w:sz w:val="20"/>
          <w:szCs w:val="20"/>
          <w:highlight w:val="none"/>
        </w:rPr>
        <w:t>每日固定管理费</w:t>
      </w:r>
      <w:r>
        <w:rPr>
          <w:rFonts w:ascii="楷体_GB2312" w:cs="楷体_GB2312" w:eastAsia="楷体_GB2312"/>
          <w:b/>
          <w:sz w:val="20"/>
          <w:szCs w:val="20"/>
          <w:highlight w:val="none"/>
        </w:rPr>
        <w:t>=理财产品上一自然日产品净资产×固定管理费率/365】</w:t>
      </w:r>
      <w:r>
        <w:rPr>
          <w:rFonts w:ascii="楷体_GB2312" w:cs="楷体_GB2312" w:eastAsia="楷体_GB2312" w:hint="eastAsia"/>
          <w:b/>
          <w:sz w:val="20"/>
          <w:szCs w:val="20"/>
          <w:highlight w:val="none"/>
        </w:rPr>
        <w:t>。</w:t>
      </w:r>
    </w:p>
    <w:p w14:paraId="60C301C7">
      <w:pPr>
        <w:snapToGrid w:val="0"/>
        <w:spacing w:line="300" w:lineRule="exact"/>
        <w:ind w:firstLine="402" w:firstLineChars="200" w:left="-2" w:leftChars="-1"/>
        <w:outlineLvl w:val="0"/>
        <w:rPr>
          <w:rFonts w:ascii="楷体_GB2312" w:eastAsia="楷体_GB2312"/>
          <w:b/>
          <w:sz w:val="20"/>
          <w:szCs w:val="20"/>
          <w:highlight w:val="none"/>
        </w:rPr>
      </w:pPr>
      <w:r>
        <w:rPr>
          <w:rFonts w:ascii="楷体_GB2312" w:cs="楷体_GB2312" w:eastAsia="楷体_GB2312" w:hint="eastAsia"/>
          <w:b/>
          <w:sz w:val="20"/>
          <w:szCs w:val="20"/>
          <w:highlight w:val="none"/>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6.浮动管理费</w:t>
      </w:r>
    </w:p>
    <w:p w14:paraId="03DB22E1">
      <w:pPr>
        <w:snapToGrid w:val="0"/>
        <w:spacing w:line="300" w:lineRule="exact"/>
        <w:ind w:firstLine="402" w:firstLineChars="200" w:right="96" w:rightChars="40"/>
        <w:outlineLvl w:val="0"/>
        <w:rPr>
          <w:rFonts w:ascii="楷体_GB2312" w:cs="楷体_GB2312" w:eastAsia="楷体_GB2312"/>
          <w:b/>
          <w:color w:val="000000"/>
          <w:sz w:val="20"/>
          <w:szCs w:val="20"/>
          <w:highlight w:val="none"/>
        </w:rPr>
      </w:pPr>
      <w:r>
        <w:rPr>
          <w:rFonts w:ascii="楷体_GB2312" w:cs="楷体_GB2312" w:eastAsia="楷体_GB2312"/>
          <w:b/>
          <w:sz w:val="20"/>
          <w:szCs w:val="20"/>
          <w:highlight w:val="none"/>
        </w:rPr>
        <w:t/>
        <w:t>【A】类份额设立业绩比较基准，在产品到期日或提前终止日时，如计提浮动管理费前年化收益率超过【2.20%】的，管理人将收取超额部分的【50%】作为浮动管理费。</w:t>
        <w:br/>
        <w:t xml:space="preserve">    【B】类份额设立业绩比较基准，在产品到期日或提前终止日时，如计提浮动管理费前年化收益率超过【2.20%】的，管理人将收取超额部分的【50%】作为浮动管理费。</w:t>
        <w:br/>
        <w:t xml:space="preserve">    【C】类份额设立业绩比较基准，在产品到期日或提前终止日时，如计提浮动管理费前年化收益率超过【2.30%】的，管理人将收取超额部分的【50%】作为浮动管理费。</w:t>
        <w:br/>
        <w:t xml:space="preserve">    【D】类份额设立业绩比较基准，在产品到期日或提前终止日时，如计提浮动管理费前年化收益率超过【2.25%】的，管理人将收取超额部分的【50%】作为浮动管理费。</w:t>
        <w:br/>
        <w:t xml:space="preserve">    【G】类份额设立业绩比较基准，在产品到期日或提前终止日时，如计提浮动管理费前年化收益率超过【2.25%】的，管理人将收取超额部分的【50%】作为浮动管理费。</w:t>
        <w:br/>
        <w:t xml:space="preserve">    【S】类份额设立业绩比较基准，在产品到期日或提前终止日时，如计提浮动管理费前年化收益率超过【2.25%】的，管理人将收取超额部分的【50%】作为浮动管理费。</w:t>
        <w:br/>
        <w:t xml:space="preserve">    浮动管理费到期日或提前终止日计提，由管理人向托管人发送指令，托管人复核后到期从资产中一次性支付。</w:t>
        <w:b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45CA16D2">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7.产品运作和清算中产生的其他资金汇划费、结算费、交易手续费、注册登记费、信息披露费、账户服务费、审计费、律师费</w:t>
      </w:r>
      <w:r>
        <w:rPr>
          <w:rFonts w:ascii="楷体_GB2312" w:cs="楷体_GB2312" w:eastAsia="楷体_GB2312" w:hint="eastAsia"/>
          <w:b/>
          <w:color w:val="000000"/>
          <w:sz w:val="20"/>
          <w:szCs w:val="20"/>
          <w:highlight w:val="none"/>
        </w:rPr>
        <w:t>、因投资资产而产生的资产推荐服务费等相关费用</w:t>
      </w:r>
      <w:r>
        <w:rPr>
          <w:rFonts w:ascii="楷体_GB2312" w:cs="楷体_GB2312" w:eastAsia="楷体_GB2312"/>
          <w:b/>
          <w:color w:val="000000"/>
          <w:sz w:val="20"/>
          <w:szCs w:val="20"/>
          <w:highlight w:val="none"/>
        </w:rPr>
        <w:t>及按照法律法规规章规定和理财产品销售文件约定应由产品承担的费用等，按照实际发生时从产品资产中列支。</w:t>
      </w:r>
    </w:p>
    <w:p w14:paraId="284F0913">
      <w:pPr>
        <w:snapToGrid w:val="0"/>
        <w:spacing w:line="300" w:lineRule="exact"/>
        <w:ind w:firstLine="400" w:firstLineChars="200" w:left="-2" w:leftChars="-1" w:right="53" w:rightChars="22"/>
        <w:jc w:val="both"/>
        <w:outlineLvl w:val="0"/>
        <w:rPr>
          <w:rFonts w:ascii="楷体_GB2312" w:cs="楷体_GB2312" w:eastAsia="楷体_GB2312"/>
          <w:color w:themeColor="text1" w:val="000000"/>
          <w:sz w:val="20"/>
          <w:szCs w:val="20"/>
          <w:highlight w:val="none"/>
          <w14:textFill>
            <w14:solidFill>
              <w14:schemeClr w14:val="tx1"/>
            </w14:solidFill>
          </w14:textFill>
        </w:rPr>
      </w:pPr>
    </w:p>
    <w:p w14:paraId="79F8174C">
      <w:pPr>
        <w:spacing w:line="300" w:lineRule="exact"/>
        <w:ind w:right="29" w:rightChars="12"/>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九、资产估值</w:t>
      </w:r>
    </w:p>
    <w:p w14:paraId="1AB5D47C">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．估值日</w:t>
      </w:r>
    </w:p>
    <w:p w14:paraId="773AD8D1">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产品的估值日为</w:t>
      </w:r>
      <w:r>
        <w:rPr>
          <w:rFonts w:ascii="楷体_GB2312" w:cs="楷体_GB2312" w:eastAsia="楷体_GB2312" w:hint="eastAsia"/>
          <w:color w:themeColor="text1" w:val="000000"/>
          <w:sz w:val="20"/>
          <w:szCs w:val="20"/>
          <w:highlight w:val="none"/>
          <w14:textFill>
            <w14:solidFill>
              <w14:schemeClr w14:val="tx1"/>
            </w14:solidFill>
          </w14:textFill>
        </w:rPr>
        <w:t>净值披露日和收益分配日</w:t>
      </w:r>
      <w:r>
        <w:rPr>
          <w:rFonts w:ascii="楷体_GB2312" w:cs="楷体_GB2312" w:eastAsia="楷体_GB2312"/>
          <w:color w:themeColor="text1" w:val="000000"/>
          <w:sz w:val="20"/>
          <w:szCs w:val="20"/>
          <w:highlight w:val="none"/>
          <w14:textFill>
            <w14:solidFill>
              <w14:schemeClr w14:val="tx1"/>
            </w14:solidFill>
          </w14:textFill>
        </w:rPr>
        <w:t>。</w:t>
      </w:r>
    </w:p>
    <w:p w14:paraId="2D3F1DD2">
      <w:pPr>
        <w:numPr>
          <w:ilvl w:val="0"/>
          <w:numId w:val="9"/>
        </w:numPr>
        <w:spacing w:line="300" w:lineRule="exact"/>
        <w:ind w:firstLine="400" w:firstLineChars="200"/>
        <w:jc w:val="both"/>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估值原则</w:t>
      </w:r>
    </w:p>
    <w:p w14:paraId="79EA9118">
      <w:pPr>
        <w:numPr>
          <w:ilvl w:val="-1"/>
          <w:numId w:val="0"/>
        </w:numPr>
        <w:spacing w:line="300" w:lineRule="exact"/>
        <w:ind w:firstLine="0" w:firstLineChars="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 xml:space="preserve">    </w:t>
      </w:r>
      <w:r>
        <w:rPr>
          <w:rFonts w:ascii="楷体_GB2312" w:cs="楷体_GB2312" w:eastAsia="楷体_GB2312" w:hint="eastAsia"/>
          <w:color w:themeColor="text1" w:val="000000"/>
          <w:sz w:val="20"/>
          <w:szCs w:val="20"/>
          <w:highlight w:val="none"/>
          <w14:textFill>
            <w14:solidFill>
              <w14:schemeClr w14:val="tx1"/>
            </w14:solidFill>
          </w14:textFill>
        </w:rPr>
        <w:t>管理人在确定相关金融工具的公允价值时，应符合《企业会计准则》、监管部门有关规定。</w:t>
      </w:r>
    </w:p>
    <w:p w14:paraId="53F4A7F7">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1</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且能够获取相同投资品种报价的金融工具，在估值日有报价的，除会计准则规定的例外情况外，应将该报价不加调整地应用于该金融工具的公允价值计量。估值日无报价且最近交易日后未发生影响公允价值计量的重大事件的，应采用最近交易日的报价确定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公允价值。有充足证据表明估值日或最近交易日的报价不能真实反映金融工具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公允价值的，应对报价进行调整，确定公允价值。</w:t>
      </w:r>
    </w:p>
    <w:p w14:paraId="6CF710A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2</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对存在活跃市场的投资品种，如估值日无报价的，需结合最近交易日后经济环境是否发生了重大变化，评估是否对最近交易市价进行调整，确定公允价值。</w:t>
      </w:r>
    </w:p>
    <w:p w14:paraId="760BED5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不存在活跃市场的投资品种，应采用市场参与者普遍认同且被以往市场实际交易价格验证具有可靠性的估值技术确定金融工具的公允价值。采用估值技术确定公允价值时，应优先使用可观察输入值，只有在无法取得相关金融工具可观察输入值或取得不切实可行的情况下，才可以使用不可观察输入值。</w:t>
      </w:r>
    </w:p>
    <w:p w14:paraId="747172AD">
      <w:pPr>
        <w:numPr>
          <w:ilvl w:val="-1"/>
          <w:numId w:val="0"/>
        </w:num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公司在估值过程中可参考第三方估值机构提供的估值结果或估值参数。当采用第三方估值机构提供的价格数据估值时，应选取可靠的、信誉良好的第三方估值机构，并充分了解第三方估值机构所使用的估值技术和估值结果的产生过程，通过定期对估值结构或估值参数进行校验评价其估值质量，防范可能出现的估值偏差。</w:t>
      </w:r>
    </w:p>
    <w:p w14:paraId="57A19E35">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对象和</w:t>
      </w:r>
      <w:r>
        <w:rPr>
          <w:rFonts w:ascii="楷体_GB2312" w:cs="楷体_GB2312" w:eastAsia="楷体_GB2312" w:hint="eastAsia"/>
          <w:color w:themeColor="text1" w:val="000000"/>
          <w:sz w:val="20"/>
          <w:szCs w:val="20"/>
          <w:highlight w:val="none"/>
          <w14:textFill>
            <w14:solidFill>
              <w14:schemeClr w14:val="tx1"/>
            </w14:solidFill>
          </w14:textFill>
        </w:rPr>
        <w:t>估值方法</w:t>
      </w:r>
    </w:p>
    <w:p w14:paraId="6EB8E0C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1）银行存款、回购等货币市场工具</w:t>
      </w:r>
    </w:p>
    <w:p w14:paraId="3F0DE640">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4）未上市基金估值</w:t>
      </w:r>
    </w:p>
    <w:p w14:paraId="15E45F74">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5）非上市股权估值 </w:t>
      </w:r>
    </w:p>
    <w:p w14:paraId="59D6180F">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themeColor="text1" w:val="000000"/>
          <w:sz w:val="20"/>
          <w:szCs w:val="20"/>
          <w:highlight w:val="none"/>
          <w:u w:val="singl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错误的处理</w:t>
      </w:r>
    </w:p>
    <w:p w14:paraId="6ECABD3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cs="楷体_GB2312" w:eastAsia="楷体_GB2312"/>
          <w:color w:themeColor="text1" w:val="000000"/>
          <w:sz w:val="20"/>
          <w:szCs w:val="20"/>
          <w:highlight w:val="none"/>
          <w14:textFill>
            <w14:solidFill>
              <w14:schemeClr w14:val="tx1"/>
            </w14:solidFill>
          </w14:textFill>
        </w:rPr>
        <w:t>托管人</w:t>
      </w:r>
      <w:r>
        <w:rPr>
          <w:rFonts w:ascii="楷体_GB2312" w:cs="楷体_GB2312" w:eastAsia="楷体_GB2312" w:hint="eastAsia"/>
          <w:color w:themeColor="text1" w:val="000000"/>
          <w:sz w:val="20"/>
          <w:szCs w:val="20"/>
          <w:highlight w:val="none"/>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themeColor="text1" w:val="000000"/>
          <w:sz w:val="20"/>
          <w:szCs w:val="20"/>
          <w:highlight w:val="none"/>
          <w14:textFill>
            <w14:solidFill>
              <w14:schemeClr w14:val="tx1"/>
            </w14:solidFill>
          </w14:textFill>
        </w:rPr>
        <w:t>应当积极采取必要措施消除</w:t>
      </w:r>
      <w:r>
        <w:rPr>
          <w:rFonts w:ascii="楷体_GB2312" w:eastAsia="楷体_GB2312" w:hint="eastAsia"/>
          <w:color w:themeColor="text1" w:val="000000"/>
          <w:sz w:val="20"/>
          <w:szCs w:val="20"/>
          <w:highlight w:val="none"/>
          <w14:textFill>
            <w14:solidFill>
              <w14:schemeClr w14:val="tx1"/>
            </w14:solidFill>
          </w14:textFill>
        </w:rPr>
        <w:t>差错</w:t>
      </w:r>
      <w:r>
        <w:rPr>
          <w:rFonts w:ascii="楷体_GB2312" w:eastAsia="楷体_GB2312"/>
          <w:color w:themeColor="text1" w:val="000000"/>
          <w:sz w:val="20"/>
          <w:szCs w:val="20"/>
          <w:highlight w:val="none"/>
          <w14:textFill>
            <w14:solidFill>
              <w14:schemeClr w14:val="tx1"/>
            </w14:solidFill>
          </w14:textFill>
        </w:rPr>
        <w:t>带来的影响</w:t>
      </w:r>
      <w:r>
        <w:rPr>
          <w:rFonts w:ascii="楷体_GB2312" w:eastAsia="楷体_GB2312" w:hint="eastAsia"/>
          <w:color w:themeColor="text1" w:val="000000"/>
          <w:sz w:val="20"/>
          <w:szCs w:val="20"/>
          <w:highlight w:val="none"/>
          <w14:textFill>
            <w14:solidFill>
              <w14:schemeClr w14:val="tx1"/>
            </w14:solidFill>
          </w14:textFill>
        </w:rPr>
        <w:t>。</w:t>
      </w:r>
    </w:p>
    <w:p w14:paraId="548BA121">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D</w:t>
      </w:r>
      <w:r>
        <w:rPr>
          <w:rFonts w:ascii="楷体_GB2312" w:eastAsia="楷体_GB2312" w:hint="eastAsia"/>
          <w:color w:themeColor="text1" w:val="000000"/>
          <w:sz w:val="20"/>
          <w:szCs w:val="20"/>
          <w:highlight w:val="none"/>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E</w:t>
      </w:r>
      <w:r>
        <w:rPr>
          <w:rFonts w:ascii="楷体_GB2312" w:eastAsia="楷体_GB2312" w:hint="eastAsia"/>
          <w:color w:themeColor="text1" w:val="000000"/>
          <w:sz w:val="20"/>
          <w:szCs w:val="20"/>
          <w:highlight w:val="none"/>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查明估值错误发生的原因，列明所有的管理人和托管人并根据估值错误发生的原因确定估值错误的责任方</w:t>
      </w:r>
      <w:r>
        <w:rPr>
          <w:rFonts w:ascii="楷体_GB2312" w:eastAsia="楷体_GB2312" w:hint="eastAsia"/>
          <w:color w:themeColor="text1" w:val="000000"/>
          <w:sz w:val="20"/>
          <w:szCs w:val="20"/>
          <w:highlight w:val="none"/>
          <w:lang w:eastAsia="zh-CN"/>
          <w14:textFill>
            <w14:solidFill>
              <w14:schemeClr w14:val="tx1"/>
            </w14:solidFill>
          </w14:textFill>
        </w:rPr>
        <w:t>；</w:t>
      </w:r>
    </w:p>
    <w:p w14:paraId="47F684A2">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根据估值错误处理原则对因估值错误造成的损失进行评估</w:t>
      </w:r>
      <w:r>
        <w:rPr>
          <w:rFonts w:ascii="楷体_GB2312" w:eastAsia="楷体_GB2312" w:hint="eastAsia"/>
          <w:color w:themeColor="text1" w:val="000000"/>
          <w:sz w:val="20"/>
          <w:szCs w:val="20"/>
          <w:highlight w:val="none"/>
          <w:lang w:eastAsia="zh-CN"/>
          <w14:textFill>
            <w14:solidFill>
              <w14:schemeClr w14:val="tx1"/>
            </w14:solidFill>
          </w14:textFill>
        </w:rPr>
        <w:t>；</w:t>
      </w:r>
    </w:p>
    <w:p w14:paraId="3C76DF0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lang w:eastAsia="zh-CN" w:val="en-US"/>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6</w:t>
      </w:r>
      <w:r>
        <w:rPr>
          <w:rFonts w:ascii="楷体_GB2312" w:cs="楷体_GB2312" w:eastAsia="楷体_GB2312" w:hint="eastAsia"/>
          <w:color w:themeColor="text1" w:val="000000"/>
          <w:sz w:val="20"/>
          <w:szCs w:val="20"/>
          <w:highlight w:val="none"/>
          <w14:textFill>
            <w14:solidFill>
              <w14:schemeClr w14:val="tx1"/>
            </w14:solidFill>
          </w14:textFill>
        </w:rPr>
        <w:t>．暂停</w:t>
      </w:r>
      <w:r>
        <w:rPr>
          <w:rFonts w:ascii="楷体_GB2312" w:cs="楷体_GB2312" w:eastAsia="楷体_GB2312"/>
          <w:color w:themeColor="text1" w:val="000000"/>
          <w:sz w:val="20"/>
          <w:szCs w:val="20"/>
          <w:highlight w:val="none"/>
          <w14:textFill>
            <w14:solidFill>
              <w14:schemeClr w14:val="tx1"/>
            </w14:solidFill>
          </w14:textFill>
        </w:rPr>
        <w:t>估值的情形</w:t>
      </w:r>
    </w:p>
    <w:p w14:paraId="3714930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（3</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产品投资的其他</w:t>
      </w:r>
      <w:r>
        <w:rPr>
          <w:rFonts w:ascii="楷体_GB2312" w:cs="楷体_GB2312" w:eastAsia="楷体_GB2312" w:hint="eastAsia"/>
          <w:color w:themeColor="text1" w:val="000000"/>
          <w:sz w:val="20"/>
          <w:szCs w:val="20"/>
          <w:highlight w:val="none"/>
          <w14:textFill>
            <w14:solidFill>
              <w14:schemeClr w14:val="tx1"/>
            </w14:solidFill>
          </w14:textFill>
        </w:rPr>
        <w:t>资产</w:t>
      </w:r>
      <w:r>
        <w:rPr>
          <w:rFonts w:ascii="楷体_GB2312" w:cs="楷体_GB2312" w:eastAsia="楷体_GB2312"/>
          <w:color w:themeColor="text1" w:val="000000"/>
          <w:sz w:val="20"/>
          <w:szCs w:val="20"/>
          <w:highlight w:val="none"/>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产品在前一估值日内，产品资产净值</w:t>
      </w:r>
      <w:r>
        <w:rPr>
          <w:rFonts w:ascii="楷体_GB2312" w:cs="楷体_GB2312" w:eastAsia="楷体_GB2312"/>
          <w:color w:themeColor="text1" w:val="000000"/>
          <w:sz w:val="20"/>
          <w:szCs w:val="20"/>
          <w:highlight w:val="none"/>
          <w14:textFill>
            <w14:solidFill>
              <w14:schemeClr w14:val="tx1"/>
            </w14:solidFill>
          </w14:textFill>
        </w:rPr>
        <w:t>50%以上的资产不具备活跃交易市场或者在活跃市场中无报价，且不能采用估值技术可靠计量公允价值的</w:t>
      </w:r>
      <w:r>
        <w:rPr>
          <w:rFonts w:ascii="楷体_GB2312" w:cs="楷体_GB2312" w:eastAsia="楷体_GB2312" w:hint="eastAsia"/>
          <w:color w:themeColor="text1" w:val="000000"/>
          <w:sz w:val="20"/>
          <w:szCs w:val="20"/>
          <w:highlight w:val="none"/>
          <w14:textFill>
            <w14:solidFill>
              <w14:schemeClr w14:val="tx1"/>
            </w14:solidFill>
          </w14:textFill>
        </w:rPr>
        <w:t>；</w:t>
      </w:r>
    </w:p>
    <w:p w14:paraId="4C1B57F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国务院银行业监督管理机构认定的其他情形或理财</w:t>
      </w:r>
      <w:r>
        <w:rPr>
          <w:rFonts w:ascii="楷体_GB2312" w:cs="楷体_GB2312" w:eastAsia="楷体_GB2312"/>
          <w:color w:themeColor="text1" w:val="000000"/>
          <w:sz w:val="20"/>
          <w:szCs w:val="20"/>
          <w:highlight w:val="none"/>
          <w14:textFill>
            <w14:solidFill>
              <w14:schemeClr w14:val="tx1"/>
            </w14:solidFill>
          </w14:textFill>
        </w:rPr>
        <w:t>产品管理人、托管人有合理理由认为将影响本理财产品估值的其他情形</w:t>
      </w:r>
      <w:r>
        <w:rPr>
          <w:rFonts w:ascii="楷体_GB2312" w:cs="楷体_GB2312" w:eastAsia="楷体_GB2312" w:hint="eastAsia"/>
          <w:color w:themeColor="text1" w:val="000000"/>
          <w:sz w:val="20"/>
          <w:szCs w:val="20"/>
          <w:highlight w:val="none"/>
          <w14:textFill>
            <w14:solidFill>
              <w14:schemeClr w14:val="tx1"/>
            </w14:solidFill>
          </w14:textFill>
        </w:rPr>
        <w:t>。</w:t>
      </w:r>
    </w:p>
    <w:p w14:paraId="361976D9">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遇</w:t>
      </w:r>
      <w:r>
        <w:rPr>
          <w:rFonts w:ascii="楷体_GB2312" w:cs="楷体_GB2312" w:eastAsia="楷体_GB2312"/>
          <w:color w:themeColor="text1" w:val="000000"/>
          <w:sz w:val="20"/>
          <w:szCs w:val="20"/>
          <w:highlight w:val="none"/>
          <w14:textFill>
            <w14:solidFill>
              <w14:schemeClr w14:val="tx1"/>
            </w14:solidFill>
          </w14:textFill>
        </w:rPr>
        <w:t>以上情形，</w:t>
      </w:r>
      <w:r>
        <w:rPr>
          <w:rFonts w:ascii="楷体_GB2312" w:cs="楷体_GB2312" w:eastAsia="楷体_GB2312" w:hint="eastAsia"/>
          <w:color w:themeColor="text1" w:val="000000"/>
          <w:sz w:val="20"/>
          <w:szCs w:val="20"/>
          <w:highlight w:val="none"/>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themeColor="text1" w:val="000000"/>
          <w:sz w:val="20"/>
          <w:szCs w:val="20"/>
          <w:highlight w:val="none"/>
          <w14:textFill>
            <w14:solidFill>
              <w14:schemeClr w14:val="tx1"/>
            </w14:solidFill>
          </w14:textFill>
        </w:rPr>
      </w:pPr>
    </w:p>
    <w:p w14:paraId="22FDF408">
      <w:pPr>
        <w:spacing w:line="300" w:lineRule="exact"/>
        <w:ind w:left="-2" w:leftChars="-1" w:right="36" w:rightChars="15"/>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十、产品不成立</w:t>
      </w:r>
      <w:bookmarkStart w:id="1" w:name="_GoBack"/>
      <w:bookmarkEnd w:id="1"/>
    </w:p>
    <w:p w14:paraId="5A45DF60">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如遇国家法律法规或监管政策出现重大调整，或者市场、拟投资标的等</w:t>
      </w:r>
      <w:r>
        <w:rPr>
          <w:rFonts w:ascii="楷体_GB2312" w:cs="楷体_GB2312" w:eastAsia="楷体_GB2312"/>
          <w:color w:themeColor="text1" w:val="000000"/>
          <w:sz w:val="20"/>
          <w:szCs w:val="20"/>
          <w:highlight w:val="none"/>
          <w14:textFill>
            <w14:solidFill>
              <w14:schemeClr w14:val="tx1"/>
            </w14:solidFill>
          </w14:textFill>
        </w:rPr>
        <w:t>情况</w:t>
      </w:r>
      <w:r>
        <w:rPr>
          <w:rFonts w:ascii="楷体_GB2312" w:cs="楷体_GB2312" w:eastAsia="楷体_GB2312" w:hint="eastAsia"/>
          <w:color w:themeColor="text1" w:val="000000"/>
          <w:sz w:val="20"/>
          <w:szCs w:val="20"/>
          <w:highlight w:val="none"/>
          <w14:textFill>
            <w14:solidFill>
              <w14:schemeClr w14:val="tx1"/>
            </w14:solidFill>
          </w14:textFill>
        </w:rPr>
        <w:t>出现重大变化，影响到本产品的正常成立时，信银理财有权宣布产品不成立。</w:t>
      </w:r>
    </w:p>
    <w:p w14:paraId="37899C85">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信银理财将于决定理财产品不成立后的【2】个工作日内</w:t>
      </w:r>
      <w:r>
        <w:rPr>
          <w:rFonts w:ascii="楷体_GB2312" w:cs="楷体_GB2312" w:eastAsia="楷体_GB2312"/>
          <w:color w:themeColor="text1" w:val="000000"/>
          <w:sz w:val="20"/>
          <w:szCs w:val="20"/>
          <w:highlight w:val="none"/>
          <w14:textFill>
            <w14:solidFill>
              <w14:schemeClr w14:val="tx1"/>
            </w14:solidFill>
          </w14:textFill>
        </w:rPr>
        <w:t>通知投资者</w:t>
      </w:r>
      <w:r>
        <w:rPr>
          <w:rFonts w:ascii="楷体_GB2312" w:cs="楷体_GB2312" w:eastAsia="楷体_GB2312" w:hint="eastAsia"/>
          <w:color w:themeColor="text1" w:val="000000"/>
          <w:sz w:val="20"/>
          <w:szCs w:val="20"/>
          <w:highlight w:val="none"/>
          <w14:textFill>
            <w14:solidFill>
              <w14:schemeClr w14:val="tx1"/>
            </w14:solidFill>
          </w14:textFill>
        </w:rPr>
        <w:t>。如信银理财通知产品不成立，将于通知产品不成立之日起【2】个工作日内返还投资者本金（</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扣款日至本金返还日期间是否计付利息以及利息计付规则以销售机构为准</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通过代销机构渠道购买</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产品的，</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本金</w:t>
      </w:r>
      <w:r>
        <w:rPr>
          <w:rFonts w:ascii="楷体_GB2312" w:cs="楷体_GB2312" w:eastAsia="楷体_GB2312" w:hint="eastAsia"/>
          <w:color w:themeColor="text1" w:val="000000"/>
          <w:sz w:val="20"/>
          <w:szCs w:val="20"/>
          <w:highlight w:val="none"/>
          <w14:textFill>
            <w14:solidFill>
              <w14:schemeClr w14:val="tx1"/>
            </w14:solidFill>
          </w14:textFill>
        </w:rPr>
        <w:t>划转至</w:t>
      </w:r>
      <w:r>
        <w:rPr>
          <w:rFonts w:ascii="楷体_GB2312" w:cs="楷体_GB2312" w:eastAsia="楷体_GB2312"/>
          <w:color w:themeColor="text1" w:val="000000"/>
          <w:sz w:val="20"/>
          <w:szCs w:val="20"/>
          <w:highlight w:val="none"/>
          <w14:textFill>
            <w14:solidFill>
              <w14:schemeClr w14:val="tx1"/>
            </w14:solidFill>
          </w14:textFill>
        </w:rPr>
        <w:t>投资者账户的时间以代销机构</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清算</w:t>
      </w:r>
      <w:r>
        <w:rPr>
          <w:rFonts w:ascii="楷体_GB2312" w:cs="楷体_GB2312" w:eastAsia="楷体_GB2312"/>
          <w:color w:themeColor="text1" w:val="000000"/>
          <w:sz w:val="20"/>
          <w:szCs w:val="20"/>
          <w:highlight w:val="none"/>
          <w14:textFill>
            <w14:solidFill>
              <w14:schemeClr w14:val="tx1"/>
            </w14:solidFill>
          </w14:textFill>
        </w:rPr>
        <w:t>时间为准。</w:t>
      </w:r>
    </w:p>
    <w:p w14:paraId="24DC171A">
      <w:pPr>
        <w:snapToGrid w:val="0"/>
        <w:ind w:left="-2" w:leftChars="-1" w:right="53" w:rightChars="22"/>
        <w:rPr>
          <w:color w:themeColor="text1" w:val="00000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7582A71E">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十一、产品的提前终止</w:t>
      </w:r>
    </w:p>
    <w:p w14:paraId="40D6725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color w:val="000000"/>
          <w:sz w:val="20"/>
          <w:szCs w:val="20"/>
          <w:highlight w:val="none"/>
        </w:rPr>
        <w:t>1．</w:t>
      </w:r>
      <w:r>
        <w:rPr>
          <w:rFonts w:ascii="楷体_GB2312" w:cs="楷体_GB2312" w:eastAsia="楷体_GB2312" w:hint="eastAsia"/>
          <w:color w:val="000000"/>
          <w:sz w:val="20"/>
          <w:szCs w:val="20"/>
          <w:highlight w:val="none"/>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（1）遇不可</w:t>
      </w:r>
      <w:r>
        <w:rPr>
          <w:rFonts w:ascii="楷体_GB2312" w:cs="楷体_GB2312" w:eastAsia="楷体_GB2312"/>
          <w:color w:val="000000"/>
          <w:sz w:val="20"/>
          <w:szCs w:val="20"/>
          <w:highlight w:val="none"/>
        </w:rPr>
        <w:t>抗力事件</w:t>
      </w:r>
      <w:r>
        <w:rPr>
          <w:rFonts w:ascii="楷体_GB2312" w:cs="楷体_GB2312" w:eastAsia="楷体_GB2312" w:hint="eastAsia"/>
          <w:color w:val="000000"/>
          <w:sz w:val="20"/>
          <w:szCs w:val="20"/>
          <w:highlight w:val="none"/>
        </w:rPr>
        <w:t>、</w:t>
      </w:r>
      <w:r>
        <w:rPr>
          <w:rFonts w:ascii="楷体_GB2312" w:cs="楷体_GB2312" w:eastAsia="楷体_GB2312"/>
          <w:color w:val="000000"/>
          <w:sz w:val="20"/>
          <w:szCs w:val="20"/>
          <w:highlight w:val="none"/>
        </w:rPr>
        <w:t>法律法规</w:t>
      </w:r>
      <w:r>
        <w:rPr>
          <w:rFonts w:ascii="楷体_GB2312" w:cs="楷体_GB2312" w:eastAsia="楷体_GB2312" w:hint="eastAsia"/>
          <w:color w:val="000000"/>
          <w:sz w:val="20"/>
          <w:szCs w:val="20"/>
          <w:highlight w:val="none"/>
        </w:rPr>
        <w:t>规定、</w:t>
      </w:r>
      <w:r>
        <w:rPr>
          <w:rFonts w:ascii="楷体_GB2312" w:cs="楷体_GB2312" w:eastAsia="楷体_GB2312"/>
          <w:color w:val="000000"/>
          <w:sz w:val="20"/>
          <w:szCs w:val="20"/>
          <w:highlight w:val="none"/>
        </w:rPr>
        <w:t>国家有权机关强制要求等原因导致理财产品无法继续存续</w:t>
      </w:r>
      <w:r>
        <w:rPr>
          <w:rFonts w:ascii="楷体_GB2312" w:cs="楷体_GB2312" w:eastAsia="楷体_GB2312" w:hint="eastAsia"/>
          <w:color w:val="000000"/>
          <w:sz w:val="20"/>
          <w:szCs w:val="20"/>
          <w:highlight w:val="none"/>
        </w:rPr>
        <w:t>的；</w:t>
      </w:r>
    </w:p>
    <w:p w14:paraId="7011ECB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（2）遇国家金融政策出现重大调整，或本产品所投资资产市场价格大幅下滑，或信银理财认为将</w:t>
      </w:r>
      <w:r>
        <w:rPr>
          <w:rFonts w:ascii="楷体_GB2312" w:cs="楷体_GB2312" w:eastAsia="楷体_GB2312"/>
          <w:color w:val="000000"/>
          <w:sz w:val="20"/>
          <w:szCs w:val="20"/>
          <w:highlight w:val="none"/>
        </w:rPr>
        <w:t>影响理财产品正常运作</w:t>
      </w:r>
      <w:r>
        <w:rPr>
          <w:rFonts w:ascii="楷体_GB2312" w:cs="楷体_GB2312" w:eastAsia="楷体_GB2312" w:hint="eastAsia"/>
          <w:color w:val="000000"/>
          <w:sz w:val="20"/>
          <w:szCs w:val="20"/>
          <w:highlight w:val="none"/>
        </w:rPr>
        <w:t>、需要提前终止本产品的其他情形的；</w:t>
      </w:r>
    </w:p>
    <w:p w14:paraId="325B06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（3）本产品所投资资产的信用状况发生恶化，信银理财合理判断可能影响到期正常兑付时；</w:t>
      </w:r>
    </w:p>
    <w:p w14:paraId="2517BBD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（7）提前终止产品比维持产品运作更有利于保护产品持有人的权益；</w:t>
      </w:r>
    </w:p>
    <w:p w14:paraId="5FD66643">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（8）法律法规规定或监管部门认定的其他情形。</w:t>
      </w:r>
    </w:p>
    <w:p w14:paraId="23DB911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w:t>
      </w:r>
      <w:r>
        <w:rPr>
          <w:rFonts w:ascii="楷体_GB2312" w:cs="楷体_GB2312" w:eastAsia="楷体_GB2312"/>
          <w:color w:val="000000"/>
          <w:sz w:val="20"/>
          <w:szCs w:val="20"/>
          <w:highlight w:val="none"/>
        </w:rPr>
        <w:t>．</w:t>
      </w:r>
      <w:r>
        <w:rPr>
          <w:rFonts w:ascii="楷体_GB2312" w:cs="楷体_GB2312" w:eastAsia="楷体_GB2312" w:hint="eastAsia"/>
          <w:color w:val="000000"/>
          <w:sz w:val="20"/>
          <w:szCs w:val="20"/>
          <w:highlight w:val="none"/>
        </w:rPr>
        <w:t>如果信银理财提前终止本理财产品，信银理财将于提前终止日前【2】个工作日通知投资者，并在提前终止日后【5】个工作日内支付投资者应得</w:t>
      </w:r>
      <w:r>
        <w:rPr>
          <w:rFonts w:ascii="楷体_GB2312" w:cs="楷体_GB2312" w:eastAsia="楷体_GB2312"/>
          <w:color w:val="000000"/>
          <w:sz w:val="20"/>
          <w:szCs w:val="20"/>
          <w:highlight w:val="none"/>
        </w:rPr>
        <w:t>资金</w:t>
      </w:r>
      <w:r>
        <w:rPr>
          <w:rFonts w:ascii="楷体_GB2312" w:cs="楷体_GB2312" w:eastAsia="楷体_GB2312" w:hint="eastAsia"/>
          <w:color w:val="000000"/>
          <w:sz w:val="20"/>
          <w:szCs w:val="20"/>
          <w:highlight w:val="none"/>
        </w:rPr>
        <w:t>。投资者通过</w:t>
      </w:r>
      <w:r>
        <w:rPr>
          <w:rFonts w:ascii="楷体_GB2312" w:cs="楷体_GB2312" w:eastAsia="楷体_GB2312"/>
          <w:color w:val="000000"/>
          <w:sz w:val="20"/>
          <w:szCs w:val="20"/>
          <w:highlight w:val="none"/>
        </w:rPr>
        <w:t>代销机构购买本理财产品的</w:t>
      </w:r>
      <w:r>
        <w:rPr>
          <w:rFonts w:ascii="楷体_GB2312" w:cs="楷体_GB2312" w:eastAsia="楷体_GB2312" w:hint="eastAsia"/>
          <w:color w:val="000000"/>
          <w:sz w:val="20"/>
          <w:szCs w:val="20"/>
          <w:highlight w:val="none"/>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w:t>
      </w:r>
      <w:r>
        <w:rPr>
          <w:rFonts w:ascii="楷体_GB2312" w:cs="楷体_GB2312" w:eastAsia="楷体_GB2312"/>
          <w:color w:val="000000"/>
          <w:sz w:val="20"/>
          <w:szCs w:val="20"/>
          <w:highlight w:val="none"/>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cs="楷体_GB2312" w:eastAsia="楷体_GB2312"/>
          <w:color w:val="000000"/>
          <w:sz w:val="20"/>
          <w:szCs w:val="20"/>
          <w:highlight w:val="none"/>
        </w:rPr>
      </w:pPr>
    </w:p>
    <w:p w14:paraId="001E63B7">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十二、产品的延期清算</w:t>
      </w:r>
    </w:p>
    <w:p w14:paraId="6D0591B2">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cs="楷体_GB2312" w:eastAsia="楷体_GB2312" w:hAnsi="Times New Roman"/>
          <w:color w:themeColor="text1" w:val="000000"/>
          <w:sz w:val="20"/>
          <w:szCs w:val="20"/>
          <w:highlight w:val="none"/>
          <w14:textFill>
            <w14:solidFill>
              <w14:schemeClr w14:val="tx1"/>
            </w14:solidFill>
          </w14:textFill>
        </w:rPr>
      </w:pPr>
    </w:p>
    <w:p w14:paraId="0782545B">
      <w:pPr>
        <w:snapToGrid w:val="0"/>
        <w:ind w:left="-2" w:leftChars="-1" w:right="53" w:rightChars="22"/>
        <w:outlineLvl w:val="0"/>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十三、产品管理人与投资者权利义务</w:t>
      </w:r>
    </w:p>
    <w:p w14:paraId="45CF0B5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产品管理人声明与保证</w:t>
      </w:r>
    </w:p>
    <w:p w14:paraId="3351CF72">
      <w:pPr>
        <w:snapToGrid w:val="0"/>
        <w:ind w:firstLine="428" w:firstLineChars="213" w:right="53" w:rightChars="22"/>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产品管理人具有开办理财业务的经营资质，保证以诚实守信、勤勉尽职的原则管理和运用理财资金；</w:t>
      </w:r>
    </w:p>
    <w:p w14:paraId="19A18BD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产品管理人具有完全适当的资格和能力订立与履行本理财产品合同。</w:t>
      </w:r>
    </w:p>
    <w:p w14:paraId="7085C45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投资者声明与保证</w:t>
      </w:r>
    </w:p>
    <w:p w14:paraId="7A2827A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投资者具有完全民事行为能力，有完全适当的资格与能力订立并履行本理财产品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，不存在法律、行政法规有关规定禁止或限制投资理财产品的情形（适用于个人投资者）。</w:t>
      </w:r>
    </w:p>
    <w:p w14:paraId="777AF03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所需的一切有关批准、许可、备案或者登记。（适用于机构投资者）；</w:t>
      </w:r>
    </w:p>
    <w:p w14:paraId="1A9A2C09">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投资者声明熟悉理财产品类型特征及不同销售渠道的法律法规规定；</w:t>
      </w:r>
    </w:p>
    <w:p w14:paraId="2793902D">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w:t>
      </w:r>
      <w:r>
        <w:rPr>
          <w:rFonts w:ascii="Times New Roman" w:cs="楷体_GB2312" w:eastAsia="楷体_GB2312" w:hAnsi="Times New Roman"/>
          <w:b/>
          <w:color w:themeColor="text1" w:val="000000"/>
          <w:sz w:val="20"/>
          <w:szCs w:val="20"/>
          <w:highlight w:val="none"/>
          <w14:textFill>
            <w14:solidFill>
              <w14:schemeClr w14:val="tx1"/>
            </w14:solidFill>
          </w14:textFill>
        </w:rPr>
        <w:t>投资者承诺：如委托他人购买本产品，代理人须出具具有法律效力的授权委托书；</w:t>
      </w:r>
    </w:p>
    <w:p w14:paraId="675D344A">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投资者保证理财投资资金来源和用途合法，保证可向产品管理人和代销机构提供合法筹集的证明文件；</w:t>
      </w:r>
    </w:p>
    <w:p w14:paraId="21D1EF66">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投资者不利用本理财业务及本理财产品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项下理财产品从事违法活动；</w:t>
      </w:r>
    </w:p>
    <w:p w14:paraId="42C0B570">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（7）</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4D01FFBA">
      <w:pPr>
        <w:snapToGrid w:val="0"/>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（8）</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投资者不属于联合国制裁名单，及中国政府部门或有权机关发布的涉恐及反洗钱相关风险名单内的企业或个人；不位于被联合</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国</w:t>
      </w:r>
      <w:r>
        <w:rPr>
          <w:rFonts w:ascii="Times New Roman" w:cs="楷体_GB2312" w:eastAsia="楷体_GB2312" w:hAnsi="Times New Roman"/>
          <w:b/>
          <w:color w:themeColor="text1" w:val="000000"/>
          <w:sz w:val="20"/>
          <w:szCs w:val="20"/>
          <w:highlight w:val="none"/>
          <w14:textFill>
            <w14:solidFill>
              <w14:schemeClr w14:val="tx1"/>
            </w14:solidFill>
          </w14:textFill>
        </w:rPr>
        <w:t>或</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中</w:t>
      </w:r>
      <w:r>
        <w:rPr>
          <w:rFonts w:ascii="Times New Roman" w:cs="楷体_GB2312" w:eastAsia="楷体_GB2312" w:hAnsi="Times New Roman"/>
          <w:b/>
          <w:color w:themeColor="text1" w:val="000000"/>
          <w:sz w:val="20"/>
          <w:szCs w:val="20"/>
          <w:highlight w:val="none"/>
          <w14:textFill>
            <w14:solidFill>
              <w14:schemeClr w14:val="tx1"/>
            </w14:solidFill>
          </w14:textFill>
        </w:rPr>
        <w:t>国制裁的国家和地区；</w:t>
      </w:r>
    </w:p>
    <w:p w14:paraId="7F6A09A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（9）</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双方同意</w:t>
      </w:r>
    </w:p>
    <w:p w14:paraId="1CFE977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未经产品管理人同意，投资者不得向任何第三人转让、赠与本理财产品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或本理财产品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项下的任何权利、利益、权益（包括单独和整体）；</w:t>
      </w:r>
    </w:p>
    <w:p w14:paraId="1D3314DF">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hanging="402" w:hangingChars="200" w:left="402" w:right="29" w:rightChars="12"/>
        <w:rPr>
          <w:rFonts w:ascii="Times New Roman" w:hAnsi="Times New Roman"/>
          <w:b/>
          <w:bCs/>
          <w:color w:themeColor="text1" w:val="000000"/>
          <w:sz w:val="20"/>
          <w:szCs w:val="2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2ACD857F">
      <w:pPr>
        <w:spacing w:line="300" w:lineRule="exact"/>
        <w:ind w:hanging="402" w:hangingChars="200" w:left="402" w:right="29" w:rightChars="12"/>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十四、保密</w:t>
      </w:r>
      <w:r>
        <w:rPr>
          <w:rFonts w:ascii="黑体" w:cs="黑体" w:eastAsia="黑体"/>
          <w:b/>
          <w:color w:themeColor="text1" w:val="000000"/>
          <w:sz w:val="20"/>
          <w:szCs w:val="20"/>
          <w:highlight w:val="none"/>
          <w14:textFill>
            <w14:solidFill>
              <w14:schemeClr w14:val="tx1"/>
            </w14:solidFill>
          </w14:textFill>
        </w:rPr>
        <w:t>条款</w:t>
      </w:r>
    </w:p>
    <w:p w14:paraId="0263DDBD">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3．根据监管机构要求，管理人（特指除本理财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的管理人信银理财之外的其他管理人，包括但不限于本理财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firstLine="282" w:firstLineChars="141" w:left="2" w:right="29" w:rightChars="12"/>
        <w:rPr>
          <w:rFonts w:ascii="Times New Roman" w:cs="楷体_GB2312" w:eastAsia="楷体_GB2312" w:hAnsi="Times New Roman"/>
          <w:color w:themeColor="text1" w:val="000000"/>
          <w:sz w:val="20"/>
          <w:szCs w:val="20"/>
          <w:highlight w:val="none"/>
          <w14:textFill>
            <w14:solidFill>
              <w14:schemeClr w14:val="tx1"/>
            </w14:solidFill>
          </w14:textFill>
        </w:rPr>
      </w:pPr>
    </w:p>
    <w:p w14:paraId="1F461DD7">
      <w:pPr>
        <w:spacing w:line="300" w:lineRule="exact"/>
        <w:ind w:hanging="402" w:hangingChars="200" w:left="402" w:right="29" w:rightChars="12"/>
        <w:rPr>
          <w:rFonts w:ascii="楷体_GB2312" w:eastAsia="楷体_GB2312"/>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十五、特别提示</w:t>
      </w:r>
    </w:p>
    <w:p w14:paraId="0293E191">
      <w:pPr>
        <w:spacing w:line="300" w:lineRule="exact"/>
        <w:ind w:firstLine="402" w:firstLineChars="200"/>
        <w:jc w:val="both"/>
        <w:rPr>
          <w:b/>
          <w:color w:themeColor="text1" w:val="00000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1．本产品面临的风险包括信用风险、市场风险、流动性风险、提前终止风险、政策风险、信息传递风险、管理风险、延期清算风险、</w:t>
      </w:r>
      <w:r>
        <w:rPr>
          <w:rFonts w:ascii="楷体_GB2312" w:cs="楷体_GB2312" w:eastAsia="楷体_GB2312" w:hint="eastAsia"/>
          <w:b/>
          <w:color w:themeColor="text1" w:val="000000"/>
          <w:sz w:val="20"/>
          <w:szCs w:val="20"/>
          <w:highlight w:val="none"/>
          <w14:textFill>
            <w14:solidFill>
              <w14:schemeClr w14:val="tx1"/>
            </w14:solidFill>
          </w14:textFill>
        </w:rPr>
        <w:t>理财</w:t>
      </w:r>
      <w:r>
        <w:rPr>
          <w:rFonts w:ascii="楷体_GB2312" w:cs="楷体_GB2312" w:eastAsia="楷体_GB2312"/>
          <w:b/>
          <w:color w:themeColor="text1" w:val="000000"/>
          <w:sz w:val="20"/>
          <w:szCs w:val="20"/>
          <w:highlight w:val="none"/>
          <w14:textFill>
            <w14:solidFill>
              <w14:schemeClr w14:val="tx1"/>
            </w14:solidFill>
          </w14:textFill>
        </w:rPr>
        <w:t>产品不成立风险、不可抗力及意外事件风险、</w:t>
      </w:r>
      <w:r>
        <w:rPr>
          <w:rFonts w:ascii="楷体_GB2312" w:cs="楷体_GB2312" w:eastAsia="楷体_GB2312" w:hint="eastAsia"/>
          <w:b/>
          <w:color w:themeColor="text1" w:val="000000"/>
          <w:sz w:val="20"/>
          <w:szCs w:val="20"/>
          <w:highlight w:val="none"/>
          <w14:textFill>
            <w14:solidFill>
              <w14:schemeClr w14:val="tx1"/>
            </w14:solidFill>
          </w14:textFill>
        </w:rPr>
        <w:t>理财本金全部损失风险</w:t>
      </w:r>
      <w:r>
        <w:rPr>
          <w:rFonts w:ascii="楷体_GB2312" w:cs="楷体_GB2312" w:eastAsia="楷体_GB2312"/>
          <w:b/>
          <w:color w:themeColor="text1" w:val="000000"/>
          <w:sz w:val="20"/>
          <w:szCs w:val="20"/>
          <w:highlight w:val="none"/>
          <w14:textFill>
            <w14:solidFill>
              <w14:schemeClr w14:val="tx1"/>
            </w14:solidFill>
          </w14:textFill>
        </w:rPr>
        <w:t>、合作销售机构</w:t>
      </w:r>
      <w:r>
        <w:rPr>
          <w:rFonts w:ascii="楷体_GB2312" w:cs="楷体_GB2312" w:eastAsia="楷体_GB2312" w:hint="eastAsia"/>
          <w:b/>
          <w:color w:themeColor="text1" w:val="000000"/>
          <w:sz w:val="20"/>
          <w:szCs w:val="20"/>
          <w:highlight w:val="none"/>
          <w14:textFill>
            <w14:solidFill>
              <w14:schemeClr w14:val="tx1"/>
            </w14:solidFill>
          </w14:textFill>
        </w:rPr>
        <w:t>（代销机构）</w:t>
      </w:r>
      <w:r>
        <w:rPr>
          <w:rFonts w:ascii="楷体_GB2312" w:cs="楷体_GB2312" w:eastAsia="楷体_GB2312"/>
          <w:b/>
          <w:color w:themeColor="text1" w:val="000000"/>
          <w:sz w:val="20"/>
          <w:szCs w:val="20"/>
          <w:highlight w:val="none"/>
          <w14:textFill>
            <w14:solidFill>
              <w14:schemeClr w14:val="tx1"/>
            </w14:solidFill>
          </w14:textFill>
        </w:rPr>
        <w:t>风险、操作风险</w:t>
      </w:r>
      <w:r>
        <w:rPr>
          <w:rFonts w:ascii="楷体_GB2312" w:cs="楷体_GB2312" w:eastAsia="楷体_GB2312" w:hint="eastAsia"/>
          <w:b/>
          <w:color w:themeColor="text1" w:val="000000"/>
          <w:sz w:val="20"/>
          <w:szCs w:val="20"/>
          <w:highlight w:val="none"/>
          <w14:textFill>
            <w14:solidFill>
              <w14:schemeClr w14:val="tx1"/>
            </w14:solidFill>
          </w14:textFill>
        </w:rPr>
        <w:t>、关联交易风险</w:t>
      </w:r>
      <w:r>
        <w:rPr>
          <w:rFonts w:ascii="楷体_GB2312" w:cs="楷体_GB2312" w:eastAsia="楷体_GB2312"/>
          <w:b/>
          <w:color w:themeColor="text1" w:val="000000"/>
          <w:sz w:val="20"/>
          <w:szCs w:val="20"/>
          <w:highlight w:val="none"/>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2BC355BF">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ascii="楷体_GB2312" w:eastAsia="楷体_GB2312" w:hint="eastAsia"/>
          <w:b/>
          <w:color w:themeColor="text1" w:val="000000"/>
          <w:sz w:val="20"/>
          <w:szCs w:val="20"/>
          <w:highlight w:val="none"/>
          <w14:textFill>
            <w14:solidFill>
              <w14:schemeClr w14:val="tx1"/>
            </w14:solidFill>
          </w14:textFill>
        </w:rPr>
        <w:t>或</w:t>
      </w:r>
      <w:r>
        <w:rPr>
          <w:rFonts w:ascii="楷体_GB2312" w:eastAsia="楷体_GB2312"/>
          <w:b/>
          <w:color w:themeColor="text1" w:val="000000"/>
          <w:sz w:val="20"/>
          <w:szCs w:val="20"/>
          <w:highlight w:val="none"/>
          <w14:textFill>
            <w14:solidFill>
              <w14:schemeClr w14:val="tx1"/>
            </w14:solidFill>
          </w14:textFill>
        </w:rPr>
        <w:t>登录信银理财网站【http://www.citic-wealth.com/】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9675254">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我司投诉处理机构或部门调查核实投诉事项，在收到投诉之日起15日内作出处理决定并告知投诉人，情况复杂的可延长至30日，最长处理期限不超过60日。我司投诉处理机构或部门告知投诉人处理决定的同时，会说明对消费投诉内容的核实情况、作出决定的有关依据和理由，以及投诉人可以采取的申请核查、调解、仲裁、诉讼等纠纷解决途径。</w:t>
      </w:r>
    </w:p>
    <w:p w14:paraId="450D0CF7">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6．信银理财有权依法对本产品说明书进行解释。</w:t>
      </w:r>
    </w:p>
    <w:p w14:paraId="7CD903EC">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F9F4230">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十六、违约责任</w:t>
      </w:r>
    </w:p>
    <w:p w14:paraId="0FE10543">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双方因违反本产品说明书约定而给对方造成损失的，违约方应赔偿因此给对方造成的直接损失。</w:t>
      </w:r>
    </w:p>
    <w:p w14:paraId="515352ED">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7319308">
      <w:pPr>
        <w:spacing w:line="300" w:lineRule="exact"/>
        <w:ind w:hanging="402" w:hangingChars="200" w:left="402" w:right="29" w:rightChars="12"/>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5E4B27E8">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十八、本说明书的生效与终止</w:t>
      </w:r>
    </w:p>
    <w:p w14:paraId="5F5DFE30">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投资者在信银</w:t>
      </w:r>
      <w:r>
        <w:rPr>
          <w:rFonts w:ascii="楷体_GB2312" w:eastAsia="楷体_GB2312"/>
          <w:color w:themeColor="text1" w:val="000000"/>
          <w:sz w:val="20"/>
          <w:szCs w:val="20"/>
          <w:highlight w:val="none"/>
          <w14:textFill>
            <w14:solidFill>
              <w14:schemeClr w14:val="tx1"/>
            </w14:solidFill>
          </w14:textFill>
        </w:rPr>
        <w:t>理财</w:t>
      </w:r>
      <w:r>
        <w:rPr>
          <w:rFonts w:ascii="楷体_GB2312" w:eastAsia="楷体_GB2312" w:hint="eastAsia"/>
          <w:color w:themeColor="text1" w:val="000000"/>
          <w:sz w:val="20"/>
          <w:szCs w:val="20"/>
          <w:highlight w:val="none"/>
          <w14:textFill>
            <w14:solidFill>
              <w14:schemeClr w14:val="tx1"/>
            </w14:solidFill>
          </w14:textFill>
        </w:rPr>
        <w:t>营业</w:t>
      </w:r>
      <w:r>
        <w:rPr>
          <w:rFonts w:ascii="楷体_GB2312" w:eastAsia="楷体_GB2312"/>
          <w:color w:themeColor="text1" w:val="000000"/>
          <w:sz w:val="20"/>
          <w:szCs w:val="20"/>
          <w:highlight w:val="none"/>
          <w14:textFill>
            <w14:solidFill>
              <w14:schemeClr w14:val="tx1"/>
            </w14:solidFill>
          </w14:textFill>
        </w:rPr>
        <w:t>场所购买理财产品的，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签字/盖章后生效。</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通过</w:t>
      </w:r>
      <w:r>
        <w:rPr>
          <w:rFonts w:ascii="楷体_GB2312" w:eastAsia="楷体_GB2312" w:hint="eastAsia"/>
          <w:color w:themeColor="text1" w:val="000000"/>
          <w:sz w:val="20"/>
          <w:szCs w:val="20"/>
          <w:highlight w:val="none"/>
          <w14:textFill>
            <w14:solidFill>
              <w14:schemeClr w14:val="tx1"/>
            </w14:solidFill>
          </w14:textFill>
        </w:rPr>
        <w:t>信银理财</w:t>
      </w:r>
      <w:r>
        <w:rPr>
          <w:rFonts w:ascii="楷体_GB2312" w:eastAsia="楷体_GB2312"/>
          <w:color w:themeColor="text1" w:val="000000"/>
          <w:sz w:val="20"/>
          <w:szCs w:val="20"/>
          <w:highlight w:val="none"/>
          <w14:textFill>
            <w14:solidFill>
              <w14:schemeClr w14:val="tx1"/>
            </w14:solidFill>
          </w14:textFill>
        </w:rPr>
        <w:t>电子渠道购买理财产品的，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其</w:t>
      </w:r>
      <w:r>
        <w:rPr>
          <w:rFonts w:ascii="楷体_GB2312" w:eastAsia="楷体_GB2312"/>
          <w:color w:themeColor="text1" w:val="000000"/>
          <w:sz w:val="20"/>
          <w:szCs w:val="20"/>
          <w:highlight w:val="none"/>
          <w14:textFill>
            <w14:solidFill>
              <w14:schemeClr w14:val="tx1"/>
            </w14:solidFill>
          </w14:textFill>
        </w:rPr>
        <w:t>在线</w:t>
      </w:r>
      <w:r>
        <w:rPr>
          <w:rFonts w:ascii="楷体_GB2312" w:eastAsia="楷体_GB2312" w:hint="eastAsia"/>
          <w:color w:themeColor="text1" w:val="000000"/>
          <w:sz w:val="20"/>
          <w:szCs w:val="20"/>
          <w:highlight w:val="none"/>
          <w14:textFill>
            <w14:solidFill>
              <w14:schemeClr w14:val="tx1"/>
            </w14:solidFill>
          </w14:textFill>
        </w:rPr>
        <w:t>勾选</w:t>
      </w:r>
      <w:r>
        <w:rPr>
          <w:rFonts w:ascii="楷体_GB2312" w:eastAsia="楷体_GB2312"/>
          <w:color w:themeColor="text1" w:val="000000"/>
          <w:sz w:val="20"/>
          <w:szCs w:val="20"/>
          <w:highlight w:val="none"/>
          <w14:textFill>
            <w14:solidFill>
              <w14:schemeClr w14:val="tx1"/>
            </w14:solidFill>
          </w14:textFill>
        </w:rPr>
        <w:t>确认后生效。</w:t>
      </w:r>
    </w:p>
    <w:p w14:paraId="5377648D">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如</w:t>
      </w:r>
      <w:r>
        <w:rPr>
          <w:rFonts w:ascii="楷体_GB2312" w:eastAsia="楷体_GB2312"/>
          <w:color w:themeColor="text1" w:val="000000"/>
          <w:sz w:val="20"/>
          <w:szCs w:val="20"/>
          <w:highlight w:val="none"/>
          <w14:textFill>
            <w14:solidFill>
              <w14:schemeClr w14:val="tx1"/>
            </w14:solidFill>
          </w14:textFill>
        </w:rPr>
        <w:t>投资者通过</w:t>
      </w:r>
      <w:r>
        <w:rPr>
          <w:rFonts w:ascii="楷体_GB2312" w:eastAsia="楷体_GB2312" w:hint="eastAsia"/>
          <w:color w:themeColor="text1" w:val="000000"/>
          <w:sz w:val="20"/>
          <w:szCs w:val="20"/>
          <w:highlight w:val="none"/>
          <w14:textFill>
            <w14:solidFill>
              <w14:schemeClr w14:val="tx1"/>
            </w14:solidFill>
          </w14:textFill>
        </w:rPr>
        <w:t>信银</w:t>
      </w:r>
      <w:r>
        <w:rPr>
          <w:rFonts w:ascii="楷体_GB2312" w:eastAsia="楷体_GB2312"/>
          <w:color w:themeColor="text1" w:val="000000"/>
          <w:sz w:val="20"/>
          <w:szCs w:val="20"/>
          <w:highlight w:val="none"/>
          <w14:textFill>
            <w14:solidFill>
              <w14:schemeClr w14:val="tx1"/>
            </w14:solidFill>
          </w14:textFill>
        </w:rPr>
        <w:t>理财合作销售机构</w:t>
      </w:r>
      <w:r>
        <w:rPr>
          <w:rFonts w:ascii="楷体_GB2312" w:eastAsia="楷体_GB2312" w:hint="eastAsia"/>
          <w:color w:themeColor="text1" w:val="000000"/>
          <w:sz w:val="20"/>
          <w:szCs w:val="20"/>
          <w:highlight w:val="none"/>
          <w14:textFill>
            <w14:solidFill>
              <w14:schemeClr w14:val="tx1"/>
            </w14:solidFill>
          </w14:textFill>
        </w:rPr>
        <w:t>（代销机构）</w:t>
      </w:r>
      <w:r>
        <w:rPr>
          <w:rFonts w:ascii="楷体_GB2312" w:eastAsia="楷体_GB2312"/>
          <w:color w:themeColor="text1" w:val="000000"/>
          <w:sz w:val="20"/>
          <w:szCs w:val="20"/>
          <w:highlight w:val="none"/>
          <w14:textFill>
            <w14:solidFill>
              <w14:schemeClr w14:val="tx1"/>
            </w14:solidFill>
          </w14:textFill>
        </w:rPr>
        <w:t>购买理财产品的，</w:t>
      </w:r>
      <w:r>
        <w:rPr>
          <w:rFonts w:ascii="楷体_GB2312" w:eastAsia="楷体_GB2312" w:hint="eastAsia"/>
          <w:color w:themeColor="text1" w:val="000000"/>
          <w:sz w:val="20"/>
          <w:szCs w:val="20"/>
          <w:highlight w:val="none"/>
          <w14:textFill>
            <w14:solidFill>
              <w14:schemeClr w14:val="tx1"/>
            </w14:solidFill>
          </w14:textFill>
        </w:rPr>
        <w:t>说明书</w:t>
      </w:r>
      <w:r>
        <w:rPr>
          <w:rFonts w:ascii="楷体_GB2312" w:eastAsia="楷体_GB2312"/>
          <w:color w:themeColor="text1" w:val="000000"/>
          <w:sz w:val="20"/>
          <w:szCs w:val="20"/>
          <w:highlight w:val="none"/>
          <w14:textFill>
            <w14:solidFill>
              <w14:schemeClr w14:val="tx1"/>
            </w14:solidFill>
          </w14:textFill>
        </w:rPr>
        <w:t>签署及生效方式以</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与</w:t>
      </w:r>
      <w:r>
        <w:rPr>
          <w:rFonts w:ascii="楷体_GB2312" w:eastAsia="楷体_GB2312" w:hint="eastAsia"/>
          <w:color w:themeColor="text1" w:val="000000"/>
          <w:sz w:val="20"/>
          <w:szCs w:val="20"/>
          <w:highlight w:val="none"/>
          <w14:textFill>
            <w14:solidFill>
              <w14:schemeClr w14:val="tx1"/>
            </w14:solidFill>
          </w14:textFill>
        </w:rPr>
        <w:t>代销机构约定</w:t>
      </w:r>
      <w:r>
        <w:rPr>
          <w:rFonts w:ascii="楷体_GB2312" w:eastAsia="楷体_GB2312"/>
          <w:color w:themeColor="text1" w:val="000000"/>
          <w:sz w:val="20"/>
          <w:szCs w:val="20"/>
          <w:highlight w:val="none"/>
          <w14:textFill>
            <w14:solidFill>
              <w14:schemeClr w14:val="tx1"/>
            </w14:solidFill>
          </w14:textFill>
        </w:rPr>
        <w:t>为准。</w:t>
      </w:r>
    </w:p>
    <w:p w14:paraId="67BD9647">
      <w:pPr>
        <w:pStyle w:val="20"/>
        <w:spacing w:line="300" w:lineRule="exact"/>
        <w:ind w:firstLine="0" w:firstLineChars="0" w:left="786" w:right="36" w:rightChars="15"/>
        <w:rPr>
          <w:rFonts w:ascii="楷体_GB2312" w:eastAsia="楷体_GB2312"/>
          <w:color w:themeColor="text1" w:val="000000"/>
          <w:sz w:val="20"/>
          <w:szCs w:val="20"/>
          <w:highlight w:val="none"/>
          <w14:textFill>
            <w14:solidFill>
              <w14:schemeClr w14:val="tx1"/>
            </w14:solidFill>
          </w14:textFill>
        </w:rPr>
      </w:pPr>
    </w:p>
    <w:p w14:paraId="0C94B904">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十九、争议解决</w:t>
      </w:r>
    </w:p>
    <w:p w14:paraId="53FC01F4">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cs="楷体_GB2312" w:eastAsia="楷体_GB2312"/>
          <w:b/>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b/>
          <w:sz w:val="20"/>
          <w:szCs w:val="20"/>
          <w:highlight w:val="none"/>
        </w:rPr>
        <w:t>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eastAsia="楷体_GB2312" w:hint="eastAsia"/>
          <w:b/>
          <w:color w:themeColor="text1" w:val="000000"/>
          <w:sz w:val="20"/>
          <w:szCs w:val="20"/>
          <w:highlight w:val="none"/>
          <w:lang w:eastAsia="zh-CN" w:val="en-US"/>
          <w14:textFill>
            <w14:solidFill>
              <w14:schemeClr w14:val="tx1"/>
            </w14:solidFill>
          </w14:textFill>
        </w:rPr>
        <w:t>2</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7FFDA4E7">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3</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在协商或仲裁期间，对于理财产品合同不涉及争议部分的条款，双方仍须履行。</w:t>
      </w:r>
    </w:p>
    <w:p w14:paraId="7F9BE105">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7438E816">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（以下无正文）</w:t>
      </w:r>
    </w:p>
    <w:p w14:paraId="02C242E4">
      <w:pPr>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br w:type="page"/>
      </w:r>
    </w:p>
    <w:p w14:paraId="6A77407E">
      <w:pPr>
        <w:spacing w:after="100" w:afterAutospacing="1" w:before="100" w:beforeAutospacing="1"/>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u w:val="single"/>
          <w14:textFill>
            <w14:solidFill>
              <w14:schemeClr w14:val="tx1"/>
            </w14:solidFill>
          </w14:textFill>
        </w:rPr>
        <w:t>                                       </w:t>
      </w:r>
    </w:p>
    <w:p w14:paraId="59071E3C">
      <w:pPr>
        <w:rPr>
          <w:rFonts w:ascii="黑体" w:eastAsia="黑体"/>
          <w:b/>
          <w:bCs/>
          <w:color w:val="000000"/>
          <w:highlight w:val="none"/>
        </w:rPr>
      </w:pPr>
      <w:r>
        <w:rPr>
          <w:rFonts w:ascii="黑体" w:eastAsia="黑体" w:hint="eastAsia"/>
          <w:b/>
          <w:bCs/>
          <w:color w:val="000000"/>
          <w:highlight w:val="none"/>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highlight w:val="none"/>
        </w:rPr>
        <w:t>/盖章或在线</w:t>
      </w:r>
      <w:r>
        <w:rPr>
          <w:rFonts w:ascii="黑体" w:eastAsia="黑体" w:hint="eastAsia"/>
          <w:b/>
          <w:bCs/>
          <w:color w:val="000000"/>
          <w:highlight w:val="none"/>
        </w:rPr>
        <w:t>点击</w:t>
      </w:r>
      <w:r>
        <w:rPr>
          <w:rFonts w:ascii="黑体" w:eastAsia="黑体"/>
          <w:b/>
          <w:bCs/>
          <w:color w:val="000000"/>
          <w:highlight w:val="none"/>
        </w:rPr>
        <w:t>确认</w:t>
      </w:r>
      <w:r>
        <w:rPr>
          <w:rFonts w:ascii="黑体" w:eastAsia="黑体" w:hint="eastAsia"/>
          <w:b/>
          <w:bCs/>
          <w:color w:val="000000"/>
          <w:highlight w:val="none"/>
        </w:rPr>
        <w:t>即表示已知晓并同意本产品说明书的全部</w:t>
      </w:r>
      <w:r>
        <w:rPr>
          <w:rFonts w:ascii="黑体" w:eastAsia="黑体"/>
          <w:b/>
          <w:bCs/>
          <w:color w:val="000000"/>
          <w:highlight w:val="none"/>
        </w:rPr>
        <w:t>内容</w:t>
      </w:r>
      <w:r>
        <w:rPr>
          <w:rFonts w:ascii="黑体" w:eastAsia="黑体" w:hint="eastAsia"/>
          <w:b/>
          <w:bCs/>
          <w:color w:val="000000"/>
          <w:highlight w:val="none"/>
        </w:rPr>
        <w:t>，因此请您务必仔细阅读后再签署本产品说明书。】</w:t>
      </w:r>
    </w:p>
    <w:p w14:paraId="1CBB1673">
      <w:pPr>
        <w:spacing w:line="300" w:lineRule="exact"/>
        <w:ind w:left="-2" w:leftChars="-1" w:right="36" w:rightChars="15"/>
        <w:rPr>
          <w:rFonts w:ascii="黑体" w:eastAsia="黑体" w:hAnsi="Times New Roman"/>
          <w:color w:themeColor="text1" w:val="000000"/>
          <w:highlight w:val="none"/>
          <w14:textFill>
            <w14:solidFill>
              <w14:schemeClr w14:val="tx1"/>
            </w14:solidFill>
          </w14:textFill>
        </w:rPr>
      </w:pPr>
    </w:p>
    <w:p w14:paraId="36531B80">
      <w:pPr>
        <w:spacing w:line="300" w:lineRule="exact"/>
        <w:ind w:left="-2" w:leftChars="-1" w:right="36" w:rightChars="15"/>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个人客户（签字）：</w:t>
      </w:r>
      <w:r>
        <w:rPr>
          <w:rFonts w:ascii="黑体" w:eastAsia="黑体" w:hAnsi="Times New Roman"/>
          <w:color w:themeColor="text1" w:val="000000"/>
          <w:highlight w:val="none"/>
          <w14:textFill>
            <w14:solidFill>
              <w14:schemeClr w14:val="tx1"/>
            </w14:solidFill>
          </w14:textFill>
        </w:rPr>
        <w:t xml:space="preserve">            </w:t>
      </w:r>
    </w:p>
    <w:p w14:paraId="12D9C461">
      <w:pPr>
        <w:ind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color w:themeColor="text1" w:val="000000"/>
          <w:highlight w:val="none"/>
          <w14:textFill>
            <w14:solidFill>
              <w14:schemeClr w14:val="tx1"/>
            </w14:solidFill>
          </w14:textFill>
        </w:rPr>
        <w:t xml:space="preserve">                                  </w:t>
      </w:r>
    </w:p>
    <w:p w14:paraId="590A09A4">
      <w:pPr>
        <w:ind w:hanging="4440" w:hangingChars="1850" w:left="4440"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日期：年 月 日                      </w:t>
      </w:r>
      <w:r>
        <w:rPr>
          <w:rFonts w:ascii="黑体" w:cs="Arial" w:eastAsia="黑体" w:hAnsi="Times New Roman"/>
          <w:color w:themeColor="text1" w:val="000000"/>
          <w:highlight w:val="none"/>
          <w14:textFill>
            <w14:solidFill>
              <w14:schemeClr w14:val="tx1"/>
            </w14:solidFill>
          </w14:textFill>
        </w:rPr>
        <w:t xml:space="preserve"> </w:t>
      </w:r>
    </w:p>
    <w:p w14:paraId="77FB3896">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DF61205">
      <w:pPr>
        <w:ind w:right="-902" w:rightChars="-376"/>
        <w:rPr>
          <w:rFonts w:ascii="黑体" w:eastAsia="黑体" w:hAnsi="Times New Roman"/>
          <w:color w:themeColor="text1" w:val="000000"/>
          <w:highlight w:val="none"/>
          <w14:textFill>
            <w14:solidFill>
              <w14:schemeClr w14:val="tx1"/>
            </w14:solidFill>
          </w14:textFill>
        </w:rPr>
      </w:pPr>
    </w:p>
    <w:p w14:paraId="268B66FA">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机构客户（</w:t>
      </w:r>
      <w:r>
        <w:rPr>
          <w:rFonts w:ascii="黑体" w:eastAsia="黑体" w:hAnsi="Times New Roman" w:hint="eastAsia"/>
          <w:color w:themeColor="text1" w:val="000000"/>
          <w:highlight w:val="none"/>
          <w:lang w:eastAsia="zh-CN" w:val="en-US"/>
          <w14:textFill>
            <w14:solidFill>
              <w14:schemeClr w14:val="tx1"/>
            </w14:solidFill>
          </w14:textFill>
        </w:rPr>
        <w:t>盖章</w:t>
      </w:r>
      <w:r>
        <w:rPr>
          <w:rFonts w:ascii="黑体" w:eastAsia="黑体" w:hAnsi="Times New Roman" w:hint="eastAsia"/>
          <w:color w:themeColor="text1" w:val="000000"/>
          <w:highlight w:val="none"/>
          <w14:textFill>
            <w14:solidFill>
              <w14:schemeClr w14:val="tx1"/>
            </w14:solidFill>
          </w14:textFill>
        </w:rPr>
        <w:t>）：</w:t>
      </w:r>
      <w:r>
        <w:rPr>
          <w:rFonts w:ascii="黑体" w:eastAsia="黑体" w:hAnsi="Times New Roman"/>
          <w:color w:themeColor="text1" w:val="000000"/>
          <w:highlight w:val="none"/>
          <w14:textFill>
            <w14:solidFill>
              <w14:schemeClr w14:val="tx1"/>
            </w14:solidFill>
          </w14:textFill>
        </w:rPr>
        <w:t xml:space="preserve">                    </w:t>
      </w:r>
    </w:p>
    <w:p w14:paraId="7BC033DC">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0771BA6F">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法定代表人或负责人（签字或签章）：</w:t>
      </w:r>
    </w:p>
    <w:p w14:paraId="58BC0A8A">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CB3F808">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日期：年</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月</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日</w:t>
      </w:r>
    </w:p>
    <w:p w14:paraId="615BD310">
      <w:pPr>
        <w:snapToGrid w:val="0"/>
        <w:ind w:right="53" w:rightChars="22"/>
        <w:outlineLvl w:val="0"/>
        <w:rPr>
          <w:highlight w:val="none"/>
        </w:rPr>
      </w:pPr>
    </w:p>
    <w:p w14:paraId="453C017E">
      <w:pPr>
        <w:snapToGrid w:val="0"/>
        <w:ind w:right="53" w:rightChars="22"/>
        <w:outlineLvl w:val="0"/>
        <w:rPr>
          <w:highlight w:val="none"/>
        </w:rPr>
      </w:pPr>
    </w:p>
    <w:p w14:paraId="18F5FA32">
      <w:pPr>
        <w:snapToGrid w:val="0"/>
        <w:ind w:right="53" w:rightChars="22"/>
        <w:outlineLvl w:val="0"/>
        <w:rPr>
          <w:highlight w:val="none"/>
        </w:rPr>
      </w:pPr>
    </w:p>
    <w:sectPr>
      <w:headerReference r:id="rId6" w:type="default"/>
      <w:footerReference r:id="rId7"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425AB49C">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16E47E8C">
    <w:pPr>
      <w:pStyle w:val="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16</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AB410B8">
    <w:pPr>
      <w:pStyle w:val="5"/>
    </w:pPr>
    <w:r>
      <w:t xml:space="preserve">                     </w:t>
    </w:r>
    <w:r>
      <w:rPr>
        <w:rFonts w:hint="eastAsia"/>
      </w:rPr>
      <w:t xml:space="preserve">                                     </w:t>
    </w:r>
    <w:r>
      <w:t>理财非存款、产品有风险、投资须谨慎</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3093267B">
    <w:pPr>
      <w:pStyle w:val="5"/>
    </w:pPr>
    <w:r>
      <w:rPr>
        <w:rFonts w:hint="eastAsia"/>
      </w:rPr>
      <w:t>本产品风险评级为【PR2】</w:t>
    </w:r>
    <w:r>
      <w:t xml:space="preserve">                   理财非存款、产品有风险、投资须谨慎</w:t>
    </w: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C6896928"/>
    <w:multiLevelType w:val="singleLevel"/>
    <w:tmpl w:val="C6896928"/>
    <w:lvl w:ilvl="0" w:tentative="0">
      <w:start w:val="1"/>
      <w:numFmt w:val="decimal"/>
      <w:lvlText w:val="%1."/>
      <w:lvlJc w:val="left"/>
      <w:pPr>
        <w:ind w:hanging="425" w:left="425"/>
      </w:pPr>
      <w:rPr>
        <w:rFonts w:hint="default"/>
      </w:rPr>
    </w:lvl>
  </w:abstractNum>
  <w:abstractNum w:abstractNumId="1">
    <w:nsid w:val="1B8E6008"/>
    <w:multiLevelType w:val="multilevel"/>
    <w:tmpl w:val="1B8E6008"/>
    <w:lvl w:ilvl="0" w:tentative="0">
      <w:start w:val="2"/>
      <w:numFmt w:val="decimal"/>
      <w:lvlText w:val="%1."/>
      <w:lvlJc w:val="left"/>
      <w:pPr>
        <w:ind w:hanging="360" w:left="360"/>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2">
    <w:nsid w:val="2D33B429"/>
    <w:multiLevelType w:val="singleLevel"/>
    <w:tmpl w:val="2D33B429"/>
    <w:lvl w:ilvl="0" w:tentative="0">
      <w:start w:val="2"/>
      <w:numFmt w:val="decimal"/>
      <w:suff w:val="space"/>
      <w:lvlText w:val="%1."/>
      <w:lvlJc w:val="left"/>
    </w:lvl>
  </w:abstractNum>
  <w:abstractNum w:abstractNumId="3">
    <w:nsid w:val="320240BE"/>
    <w:multiLevelType w:val="multilevel"/>
    <w:tmpl w:val="320240BE"/>
    <w:lvl w:ilvl="0" w:tentative="0">
      <w:start w:val="1"/>
      <w:numFmt w:val="decimal"/>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4">
    <w:nsid w:val="377E1DBC"/>
    <w:multiLevelType w:val="multilevel"/>
    <w:tmpl w:val="377E1DBC"/>
    <w:lvl w:ilvl="0" w:tentative="0">
      <w:start w:val="1"/>
      <w:numFmt w:val="lowerLetter"/>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5">
    <w:nsid w:val="37877AB9"/>
    <w:multiLevelType w:val="multilevel"/>
    <w:tmpl w:val="37877AB9"/>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6">
    <w:nsid w:val="41837C58"/>
    <w:multiLevelType w:val="multilevel"/>
    <w:tmpl w:val="41837C58"/>
    <w:lvl w:ilvl="0" w:tentative="0">
      <w:start w:val="7"/>
      <w:numFmt w:val="japaneseCounting"/>
      <w:lvlText w:val="%1、"/>
      <w:lvlJc w:val="left"/>
      <w:pPr>
        <w:ind w:hanging="390" w:left="390"/>
      </w:pPr>
      <w:rPr>
        <w:rFonts w:hint="default"/>
      </w:rPr>
    </w:lvl>
    <w:lvl w:ilvl="1" w:tentative="0">
      <w:start w:val="2"/>
      <w:numFmt w:val="japaneseCounting"/>
      <w:lvlText w:val="（%2）"/>
      <w:lvlJc w:val="left"/>
      <w:pPr>
        <w:ind w:hanging="720" w:left="1140"/>
      </w:pPr>
      <w:rPr>
        <w:rFonts w:ascii="黑体" w:cs="黑体" w:eastAsia="黑体" w:hAnsi="Times New Roman" w:hint="default"/>
        <w:sz w:val="20"/>
      </w:r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7">
    <w:nsid w:val="62360528"/>
    <w:multiLevelType w:val="multilevel"/>
    <w:tmpl w:val="62360528"/>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8">
    <w:nsid w:val="70C8692D"/>
    <w:multiLevelType w:val="multilevel"/>
    <w:tmpl w:val="70C8692D"/>
    <w:lvl w:ilvl="0" w:tentative="0">
      <w:start w:val="1"/>
      <w:numFmt w:val="decimal"/>
      <w:lvlText w:val="%1."/>
      <w:lvlJc w:val="left"/>
      <w:pPr>
        <w:ind w:hanging="360" w:left="358"/>
      </w:pPr>
      <w:rPr>
        <w:rFonts w:ascii="楷体_GB2312" w:cs="楷体_GB2312" w:eastAsia="楷体_GB2312" w:hAnsi="宋体"/>
      </w:rPr>
    </w:lvl>
    <w:lvl w:ilvl="1" w:tentative="0">
      <w:start w:val="1"/>
      <w:numFmt w:val="lowerLetter"/>
      <w:lvlText w:val="%2."/>
      <w:lvlJc w:val="left"/>
      <w:pPr>
        <w:ind w:hanging="360" w:left="1078"/>
      </w:pPr>
    </w:lvl>
    <w:lvl w:ilvl="2" w:tentative="0">
      <w:start w:val="1"/>
      <w:numFmt w:val="lowerRoman"/>
      <w:lvlText w:val="%3."/>
      <w:lvlJc w:val="right"/>
      <w:pPr>
        <w:ind w:hanging="180" w:left="1798"/>
      </w:pPr>
    </w:lvl>
    <w:lvl w:ilvl="3" w:tentative="0">
      <w:start w:val="1"/>
      <w:numFmt w:val="decimal"/>
      <w:lvlText w:val="%4."/>
      <w:lvlJc w:val="left"/>
      <w:pPr>
        <w:ind w:hanging="360" w:left="2518"/>
      </w:pPr>
    </w:lvl>
    <w:lvl w:ilvl="4" w:tentative="0">
      <w:start w:val="1"/>
      <w:numFmt w:val="lowerLetter"/>
      <w:lvlText w:val="%5."/>
      <w:lvlJc w:val="left"/>
      <w:pPr>
        <w:ind w:hanging="360" w:left="3238"/>
      </w:pPr>
    </w:lvl>
    <w:lvl w:ilvl="5" w:tentative="0">
      <w:start w:val="1"/>
      <w:numFmt w:val="lowerRoman"/>
      <w:lvlText w:val="%6."/>
      <w:lvlJc w:val="right"/>
      <w:pPr>
        <w:ind w:hanging="180" w:left="3958"/>
      </w:pPr>
    </w:lvl>
    <w:lvl w:ilvl="6" w:tentative="0">
      <w:start w:val="1"/>
      <w:numFmt w:val="decimal"/>
      <w:lvlText w:val="%7."/>
      <w:lvlJc w:val="left"/>
      <w:pPr>
        <w:ind w:hanging="360" w:left="4678"/>
      </w:pPr>
    </w:lvl>
    <w:lvl w:ilvl="7" w:tentative="0">
      <w:start w:val="1"/>
      <w:numFmt w:val="lowerLetter"/>
      <w:lvlText w:val="%8."/>
      <w:lvlJc w:val="left"/>
      <w:pPr>
        <w:ind w:hanging="360" w:left="5398"/>
      </w:pPr>
    </w:lvl>
    <w:lvl w:ilvl="8" w:tentative="0">
      <w:start w:val="1"/>
      <w:numFmt w:val="lowerRoman"/>
      <w:lvlText w:val="%9."/>
      <w:lvlJc w:val="right"/>
      <w:pPr>
        <w:ind w:hanging="180" w:left="6118"/>
      </w:pPr>
    </w:lvl>
  </w:abstractNum>
  <w:num w:numId="1">
    <w:abstractNumId w:val="7"/>
  </w:num>
  <w:num w:numId="2">
    <w:abstractNumId w:val="4"/>
  </w:num>
  <w:num w:numId="3">
    <w:abstractNumId w:val="0"/>
  </w:num>
  <w:num w:numId="4">
    <w:abstractNumId w:val="3"/>
  </w:num>
  <w:num w:numId="5">
    <w:abstractNumId w:val="8"/>
  </w:num>
  <w:num w:numId="6">
    <w:abstractNumId w:val="1"/>
  </w:num>
  <w:num w:numId="7">
    <w:abstractNumId w:val="5"/>
  </w:num>
  <w:num w:numId="8">
    <w:abstractNumId w:val="6"/>
  </w:num>
  <w:num w:numId="9">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30"/>
  <w:bordersDoNotSurroundHeader w:val="0"/>
  <w:bordersDoNotSurroundFooter w:val="0"/>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displayHorizontalDrawingGridEvery w:val="1"/>
  <w:displayVerticalDrawingGridEvery w:val="1"/>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3966"/>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55D6"/>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1995BAA"/>
    <w:rsid w:val="01A43975"/>
    <w:rsid w:val="0220367C"/>
    <w:rsid w:val="03143B68"/>
    <w:rsid w:val="03970A41"/>
    <w:rsid w:val="054079CD"/>
    <w:rsid w:val="08C532FF"/>
    <w:rsid w:val="08DB70AE"/>
    <w:rsid w:val="09210786"/>
    <w:rsid w:val="09F150BA"/>
    <w:rsid w:val="0B4E0A4C"/>
    <w:rsid w:val="0BB53545"/>
    <w:rsid w:val="0C2D1644"/>
    <w:rsid w:val="0E9D4E90"/>
    <w:rsid w:val="0F2F8C68"/>
    <w:rsid w:val="117E7AC5"/>
    <w:rsid w:val="11B053C2"/>
    <w:rsid w:val="11D82D43"/>
    <w:rsid w:val="12BB5C75"/>
    <w:rsid w:val="139F52BA"/>
    <w:rsid w:val="13B2264B"/>
    <w:rsid w:val="146D79C6"/>
    <w:rsid w:val="14997D01"/>
    <w:rsid w:val="14B77C9C"/>
    <w:rsid w:val="151747CA"/>
    <w:rsid w:val="15B61DFB"/>
    <w:rsid w:val="15FF007F"/>
    <w:rsid w:val="16766474"/>
    <w:rsid w:val="16770389"/>
    <w:rsid w:val="16E83247"/>
    <w:rsid w:val="16F31B30"/>
    <w:rsid w:val="17191F74"/>
    <w:rsid w:val="17F265A3"/>
    <w:rsid w:val="1A2F46F6"/>
    <w:rsid w:val="1AE2440D"/>
    <w:rsid w:val="1AEF2CC8"/>
    <w:rsid w:val="1C4D7CF1"/>
    <w:rsid w:val="1C5419A7"/>
    <w:rsid w:val="1DD80D8F"/>
    <w:rsid w:val="1E0C1986"/>
    <w:rsid w:val="1F3F8CBE"/>
    <w:rsid w:val="1F982DDB"/>
    <w:rsid w:val="20827A42"/>
    <w:rsid w:val="226A5BFE"/>
    <w:rsid w:val="240A6D6E"/>
    <w:rsid w:val="241271C7"/>
    <w:rsid w:val="242E740A"/>
    <w:rsid w:val="247A61D9"/>
    <w:rsid w:val="25AA53EB"/>
    <w:rsid w:val="25AE1EB1"/>
    <w:rsid w:val="25C7594C"/>
    <w:rsid w:val="263756C1"/>
    <w:rsid w:val="27A74A6B"/>
    <w:rsid w:val="27DB7970"/>
    <w:rsid w:val="287A48D0"/>
    <w:rsid w:val="28BA18FC"/>
    <w:rsid w:val="293945CA"/>
    <w:rsid w:val="29E40E7E"/>
    <w:rsid w:val="2B3A538C"/>
    <w:rsid w:val="2B407F1D"/>
    <w:rsid w:val="2B8E7BE2"/>
    <w:rsid w:val="2C7FFEAE"/>
    <w:rsid w:val="2CA62F2E"/>
    <w:rsid w:val="2DB57BEF"/>
    <w:rsid w:val="2DCC054E"/>
    <w:rsid w:val="2E7D6897"/>
    <w:rsid w:val="2F9F3A70"/>
    <w:rsid w:val="30F71865"/>
    <w:rsid w:val="31527EED"/>
    <w:rsid w:val="319655C1"/>
    <w:rsid w:val="34F2646C"/>
    <w:rsid w:val="3555547B"/>
    <w:rsid w:val="36200A61"/>
    <w:rsid w:val="36C344B8"/>
    <w:rsid w:val="37085D5E"/>
    <w:rsid w:val="375E0BAF"/>
    <w:rsid w:val="37BD6F93"/>
    <w:rsid w:val="37FE7E9E"/>
    <w:rsid w:val="380F5E9F"/>
    <w:rsid w:val="38AA320E"/>
    <w:rsid w:val="391D0E7F"/>
    <w:rsid w:val="395F0A57"/>
    <w:rsid w:val="39C36502"/>
    <w:rsid w:val="3A7A5E93"/>
    <w:rsid w:val="3A887993"/>
    <w:rsid w:val="3AD774B7"/>
    <w:rsid w:val="3B5A0EDF"/>
    <w:rsid w:val="3C9712EE"/>
    <w:rsid w:val="3D0B5ABA"/>
    <w:rsid w:val="3EBB37EE"/>
    <w:rsid w:val="3ED41958"/>
    <w:rsid w:val="3FEB0958"/>
    <w:rsid w:val="405F7FBB"/>
    <w:rsid w:val="409D4A0F"/>
    <w:rsid w:val="42E6709F"/>
    <w:rsid w:val="43086D20"/>
    <w:rsid w:val="439542F5"/>
    <w:rsid w:val="43BF748C"/>
    <w:rsid w:val="44193E1A"/>
    <w:rsid w:val="44A01663"/>
    <w:rsid w:val="44ED01E6"/>
    <w:rsid w:val="453B2D86"/>
    <w:rsid w:val="46896EAF"/>
    <w:rsid w:val="46897ABA"/>
    <w:rsid w:val="477E1AE8"/>
    <w:rsid w:val="489E5622"/>
    <w:rsid w:val="4A097F8F"/>
    <w:rsid w:val="4AE35A16"/>
    <w:rsid w:val="4B7F0E9E"/>
    <w:rsid w:val="4C23623C"/>
    <w:rsid w:val="4D814196"/>
    <w:rsid w:val="4DED180A"/>
    <w:rsid w:val="4E075C2D"/>
    <w:rsid w:val="507F5DBE"/>
    <w:rsid w:val="50A5550E"/>
    <w:rsid w:val="51FB2806"/>
    <w:rsid w:val="52437047"/>
    <w:rsid w:val="52B264A3"/>
    <w:rsid w:val="53B12AA9"/>
    <w:rsid w:val="54263576"/>
    <w:rsid w:val="54C04F94"/>
    <w:rsid w:val="54F974BE"/>
    <w:rsid w:val="55057D15"/>
    <w:rsid w:val="57ED7804"/>
    <w:rsid w:val="57EFD92C"/>
    <w:rsid w:val="57F65EF0"/>
    <w:rsid w:val="587641EB"/>
    <w:rsid w:val="59195D2E"/>
    <w:rsid w:val="59452184"/>
    <w:rsid w:val="598A78EB"/>
    <w:rsid w:val="59DC240D"/>
    <w:rsid w:val="5A032C9A"/>
    <w:rsid w:val="5A380F0B"/>
    <w:rsid w:val="5AA2167E"/>
    <w:rsid w:val="5BB90387"/>
    <w:rsid w:val="5D7B3274"/>
    <w:rsid w:val="5E3D3174"/>
    <w:rsid w:val="5ED46F62"/>
    <w:rsid w:val="5FCE55EF"/>
    <w:rsid w:val="5FE40CB2"/>
    <w:rsid w:val="5FF5EC4B"/>
    <w:rsid w:val="5FFE2F80"/>
    <w:rsid w:val="60884B3D"/>
    <w:rsid w:val="60977546"/>
    <w:rsid w:val="61D91592"/>
    <w:rsid w:val="62A76B75"/>
    <w:rsid w:val="6332049C"/>
    <w:rsid w:val="6499029E"/>
    <w:rsid w:val="650B63FE"/>
    <w:rsid w:val="65E43670"/>
    <w:rsid w:val="66181C02"/>
    <w:rsid w:val="665E09D9"/>
    <w:rsid w:val="66AC290C"/>
    <w:rsid w:val="675B2810"/>
    <w:rsid w:val="67A2A190"/>
    <w:rsid w:val="67B71C35"/>
    <w:rsid w:val="67B71E97"/>
    <w:rsid w:val="69A97060"/>
    <w:rsid w:val="69B2727C"/>
    <w:rsid w:val="69CB1261"/>
    <w:rsid w:val="6AFF2139"/>
    <w:rsid w:val="6B6527DF"/>
    <w:rsid w:val="6B6F1AEA"/>
    <w:rsid w:val="6B7D0AFE"/>
    <w:rsid w:val="6B8231D2"/>
    <w:rsid w:val="6B926AD2"/>
    <w:rsid w:val="6C782A5A"/>
    <w:rsid w:val="6C7D060B"/>
    <w:rsid w:val="6CD12293"/>
    <w:rsid w:val="6D295EAA"/>
    <w:rsid w:val="6DD74B9D"/>
    <w:rsid w:val="6DFBCD08"/>
    <w:rsid w:val="6E1A30C8"/>
    <w:rsid w:val="6E2D1084"/>
    <w:rsid w:val="6E7D0E15"/>
    <w:rsid w:val="6F671600"/>
    <w:rsid w:val="6FDD7827"/>
    <w:rsid w:val="71D4D2A0"/>
    <w:rsid w:val="720A1363"/>
    <w:rsid w:val="72464878"/>
    <w:rsid w:val="724C264F"/>
    <w:rsid w:val="735B065C"/>
    <w:rsid w:val="74961FA3"/>
    <w:rsid w:val="74BA691F"/>
    <w:rsid w:val="74D8B0F8"/>
    <w:rsid w:val="753938CD"/>
    <w:rsid w:val="7549B4D9"/>
    <w:rsid w:val="75BF1D13"/>
    <w:rsid w:val="75FDA540"/>
    <w:rsid w:val="75FF2F86"/>
    <w:rsid w:val="76214222"/>
    <w:rsid w:val="777B120C"/>
    <w:rsid w:val="794859DE"/>
    <w:rsid w:val="79E101FA"/>
    <w:rsid w:val="7A010931"/>
    <w:rsid w:val="7BBD5FB8"/>
    <w:rsid w:val="7BD427A0"/>
    <w:rsid w:val="7C804BBD"/>
    <w:rsid w:val="7D1B69A1"/>
    <w:rsid w:val="7D79C22C"/>
    <w:rsid w:val="7D9A67A9"/>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qFormat="1"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1" w:type="character">
    <w:name w:val="Default Paragraph Font"/>
    <w:semiHidden/>
    <w:unhideWhenUsed/>
    <w:qFormat/>
    <w:uiPriority w:val="1"/>
  </w:style>
  <w:style w:default="1" w:styleId="9"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8"/>
    <w:unhideWhenUsed/>
    <w:qFormat/>
    <w:uiPriority w:val="99"/>
  </w:style>
  <w:style w:styleId="3" w:type="paragraph">
    <w:name w:val="Balloon Text"/>
    <w:basedOn w:val="1"/>
    <w:link w:val="16"/>
    <w:qFormat/>
    <w:uiPriority w:val="0"/>
    <w:rPr>
      <w:sz w:val="18"/>
      <w:szCs w:val="18"/>
    </w:rPr>
  </w:style>
  <w:style w:styleId="4" w:type="paragraph">
    <w:name w:val="footer"/>
    <w:basedOn w:val="1"/>
    <w:link w:val="15"/>
    <w:qFormat/>
    <w:uiPriority w:val="99"/>
    <w:pPr>
      <w:tabs>
        <w:tab w:pos="4153" w:val="center"/>
        <w:tab w:pos="8306" w:val="right"/>
      </w:tabs>
      <w:snapToGrid w:val="0"/>
    </w:pPr>
    <w:rPr>
      <w:sz w:val="18"/>
      <w:szCs w:val="18"/>
    </w:rPr>
  </w:style>
  <w:style w:styleId="5" w:type="paragraph">
    <w:name w:val="header"/>
    <w:basedOn w:val="1"/>
    <w:link w:val="14"/>
    <w:qFormat/>
    <w:uiPriority w:val="99"/>
    <w:pPr>
      <w:pBdr>
        <w:bottom w:color="auto" w:space="1" w:sz="6" w:val="single"/>
      </w:pBdr>
      <w:tabs>
        <w:tab w:pos="4153" w:val="center"/>
        <w:tab w:pos="8306" w:val="right"/>
      </w:tabs>
      <w:snapToGrid w:val="0"/>
      <w:jc w:val="center"/>
    </w:pPr>
    <w:rPr>
      <w:sz w:val="18"/>
      <w:szCs w:val="18"/>
    </w:rPr>
  </w:style>
  <w:style w:styleId="6" w:type="paragraph">
    <w:name w:val="HTML Preformatted"/>
    <w:basedOn w:val="1"/>
    <w:semiHidden/>
    <w:unhideWhenUsed/>
    <w:qFormat/>
    <w:uiPriority w:val="0"/>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eastAsia="宋体" w:hAnsi="宋体" w:hint="eastAsia"/>
      <w:kern w:val="0"/>
      <w:sz w:val="24"/>
      <w:szCs w:val="24"/>
      <w:lang w:bidi="ar" w:eastAsia="zh-CN" w:val="en-US"/>
    </w:rPr>
  </w:style>
  <w:style w:styleId="7" w:type="paragraph">
    <w:name w:val="Normal (Web)"/>
    <w:basedOn w:val="1"/>
    <w:semiHidden/>
    <w:unhideWhenUsed/>
    <w:qFormat/>
    <w:uiPriority w:val="0"/>
    <w:pPr>
      <w:spacing w:afterAutospacing="1" w:beforeAutospacing="1"/>
    </w:pPr>
    <w:rPr>
      <w:rFonts w:cs="Times New Roman"/>
    </w:rPr>
  </w:style>
  <w:style w:styleId="8" w:type="paragraph">
    <w:name w:val="annotation subject"/>
    <w:basedOn w:val="2"/>
    <w:next w:val="2"/>
    <w:link w:val="19"/>
    <w:semiHidden/>
    <w:unhideWhenUsed/>
    <w:qFormat/>
    <w:uiPriority w:val="0"/>
    <w:rPr>
      <w:b/>
      <w:bCs/>
    </w:rPr>
  </w:style>
  <w:style w:styleId="10" w:type="table">
    <w:name w:val="Table Grid"/>
    <w:basedOn w:val="9"/>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2" w:type="character">
    <w:name w:val="Hyperlink"/>
    <w:basedOn w:val="11"/>
    <w:unhideWhenUsed/>
    <w:qFormat/>
    <w:uiPriority w:val="0"/>
    <w:rPr>
      <w:color w:themeColor="hyperlink" w:val="0000FF"/>
      <w:u w:val="single"/>
      <w14:textFill>
        <w14:solidFill>
          <w14:schemeClr w14:val="hlink"/>
        </w14:solidFill>
      </w14:textFill>
    </w:rPr>
  </w:style>
  <w:style w:styleId="13" w:type="character">
    <w:name w:val="annotation reference"/>
    <w:basedOn w:val="11"/>
    <w:semiHidden/>
    <w:unhideWhenUsed/>
    <w:qFormat/>
    <w:uiPriority w:val="0"/>
    <w:rPr>
      <w:sz w:val="21"/>
      <w:szCs w:val="21"/>
    </w:rPr>
  </w:style>
  <w:style w:customStyle="1" w:styleId="14" w:type="character">
    <w:name w:val="页眉 Char"/>
    <w:link w:val="5"/>
    <w:qFormat/>
    <w:uiPriority w:val="99"/>
    <w:rPr>
      <w:rFonts w:ascii="宋体" w:cs="宋体" w:eastAsia="宋体" w:hAnsi="宋体"/>
      <w:sz w:val="18"/>
      <w:szCs w:val="18"/>
    </w:rPr>
  </w:style>
  <w:style w:customStyle="1" w:styleId="15" w:type="character">
    <w:name w:val="页脚 Char"/>
    <w:link w:val="4"/>
    <w:qFormat/>
    <w:uiPriority w:val="99"/>
    <w:rPr>
      <w:rFonts w:ascii="宋体" w:cs="宋体" w:eastAsia="宋体" w:hAnsi="宋体"/>
      <w:sz w:val="18"/>
      <w:szCs w:val="18"/>
    </w:rPr>
  </w:style>
  <w:style w:customStyle="1" w:styleId="16" w:type="character">
    <w:name w:val="批注框文本 Char"/>
    <w:link w:val="3"/>
    <w:qFormat/>
    <w:uiPriority w:val="0"/>
    <w:rPr>
      <w:rFonts w:ascii="宋体" w:cs="宋体" w:eastAsia="宋体" w:hAnsi="宋体"/>
      <w:sz w:val="18"/>
      <w:szCs w:val="18"/>
    </w:rPr>
  </w:style>
  <w:style w:customStyle="1" w:styleId="17" w:type="paragraph">
    <w:name w:val="普通(网站)1"/>
    <w:basedOn w:val="1"/>
    <w:qFormat/>
    <w:uiPriority w:val="0"/>
    <w:pPr>
      <w:spacing w:after="100" w:afterAutospacing="1" w:before="100" w:beforeAutospacing="1"/>
    </w:pPr>
  </w:style>
  <w:style w:customStyle="1" w:styleId="18" w:type="character">
    <w:name w:val="批注文字 Char"/>
    <w:basedOn w:val="11"/>
    <w:link w:val="2"/>
    <w:qFormat/>
    <w:uiPriority w:val="99"/>
    <w:rPr>
      <w:rFonts w:ascii="宋体" w:cs="宋体" w:hAnsi="宋体"/>
      <w:sz w:val="24"/>
      <w:szCs w:val="24"/>
    </w:rPr>
  </w:style>
  <w:style w:customStyle="1" w:styleId="19" w:type="character">
    <w:name w:val="批注主题 Char"/>
    <w:basedOn w:val="18"/>
    <w:link w:val="8"/>
    <w:semiHidden/>
    <w:qFormat/>
    <w:uiPriority w:val="0"/>
    <w:rPr>
      <w:rFonts w:ascii="宋体" w:cs="宋体" w:hAnsi="宋体"/>
      <w:b/>
      <w:bCs/>
      <w:sz w:val="24"/>
      <w:szCs w:val="24"/>
    </w:rPr>
  </w:style>
  <w:style w:styleId="20" w:type="paragraph">
    <w:name w:val="List Paragraph"/>
    <w:basedOn w:val="1"/>
    <w:qFormat/>
    <w:uiPriority w:val="34"/>
    <w:pPr>
      <w:ind w:firstLine="420" w:firstLineChars="200"/>
    </w:pPr>
  </w:style>
  <w:style w:customStyle="1" w:styleId="21" w:type="paragraph">
    <w:name w:val="修订1"/>
    <w:hidden/>
    <w:semiHidden/>
    <w:qFormat/>
    <w:uiPriority w:val="99"/>
    <w:rPr>
      <w:rFonts w:ascii="宋体" w:cs="宋体" w:eastAsia="宋体" w:hAnsi="宋体"/>
      <w:sz w:val="24"/>
      <w:szCs w:val="24"/>
      <w:lang w:bidi="ar-SA" w:eastAsia="zh-CN" w:val="en-US"/>
    </w:rPr>
  </w:style>
  <w:style w:customStyle="1" w:styleId="22" w:type="paragraph">
    <w:name w:val="修订2"/>
    <w:hidden/>
    <w:semiHidden/>
    <w:qFormat/>
    <w:uiPriority w:val="99"/>
    <w:rPr>
      <w:rFonts w:ascii="宋体" w:cs="宋体" w:eastAsia="宋体" w:hAnsi="宋体"/>
      <w:sz w:val="24"/>
      <w:szCs w:val="24"/>
      <w:lang w:bidi="ar-SA" w:eastAsia="zh-CN" w:val="en-US"/>
    </w:rPr>
  </w:style>
  <w:style w:customStyle="1" w:styleId="23" w:type="paragraph">
    <w:name w:val="Char Char"/>
    <w:basedOn w:val="1"/>
    <w:qFormat/>
    <w:uiPriority w:val="0"/>
    <w:pPr>
      <w:widowControl w:val="0"/>
      <w:jc w:val="both"/>
    </w:pPr>
    <w:rPr>
      <w:rFonts w:ascii="Times New Roman" w:cs="Times New Roman" w:hAnsi="Times New Roman"/>
      <w:kern w:val="2"/>
      <w:sz w:val="21"/>
      <w:szCs w:val="20"/>
    </w:rPr>
  </w:style>
  <w:style w:customStyle="1" w:styleId="24"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5"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6" w:type="paragraph">
    <w:name w:val="修订3"/>
    <w:hidden/>
    <w:semiHidden/>
    <w:qFormat/>
    <w:uiPriority w:val="99"/>
    <w:rPr>
      <w:rFonts w:ascii="宋体" w:cs="宋体" w:eastAsia="宋体" w:hAnsi="宋体"/>
      <w:sz w:val="24"/>
      <w:szCs w:val="24"/>
      <w:lang w:bidi="ar-SA" w:eastAsia="zh-CN" w:val="en-US"/>
    </w:rPr>
  </w:style>
  <w:style w:customStyle="1" w:styleId="27" w:type="character">
    <w:name w:val="bjh-strong"/>
    <w:basedOn w:val="11"/>
    <w:qFormat/>
    <w:uiPriority w:val="0"/>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fontTable.xml" Type="http://schemas.openxmlformats.org/officeDocument/2006/relationships/fontTable"/>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header2.xml" Type="http://schemas.openxmlformats.org/officeDocument/2006/relationships/header"/>
<Relationship Id="rId6" Target="header3.xml" Type="http://schemas.openxmlformats.org/officeDocument/2006/relationships/head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25</Pages>
  <Words>4237</Words>
  <Characters>24152</Characters>
  <Lines>201</Lines>
  <Paragraphs>56</Paragraphs>
  <TotalTime>0</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2024-05-29T00:10:00Z</dcterms:created>
  <dc:creator>王晓明</dc:creator>
  <cp:lastModifiedBy>huangqikai</cp:lastModifiedBy>
  <cp:lastPrinted>2024-06-08T01:24:00Z</cp:lastPrinted>
  <dcterms:modified xsi:type="dcterms:W3CDTF">2026-07-27T10:23:02Z</dcterms:modified>
  <cp:revision>68</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2052-12.8.2.20793</vt:lpwstr>
  </property>
  <property fmtid="{D5CDD505-2E9C-101B-9397-08002B2CF9AE}" name="ICV" pid="3">
    <vt:lpwstr>8BF2B1701AE2498E5DCE0F67A2B84A9C_43</vt:lpwstr>
  </property>
</Properties>
</file>