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1"/>
          <w:sz w:val="36"/>
          <w:szCs w:val="36"/>
        </w:rPr>
        <w:t xml:space="preserve">苏银理财恒源封闭债权262期</w:t>
      </w:r>
      <w:bookmarkStart w:id="0" w:name="_GoBack"/>
      <w:bookmarkEnd w:id="0"/>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2026年二季度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苏银理财恒源封闭债权262期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2026年01月14日</w:t>
      </w:r>
      <w:r>
        <w:rPr>
          <w:rFonts w:ascii="楷体" w:eastAsia="楷体" w:hAnsi="楷体" w:cs="楷体" w:hint="eastAsia"/>
        </w:rPr>
        <w:t xml:space="preserve">成立，于</w:t>
      </w:r>
      <w:r>
        <w:rPr>
          <w:rFonts w:ascii="楷体" w:eastAsia="楷体" w:hAnsi="楷体" w:cs="楷体" w:hint="eastAsia"/>
          <w:spacing w:val="-7"/>
        </w:rPr>
        <w:t xml:space="preserve">2026年01月14日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1" w:name="_Toc535504139"/>
      <w:r>
        <w:rPr>
          <w:rFonts w:ascii="楷体" w:eastAsia="楷体" w:hAnsi="楷体" w:cs="楷体" w:hint="eastAsia"/>
        </w:rPr>
        <w:t xml:space="preserve">、产品基本情况</w:t>
      </w:r>
      <w:bookmarkEnd w:id="1"/>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苏银理财恒源封闭债权262期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Z7003125000320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1,588,087,041.00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1,606,817,689.77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31000188000736356</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1,607,749,707.53</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100.06%</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苏银理财恒源封闭债权262期13月A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1.011808</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1.011808</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2.45%-2.85%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苏银理财恒源封闭债权262期13月C</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1.012039</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1.012039</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2.50%-2.90%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苏银理财恒源封闭债权262期13月D</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1.011809</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1.011809</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2.45%-2.85%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苏银理财恒源封闭债权262期13月E</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1.012270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1.012270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2.55%-2.95%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苏银理财恒源封闭债权262期13月F</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1.011808</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1.011808</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2.45%-2.85%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苏银理财恒源封闭债权262期13月G</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1.011347</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1.011347</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2.35%-2.75%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苏银理财恒源封闭债权262期13月H</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1.010886</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1.010886</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2.25%-2.65%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苏银理财恒源封闭债权262期13月I</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1.011808</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1.011808</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2.45%-2.85%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苏银理财恒源封闭债权262期13月J</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1.011578</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1.011578</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2.40%-2.80%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苏银理财恒源封闭债权262期13月JS鑫福款</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1.011808</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1.011808</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2.45%-2.85%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苏银理财恒源封闭债权262期13月L</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1.012039</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1.012039</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2.50%-2.90%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苏银理财恒源封闭债权262期13月M</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1.011116</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1.011116</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2.30%-2.70%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苏银理财恒源封闭债权262期13月N</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1.011578</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1.011578</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2.40%-2.80%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苏银理财恒源封闭债权262期13月O（兰州银行开门红专属）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1.011808</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1.011808</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2.45%-2.85%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苏银理财恒源封闭债权262期13月Z</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1.012270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1.012270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2.55%-2.95%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苏银理财恒源封闭债权262期13月（芙蓉锦程·优选）</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1.012039</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1.012039</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2.50%-2.90%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27.06%</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69.23%</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权益类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2.53%</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商品及金融衍生品类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混合类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1.18%</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27.06%</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72.94%</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194,732,286.31</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11.97%</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银河金丰收益凭证719期</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152,294,791.25</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9.36%</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外贸信托臻璟系列集合资金信托计划41期（抖音放心借）</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80,951,013.68</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4.98%</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国投证券收益凭证-专享SY37号</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60,642,000.00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3.73%</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国投证券收益凭证-专享SY41号</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60,510,000.00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3.72%</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龙鼎金牛三值定制673期（358天）</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50,000,000.00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3.07%</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41,817,982.77</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2.57%</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外贸信托臻璟系列集合资金信托计划42期（抖音放心借）</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40,421,972.54</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2.48%</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17,699,017.46</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1.09%</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26盐城城镇PPN001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12,509,720.45</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0.77%</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中国银河证券股份有限公司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银河金丰收益凭证719期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217</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150,000,000.00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抖音导流、信托自主审核通过的借款人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外贸信托臻璟系列集合资金信托计划41期（抖音放心借）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200</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80,000,000.00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循环期付息不还本，摊还期按月过手摊还本息;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国投证券股份有限公司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国投证券收益凭证-专享SY41号</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213</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60,000,000.00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国投证券股份有限公司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国投证券收益凭证-专享SY37号</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213</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60,000,000.00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申万宏源证券有限公司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龙鼎金牛三值定制673期（358天）</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213</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50,000,000.00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抖音导流、信托自主审核通过的借款人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外贸信托臻璟系列集合资金信托计划42期（抖音放心借）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227</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40,000,000.00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循环期付息不还本，摊还期按月过手摊还本息;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抖音导流、信托自主审核通过的借款人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中国银河证券股份有限公司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2007-01-26</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10,934,402,300.00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证券经纪;证券投资咨询;与证券交易、证券投资活动有关的财务顾问;证券承销与保荐;证券自营;融资融券;证券投资基金代销;为期货公司提供中间介绍业务;代销金融产品;证券投资基金托管业务;保险兼业代理业务;销售贵金属制品。(企业依法自主选择经营项目,开展经营活动;依法须经批准的项目,经相关部门批准后依批准的内容开展经营活动;不得从事本市产业政策禁止和限制类项目的经营活动。)</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申万宏源证券有限公司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2015-01-16</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53,500,000,000.00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许可项目:证券业务;证券投资咨询;证券投资基金销售服务;证券投资基金托管。(依法须经批准的项目,经相关部门批准后方可开展经营活动,具体经营项目以相关部门批准文件或许可证件为准)一般项目:证券公司为期货公司提供中间介绍业务。(除依法须经批准的项目外,凭营业执照依法自主开展经营活动)</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国投证券股份有限公司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2006-08-22</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10,000,000,000.00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证券经纪;证券投资咨询;与证券交易、证券投资活动有关的财务顾问;证券承销与保荐;证券自营;融资融券;代销金融产品;证券投资基金销售;为期货公司提供中间介绍业务;证券投资基金托管;中国证监会批准的其它证券业务。</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80,727.54</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23,010.42</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262,321.77</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432.78</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2026-06-30</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1,588,087,041.00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1,588,087,041.00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2026年二季度，国内债券市场整体震荡走强，弱复苏基本面与宽松流动性形成共振，“资产荒”逻辑持续主导市场配置行为。基本面维度，经济修复斜率平缓，制造业 PMI 在荣枯线附近波动，地产、消费修复节奏不及预期，稳增长政策以托底为主、未推出强刺激措施，为债市提供了稳固的基本面支撑。货币政策保持稳健偏松基调，央行通过公开市场操作精准呵护流动性。利率债方面，10年期国债收益率中枢较一季度末下行，整体呈“先下后窄幅震荡”走势，长端表现优于短端，收益率曲线小幅平坦化。信用债市场延续利差压缩行情，中高等级城投债、商业银行二永债是配置核心，主流品种信用利差收窄至历史低位，全市场违约率维持低位。</w:t>
      </w:r>
      <w:r>
        <w:rPr>
          <w:rFonts w:ascii="楷体" w:eastAsia="楷体" w:hAnsi="楷体" w:cs="楷体" w:hint="eastAsia"/>
          <w:spacing w:val="8"/>
          <w:sz w:val="21"/>
        </w:rPr>
        <w:br/>
      </w:r>
      <w:r>
        <w:rPr>
          <w:rFonts w:ascii="楷体" w:eastAsia="楷体" w:hAnsi="楷体" w:cs="楷体" w:hint="eastAsia"/>
          <w:spacing w:val="8"/>
          <w:sz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2026年以来债券市场总体有所好转，产品整体表现良好，后续有望继续提供长期稳健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2026年下半年，国内债券市场预计维持偏强震荡格局，整体机会大于风险。从基本面上看，经济弱修复的大基调难改，地产链修复乏力、消费回暖斜率偏低，内生增长动能仍有不确定性，通胀整体维持低位，基本面对债市的支撑仍在；预计货币政策将延续稳健偏松取向，央行通过公开市场操作精准呵护流动性，资金中枢保持低位运行，为市场提供稳定的套息空间。信用端“资产荒”逻辑仍将延续，中高等级信用债、银行二永债仍具配置性价比，但信用分层态势持续，弱资质区域与主体的尾部风险仍需严格规避。整体来看，下半年债市仍以票息策略为安全底仓，可灵活调整久期把握利率波段机会，兼顾收益弹性与风险防控。债市利多因素逐步累积。</w:t>
      </w:r>
      <w:r>
        <w:rPr>
          <w:rFonts w:ascii="楷体" w:eastAsia="楷体" w:hAnsi="楷体" w:cs="楷体" w:hint="eastAsia"/>
          <w:spacing w:val="9"/>
          <w:sz w:val="21"/>
        </w:rPr>
        <w:br/>
      </w:r>
      <w:r>
        <w:rPr>
          <w:rFonts w:ascii="楷体" w:eastAsia="楷体" w:hAnsi="楷体" w:cs="楷体" w:hint="eastAsia"/>
          <w:spacing w:val="9"/>
          <w:sz w:val="21"/>
        </w:rPr>
        <w:t xml:space="preserve">    未来将根据市场变化，控制组合久期处于合理稳健区间。资产配置上兼顾安全性、流动性和收益性，坚守风险合规底线，紧密跟踪市场变化，强化投资研究分析，致力于为广大投资者创造长期稳健的投资回报。信用风险方面，我司定期排查持仓债券，目前持仓债券信用情况良好。</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本产品持仓优质非标资产与中高等级债券，抗市场波动能力较强，通过组合久期管理、流动性指标监测等多项措施持续加强久期与流动性管理，有效控制产品的流动性风险。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2026年06月30日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A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1411"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1413"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1414"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1416"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1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nnotationreference">
    <w:name w:val="annotation reference"/>
    <w:uiPriority w:val="99"/>
    <w:unhideWhenUsed/>
    <w:qFormat/>
    <w:rPr>
      <w:sz w:val="21"/>
      <w:szCs w:val="21"/>
    </w:r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User</cp:lastModifiedBy>
  <dcterms:modified xsi:type="dcterms:W3CDTF">2026-07-02T02:30:03Z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Office_11.8.2.11734_F1E327BC-269C-435d-A152-05C5408002CA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Office_11.8.2.11734_F1E327BC-269C-435d-A152-05C5408002CA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User</cp:lastModifiedBy>
  <cp:revision>22</cp:revision>
  <dcterms:created xsi:type="dcterms:W3CDTF">2021-11-18T10:04:00Z</dcterms:created>
  <dcterms:modified xsi:type="dcterms:W3CDTF">2026-07-17T01:40:09Z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2052-11.8.2.11734</vt:lpstr>
  </property>
  <property fmtid="{D5CDD505-2E9C-101B-9397-08002B2CF9AE}" pid="3" name="ICV">
    <vt:lpstr>31802637FF8E4298AD1DCE61A946E12D</vt:lpstr>
  </property>
</Properties>
</file>