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b/>
          <w:sz w:val="36"/>
          <w:szCs w:val="36"/>
        </w:rPr>
      </w:pPr>
      <w:r>
        <w:rPr>
          <w:rFonts w:ascii="楷体" w:eastAsia="楷体" w:hAnsi="楷体" w:cs="楷体" w:hint="eastAsia"/>
          <w:b/>
          <w:bCs/>
          <w:spacing w:val="-1"/>
          <w:sz w:val="36"/>
          <w:szCs w:val="36"/>
        </w:rPr>
        <w:t xml:space="preserve">苏银理财启源货币1号</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rPr>
      </w:pPr>
      <w:r>
        <w:rPr>
          <w:rFonts w:ascii="楷体" w:eastAsia="楷体" w:hAnsi="楷体" w:cs="楷体" w:hint="eastAsia"/>
        </w:rPr>
        <w:t xml:space="preserve">“</w:t>
      </w:r>
      <w:r>
        <w:rPr>
          <w:rFonts w:ascii="楷体" w:eastAsia="楷体" w:hAnsi="楷体" w:cs="楷体" w:hint="eastAsia"/>
          <w:spacing w:val="-7"/>
        </w:rPr>
        <w:t xml:space="preserve">苏银理财启源货币1号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2023年12月07日</w:t>
      </w:r>
      <w:r>
        <w:rPr>
          <w:rFonts w:ascii="楷体" w:eastAsia="楷体" w:hAnsi="楷体" w:cs="楷体" w:hint="eastAsia"/>
        </w:rPr>
        <w:t xml:space="preserve">成立，于</w:t>
      </w:r>
      <w:r>
        <w:rPr>
          <w:rFonts w:ascii="楷体" w:eastAsia="楷体" w:hAnsi="楷体" w:cs="楷体" w:hint="eastAsia"/>
          <w:spacing w:val="-7"/>
        </w:rPr>
        <w:t xml:space="preserve">2023年12月07日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rPr>
      </w:pPr>
    </w:p>
    <w:p>
      <w:pPr>
        <w:pStyle w:val="Heading3"/>
        <w:rPr>
          <w:rFonts w:ascii="楷体" w:hAnsi="楷体" w:cs="楷体"/>
        </w:rPr>
      </w:pPr>
      <w:r>
        <w:rPr>
          <w:rFonts w:ascii="楷体" w:hAnsi="楷体" w:cs="楷体" w:hint="eastAsia"/>
        </w:rPr>
        <w:t xml:space="preserve">一</w:t>
      </w:r>
      <w:bookmarkStart w:id="1" w:name="_Toc535504139"/>
      <w:r>
        <w:rPr>
          <w:rFonts w:ascii="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sz w:val="22"/>
                <w:szCs w:val="22"/>
                <w:highlight w:val="yellow"/>
              </w:rPr>
            </w:pPr>
            <w:r>
              <w:rPr>
                <w:rFonts w:hint="eastAsia"/>
                <w:spacing w:val="-6"/>
                <w:sz w:val="22"/>
                <w:szCs w:val="22"/>
              </w:rPr>
              <w:t xml:space="preserve">苏银理财启源货币1号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sz w:val="22"/>
                <w:szCs w:val="22"/>
                <w:highlight w:val="yellow"/>
              </w:rPr>
            </w:pPr>
            <w:r>
              <w:rPr>
                <w:rFonts w:hint="eastAsia"/>
                <w:spacing w:val="-1"/>
                <w:sz w:val="22"/>
                <w:szCs w:val="22"/>
              </w:rPr>
              <w:t xml:space="preserve">Z7003123000204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sz w:val="22"/>
                <w:szCs w:val="22"/>
                <w:highlight w:val="yellow"/>
              </w:rPr>
            </w:pPr>
            <w:r>
              <w:rPr>
                <w:rFonts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sz w:val="22"/>
                <w:szCs w:val="22"/>
                <w:highlight w:val="yellow"/>
              </w:rPr>
            </w:pPr>
            <w:r>
              <w:rPr>
                <w:rFonts w:hint="eastAsia"/>
                <w:spacing w:val="-1"/>
                <w:sz w:val="22"/>
                <w:szCs w:val="22"/>
              </w:rPr>
              <w:t xml:space="preserve">6,990,163,001.11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sz w:val="22"/>
                <w:szCs w:val="22"/>
                <w:highlight w:val="yellow"/>
              </w:rPr>
            </w:pPr>
            <w:r>
              <w:rPr>
                <w:rFonts w:hint="eastAsia"/>
                <w:spacing w:val="-1"/>
                <w:sz w:val="22"/>
                <w:szCs w:val="22"/>
              </w:rPr>
              <w:t xml:space="preserve">6,990,163,001.11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sz w:val="22"/>
                <w:szCs w:val="22"/>
                <w:highlight w:val="yellow"/>
              </w:rPr>
            </w:pPr>
            <w:r>
              <w:rPr>
                <w:rFonts w:hint="eastAsia"/>
                <w:spacing w:val="-8"/>
                <w:sz w:val="22"/>
                <w:szCs w:val="22"/>
              </w:rPr>
              <w:t xml:space="preserve">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sz w:val="22"/>
                <w:szCs w:val="22"/>
                <w:highlight w:val="yellow"/>
              </w:rPr>
            </w:pPr>
            <w:r>
              <w:rPr>
                <w:rFonts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sz w:val="22"/>
                <w:szCs w:val="22"/>
                <w:highlight w:val="yellow"/>
              </w:rPr>
            </w:pPr>
            <w:r>
              <w:rPr>
                <w:rFonts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sz w:val="22"/>
                <w:szCs w:val="22"/>
                <w:highlight w:val="yellow"/>
              </w:rPr>
            </w:pPr>
            <w:r>
              <w:rPr>
                <w:rFonts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sz w:val="22"/>
                <w:szCs w:val="22"/>
                <w:highlight w:val="yellow"/>
              </w:rPr>
            </w:pPr>
            <w:r>
              <w:rPr>
                <w:rFonts w:hint="eastAsia"/>
                <w:spacing w:val="-1"/>
                <w:sz w:val="22"/>
                <w:szCs w:val="22"/>
              </w:rPr>
              <w:t xml:space="preserve">31000188000564305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sz w:val="22"/>
                <w:szCs w:val="22"/>
              </w:rPr>
            </w:pPr>
            <w:r>
              <w:rPr>
                <w:rFonts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sz w:val="22"/>
                <w:szCs w:val="22"/>
              </w:rPr>
            </w:pPr>
            <w:r>
              <w:rPr>
                <w:rFonts w:hint="eastAsia"/>
                <w:spacing w:val="-1"/>
                <w:sz w:val="22"/>
                <w:szCs w:val="22"/>
              </w:rPr>
              <w:t xml:space="preserve">6,990,909,863.50</w:t>
            </w:r>
            <w:r>
              <w:rPr>
                <w:rFonts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sz w:val="22"/>
                <w:szCs w:val="22"/>
              </w:rPr>
            </w:pPr>
            <w:r>
              <w:rPr>
                <w:rFonts w:hint="eastAsia"/>
                <w:spacing w:val="-4"/>
                <w:sz w:val="22"/>
                <w:szCs w:val="22"/>
              </w:rPr>
              <w:t xml:space="preserve">100.01%</w:t>
            </w:r>
          </w:p>
        </w:tc>
      </w:tr>
    </w:tbl>
    <w:p>
      <w:pPr>
        <w:pStyle w:val="标题4"/>
        <w:rPr>
          <w:rFonts w:ascii="楷体" w:hAnsi="楷体" w:cs="楷体"/>
        </w:rPr>
      </w:pPr>
    </w:p>
    <w:p>
      <w:pPr>
        <w:pStyle w:val="Heading3"/>
        <w:rPr>
          <w:rFonts w:ascii="楷体" w:hAnsi="楷体" w:cs="楷体"/>
        </w:rPr>
      </w:pPr>
      <w:r>
        <w:rPr>
          <w:rFonts w:ascii="楷体" w:hAnsi="楷体" w:cs="楷体" w:hint="eastAsia"/>
        </w:rPr>
        <w:t xml:space="preserve">二、产品收益与业绩比较基准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085"/>
        <w:gridCol w:w="1500"/>
        <w:gridCol w:w="1665"/>
        <w:gridCol w:w="1861"/>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报告日期</w:t>
            </w:r>
          </w:p>
        </w:tc>
        <w:tc>
          <w:tcPr>
            <w:tcW w:w="2085" w:type="dxa"/>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销售名称</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每万份收益</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七日年化收益率</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苏银理财启源货币1号A</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0.3610</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1.28%</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苏银理财启源货币1号C</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0.3747</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1.33%</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苏银理财启源货币1号DG</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0.4415</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1.59%</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苏银理财启源货币1号F</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0.3747</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1.33%</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苏银理财启源货币1号G</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0.3747</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1.33%</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苏银理财启源货币1号H</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0.3610</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1.28%</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苏银理财启源货币1号I</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0.3720</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1.32%</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苏银理财启源货币1号J</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0.3747</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1.33%</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苏银理财启源货币1号JS鑫福款</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0.3747</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1.33%</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苏银理财启源货币1号K</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0.3720</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1.32%</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苏银理财启源货币1号M</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0.3747</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1.33%</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苏银理财启源货币1号N</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0.3610</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1.28%</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苏银理财启源货币1号P</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0.3747</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1.33%</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苏银理财启源货币1号Q</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0.3611</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1.28%</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苏银理财启源货币1号T</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0.3747</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1.33%</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苏银理财启源货币1号U</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0.3747</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1.33%</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苏银理财启源货币1号V</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0.6837</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2.53%</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苏银理财启源货币1号W</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0.3062</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1.08%</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苏银理财启源货币1号XN</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0.5629</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1.78%</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bl>
    <w:p>
      <w:pPr>
        <w:rPr>
          <w:rFonts w:ascii="楷体" w:eastAsia="楷体" w:hAnsi="楷体" w:cs="楷体"/>
        </w:rPr>
      </w:pPr>
    </w:p>
    <w:p>
      <w:pPr>
        <w:rPr>
          <w:rFonts w:ascii="楷体" w:eastAsia="楷体" w:hAnsi="楷体" w:cs="楷体"/>
          <w:sz w:val="21"/>
          <w:szCs w:val="21"/>
        </w:rPr>
      </w:pPr>
      <w:r>
        <w:rPr>
          <w:rFonts w:ascii="楷体" w:eastAsia="楷体" w:hAnsi="楷体" w:cs="楷体" w:hint="eastAsia"/>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rPr>
      </w:pPr>
    </w:p>
    <w:p>
      <w:pPr>
        <w:pStyle w:val="Heading3"/>
        <w:ind w:left="0"/>
        <w:rPr>
          <w:rFonts w:ascii="楷体" w:hAnsi="楷体" w:cs="楷体"/>
        </w:rPr>
      </w:pPr>
      <w:r>
        <w:rPr>
          <w:rFonts w:ascii="楷体" w:hAnsi="楷体" w:cs="楷体" w:hint="eastAsia"/>
        </w:rPr>
        <w:t xml:space="preserve">三、产品投资组合情况</w:t>
      </w:r>
    </w:p>
    <w:p>
      <w:pPr>
        <w:pStyle w:val="Heading3"/>
        <w:rPr>
          <w:rFonts w:ascii="楷体" w:hAnsi="楷体" w:cs="楷体"/>
          <w:b w:val="0"/>
          <w:sz w:val="21"/>
        </w:rPr>
      </w:pPr>
      <w:r>
        <w:rPr>
          <w:rFonts w:ascii="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59"/>
        <w:gridCol w:w="2644"/>
        <w:gridCol w:w="267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序号</w:t>
            </w:r>
          </w:p>
        </w:tc>
        <w:tc>
          <w:tcPr>
            <w:tcW w:w="2259"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直接投资占总资产的比例</w:t>
            </w:r>
          </w:p>
        </w:tc>
        <w:tc>
          <w:tcPr>
            <w:tcW w:w="2670"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1</w:t>
            </w:r>
          </w:p>
        </w:tc>
        <w:tc>
          <w:tcPr>
            <w:tcW w:w="2259"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69.59%</w:t>
            </w:r>
          </w:p>
        </w:tc>
        <w:tc>
          <w:tcPr>
            <w:tcW w:w="2670"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30.41%</w:t>
            </w:r>
          </w:p>
        </w:tc>
      </w:tr>
      <w:tr>
        <w:trPr>
          <w:trHeight w:hRule="exact" w:val="397"/>
          <w:jc w:val="center"/>
        </w:trPr>
        <w:tc>
          <w:tcPr>
            <w:tcW w:w="727"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2</w:t>
            </w:r>
          </w:p>
        </w:tc>
        <w:tc>
          <w:tcPr>
            <w:tcW w:w="2259"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w:t>
            </w:r>
          </w:p>
        </w:tc>
        <w:tc>
          <w:tcPr>
            <w:tcW w:w="2670"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3</w:t>
            </w:r>
          </w:p>
        </w:tc>
        <w:tc>
          <w:tcPr>
            <w:tcW w:w="2259"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w:t>
            </w:r>
          </w:p>
        </w:tc>
        <w:tc>
          <w:tcPr>
            <w:tcW w:w="2670"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4</w:t>
            </w:r>
          </w:p>
        </w:tc>
        <w:tc>
          <w:tcPr>
            <w:tcW w:w="2259"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w:t>
            </w:r>
          </w:p>
        </w:tc>
        <w:tc>
          <w:tcPr>
            <w:tcW w:w="2670"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2986" w:type="dxa"/>
            <w:gridSpan w:val="2"/>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合计</w:t>
            </w:r>
          </w:p>
        </w:tc>
        <w:tc>
          <w:tcPr>
            <w:tcW w:w="2644" w:type="dxa"/>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69.59%</w:t>
            </w:r>
          </w:p>
        </w:tc>
        <w:tc>
          <w:tcPr>
            <w:tcW w:w="2670" w:type="dxa"/>
            <w:shd w:val="clear" w:color="auto" w:fill="FFFFFF"/>
            <w:vAlign w:val="center"/>
          </w:tcPr>
          <w:p>
            <w:pPr>
              <w:jc w:val="center"/>
              <w:rPr>
                <w:rFonts w:ascii="楷体" w:eastAsia="楷体" w:hAnsi="楷体" w:cs="楷体"/>
                <w:sz w:val="22"/>
                <w:szCs w:val="22"/>
              </w:rPr>
            </w:pPr>
            <w:r>
              <w:rPr>
                <w:rFonts w:ascii="楷体" w:eastAsia="楷体" w:hAnsi="楷体" w:cs="楷体" w:hint="eastAsia"/>
                <w:sz w:val="22"/>
                <w:szCs w:val="22"/>
              </w:rPr>
              <w:t xml:space="preserve">30.41%</w:t>
            </w:r>
          </w:p>
        </w:tc>
      </w:tr>
    </w:tbl>
    <w:p>
      <w:pPr>
        <w:rPr>
          <w:rFonts w:ascii="楷体" w:eastAsia="楷体" w:hAnsi="楷体" w:cs="楷体"/>
        </w:rPr>
      </w:pPr>
    </w:p>
    <w:p>
      <w:pPr>
        <w:pStyle w:val="Heading3"/>
        <w:ind w:left="0"/>
        <w:rPr>
          <w:rFonts w:ascii="楷体" w:hAnsi="楷体" w:cs="楷体"/>
          <w:b w:val="0"/>
          <w:sz w:val="21"/>
        </w:rPr>
      </w:pPr>
      <w:r>
        <w:rPr>
          <w:rFonts w:ascii="楷体" w:hAnsi="楷体" w:cs="楷体" w:hint="eastAsia"/>
          <w:b w:val="0"/>
          <w:sz w:val="21"/>
        </w:rPr>
        <w:t xml:space="preserve">（二）期末理财产品持有的前十项资产</w:t>
      </w:r>
    </w:p>
    <w:tbl>
      <w:tblPr>
        <w:tblStyle w:val="TableNormal"/>
        <w:tblW w:w="8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占产品总资产的比例（%）</w:t>
            </w:r>
          </w:p>
        </w:tc>
      </w:tr>
      <w:tr>
        <w:tblPrEx>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1</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669,921,701.08</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9.56%</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2</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拆放同业及债券买入返售</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拆放同业及债券买入返售</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151,504,297.54</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2.16%</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3</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拆放同业及债券买入返售</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拆放同业及债券买入返售</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130,006,054.79</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1.85%</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4</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拆放同业及债券买入返售</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拆放同业及债券买入返售</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120,005,589.04</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1.71%</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5</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24农发清发32</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债券</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111,111,062.08</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1.59%</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6</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24农发清发22</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债券</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101,547,787.54</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1.45%</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7</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银行存款20250822</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101,460,667.71</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1.45%</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8</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银行存款20250905</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101,387,028.11</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1.45%</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9</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25东财证券CP012</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债券</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101,032,000.00</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1.44%</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10</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银行存款20251128</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100,997,361.35</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1.44%</w:t>
            </w:r>
          </w:p>
        </w:tc>
      </w:tr>
    </w:tbl>
    <w:p>
      <w:pPr>
        <w:pStyle w:val="标题4"/>
        <w:rPr>
          <w:rFonts w:ascii="楷体" w:hAnsi="楷体" w:cs="楷体"/>
        </w:rPr>
      </w:pPr>
    </w:p>
    <w:p>
      <w:pPr>
        <w:pStyle w:val="Heading3"/>
        <w:numPr>
          <w:ilvl w:val="0"/>
          <w:numId w:val="3"/>
        </w:numPr>
        <w:rPr>
          <w:rFonts w:ascii="楷体" w:hAnsi="楷体" w:cs="楷体"/>
          <w:b w:val="0"/>
          <w:sz w:val="21"/>
        </w:rPr>
      </w:pPr>
      <w:r>
        <w:rPr>
          <w:rFonts w:ascii="楷体" w:hAnsi="楷体" w:cs="楷体" w:hint="eastAsia"/>
          <w:b w:val="0"/>
          <w:sz w:val="21"/>
        </w:rPr>
        <w:t xml:space="preserve">非标资产情况</w:t>
      </w:r>
    </w:p>
    <w:p>
      <w:pPr>
        <w:ind w:firstLine="220" w:firstLineChars="100"/>
        <w:rPr>
          <w:rFonts w:ascii="楷体" w:eastAsia="楷体" w:hAnsi="楷体" w:cs="楷体"/>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pStyle w:val="标题4"/>
        <w:rPr>
          <w:rFonts w:ascii="楷体" w:hAnsi="楷体" w:cs="楷体"/>
        </w:rPr>
      </w:pPr>
    </w:p>
    <w:p>
      <w:pPr>
        <w:spacing w:line="320" w:lineRule="exact"/>
        <w:ind w:firstLine="220" w:firstLineChars="100"/>
        <w:rPr>
          <w:rFonts w:ascii="楷体" w:eastAsia="楷体" w:hAnsi="楷体" w:cs="楷体"/>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pStyle w:val="标题4"/>
        <w:rPr>
          <w:rFonts w:ascii="楷体" w:hAnsi="楷体" w:cs="楷体"/>
        </w:rPr>
      </w:pPr>
    </w:p>
    <w:p>
      <w:pPr>
        <w:pStyle w:val="Heading3"/>
        <w:numPr>
          <w:ilvl w:val="0"/>
          <w:numId w:val="3"/>
        </w:numPr>
        <w:ind w:left="120" w:firstLine="0" w:leftChars="0" w:firstLineChars="0"/>
        <w:rPr>
          <w:rFonts w:ascii="楷体" w:hAnsi="楷体" w:cs="楷体" w:hint="eastAsia"/>
          <w:b w:val="0"/>
          <w:sz w:val="21"/>
        </w:rPr>
      </w:pPr>
      <w:r>
        <w:rPr>
          <w:rFonts w:ascii="楷体" w:hAnsi="楷体" w:cs="楷体" w:hint="eastAsia"/>
          <w:b w:val="0"/>
          <w:sz w:val="21"/>
        </w:rPr>
        <w:t xml:space="preserve">关联交易情况</w:t>
      </w:r>
    </w:p>
    <w:p>
      <w:pPr>
        <w:spacing w:line="320" w:lineRule="exact"/>
        <w:ind w:firstLine="220" w:firstLineChars="100"/>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rPr>
      </w:pPr>
    </w:p>
    <w:p>
      <w:pPr>
        <w:ind w:firstLine="220" w:firstLineChars="100"/>
        <w:rPr>
          <w:rFonts w:ascii="楷体" w:eastAsia="楷体" w:hAnsi="楷体" w:cs="楷体"/>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00"/>
        <w:gridCol w:w="2191"/>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金融工具名称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sz w:val="22"/>
          <w:szCs w:val="24"/>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15"/>
        <w:gridCol w:w="3540"/>
        <w:gridCol w:w="3166"/>
      </w:tblGrid>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316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东吴证券股份有限公司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585,500,090.00</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苏州银行股份有限公司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54,467.48</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江苏仪征农村商业银行股份有限公司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433.44</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苏州银行股份有限公司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100,000,000.00</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江苏银行股份有限公司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163,490.64</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江苏银行股份有限公司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1,210,553.50</w:t>
            </w:r>
          </w:p>
        </w:tc>
      </w:tr>
    </w:tbl>
    <w:p>
      <w:pPr>
        <w:pStyle w:val="标题4"/>
        <w:rPr>
          <w:rFonts w:ascii="楷体" w:hAnsi="楷体" w:cs="楷体" w:hint="eastAsia"/>
          <w:sz w:val="21"/>
          <w:szCs w:val="21"/>
        </w:rPr>
      </w:pPr>
      <w:r>
        <w:rPr>
          <w:rFonts w:ascii="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240,755.54</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hAnsi="楷体" w:cs="楷体" w:hint="eastAsia"/>
          <w:sz w:val="21"/>
          <w:szCs w:val="21"/>
        </w:rPr>
      </w:pPr>
    </w:p>
    <w:p>
      <w:pPr>
        <w:rPr>
          <w:rFonts w:ascii="楷体" w:eastAsia="楷体" w:hAnsi="楷体" w:cs="楷体"/>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ind w:firstLine="420" w:firstLineChars="200"/>
        <w:rPr>
          <w:rFonts w:ascii="楷体" w:eastAsia="楷体" w:hAnsi="楷体" w:cs="楷体"/>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bCs/>
          <w:kern w:val="0"/>
          <w:szCs w:val="21"/>
        </w:rPr>
      </w:pPr>
    </w:p>
    <w:p>
      <w:pPr>
        <w:rPr>
          <w:rFonts w:ascii="楷体" w:eastAsia="楷体" w:hAnsi="楷体" w:cs="楷体"/>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6,990,163,001.11</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7,178,323,193.32</w:t>
            </w:r>
          </w:p>
        </w:tc>
      </w:tr>
    </w:tbl>
    <w:p>
      <w:pPr>
        <w:pStyle w:val="标题4"/>
        <w:rPr>
          <w:rFonts w:ascii="楷体" w:hAnsi="楷体" w:cs="楷体"/>
        </w:rPr>
      </w:pPr>
    </w:p>
    <w:p>
      <w:pPr>
        <w:pStyle w:val="标题4"/>
        <w:rPr>
          <w:rFonts w:ascii="楷体" w:hAnsi="楷体" w:cs="楷体"/>
          <w:sz w:val="22"/>
          <w:szCs w:val="24"/>
        </w:rPr>
      </w:pPr>
      <w:r>
        <w:rPr>
          <w:rFonts w:ascii="楷体" w:hAnsi="楷体" w:cs="楷体" w:hint="eastAsia"/>
          <w:sz w:val="22"/>
          <w:szCs w:val="24"/>
        </w:rPr>
        <w:t xml:space="preserve">（七）报告期内单一投资者持有产品份额比例达到或者超过总份额20%的情形</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335"/>
        <w:gridCol w:w="1725"/>
        <w:gridCol w:w="1980"/>
        <w:gridCol w:w="1905"/>
        <w:gridCol w:w="16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335" w:type="dxa"/>
          </w:tcPr>
          <w:p>
            <w:pPr>
              <w:pStyle w:val="标题4"/>
              <w:jc w:val="center"/>
              <w:rPr>
                <w:rFonts w:ascii="楷体" w:hAnsi="楷体" w:cs="楷体"/>
                <w:sz w:val="22"/>
                <w:szCs w:val="24"/>
              </w:rPr>
            </w:pPr>
            <w:r>
              <w:rPr>
                <w:rFonts w:ascii="楷体" w:hAnsi="楷体" w:cs="楷体" w:hint="eastAsia"/>
                <w:sz w:val="22"/>
                <w:szCs w:val="24"/>
              </w:rPr>
              <w:t xml:space="preserve">序号</w:t>
            </w:r>
          </w:p>
        </w:tc>
        <w:tc>
          <w:tcPr>
            <w:tcW w:w="1725" w:type="dxa"/>
          </w:tcPr>
          <w:p>
            <w:pPr>
              <w:pStyle w:val="标题4"/>
              <w:jc w:val="center"/>
              <w:rPr>
                <w:rFonts w:ascii="楷体" w:hAnsi="楷体" w:cs="楷体"/>
                <w:sz w:val="22"/>
                <w:szCs w:val="24"/>
              </w:rPr>
            </w:pPr>
            <w:r>
              <w:rPr>
                <w:rFonts w:ascii="楷体" w:hAnsi="楷体" w:cs="楷体" w:hint="eastAsia"/>
                <w:sz w:val="22"/>
                <w:szCs w:val="24"/>
              </w:rPr>
              <w:t xml:space="preserve">投资者类别</w:t>
            </w:r>
          </w:p>
        </w:tc>
        <w:tc>
          <w:tcPr>
            <w:tcW w:w="1980" w:type="dxa"/>
          </w:tcPr>
          <w:p>
            <w:pPr>
              <w:pStyle w:val="标题4"/>
              <w:jc w:val="center"/>
              <w:rPr>
                <w:rFonts w:ascii="楷体" w:hAnsi="楷体" w:cs="楷体"/>
                <w:sz w:val="22"/>
                <w:szCs w:val="24"/>
              </w:rPr>
            </w:pPr>
            <w:r>
              <w:rPr>
                <w:rFonts w:ascii="楷体" w:hAnsi="楷体" w:cs="楷体" w:hint="eastAsia"/>
                <w:sz w:val="22"/>
                <w:szCs w:val="24"/>
              </w:rPr>
              <w:t xml:space="preserve">期末持有份额</w:t>
            </w:r>
          </w:p>
        </w:tc>
        <w:tc>
          <w:tcPr>
            <w:tcW w:w="1905" w:type="dxa"/>
          </w:tcPr>
          <w:p>
            <w:pPr>
              <w:pStyle w:val="标题4"/>
              <w:jc w:val="center"/>
              <w:rPr>
                <w:rFonts w:ascii="楷体" w:hAnsi="楷体" w:cs="楷体"/>
                <w:sz w:val="22"/>
                <w:szCs w:val="24"/>
              </w:rPr>
            </w:pPr>
            <w:r>
              <w:rPr>
                <w:rFonts w:ascii="楷体" w:hAnsi="楷体" w:cs="楷体" w:hint="eastAsia"/>
                <w:sz w:val="22"/>
                <w:szCs w:val="24"/>
              </w:rPr>
              <w:t xml:space="preserve">份额占比</w:t>
            </w:r>
          </w:p>
        </w:tc>
        <w:tc>
          <w:tcPr>
            <w:tcW w:w="1676" w:type="dxa"/>
          </w:tcPr>
          <w:p>
            <w:pPr>
              <w:pStyle w:val="标题4"/>
              <w:jc w:val="center"/>
              <w:rPr>
                <w:rFonts w:ascii="楷体" w:hAnsi="楷体" w:cs="楷体"/>
                <w:sz w:val="22"/>
                <w:szCs w:val="24"/>
              </w:rPr>
            </w:pPr>
            <w:r>
              <w:rPr>
                <w:rFonts w:ascii="楷体" w:hAnsi="楷体" w:cs="楷体" w:hint="eastAsia"/>
                <w:sz w:val="22"/>
                <w:szCs w:val="24"/>
              </w:rPr>
              <w:t xml:space="preserve">报告期内份额变化情况</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335" w:type="dxa"/>
          </w:tcPr>
          <w:p>
            <w:pPr>
              <w:jc w:val="center"/>
              <w:rPr>
                <w:rFonts w:ascii="楷体" w:eastAsia="楷体" w:hAnsi="楷体" w:cs="楷体"/>
                <w:sz w:val="22"/>
              </w:rPr>
            </w:pPr>
            <w:r>
              <w:rPr>
                <w:rFonts w:ascii="楷体" w:eastAsia="楷体" w:hAnsi="楷体" w:cs="楷体" w:hint="eastAsia"/>
                <w:sz w:val="22"/>
              </w:rPr>
              <w:t xml:space="preserve">-</w:t>
            </w:r>
          </w:p>
        </w:tc>
        <w:tc>
          <w:tcPr>
            <w:tcW w:w="1725" w:type="dxa"/>
          </w:tcPr>
          <w:p>
            <w:pPr>
              <w:jc w:val="center"/>
              <w:rPr>
                <w:rFonts w:ascii="楷体" w:eastAsia="楷体" w:hAnsi="楷体" w:cs="楷体"/>
                <w:sz w:val="22"/>
              </w:rPr>
            </w:pPr>
            <w:r>
              <w:rPr>
                <w:rFonts w:ascii="楷体" w:eastAsia="楷体" w:hAnsi="楷体" w:cs="楷体" w:hint="eastAsia"/>
                <w:sz w:val="22"/>
              </w:rPr>
              <w:t xml:space="preserve">-</w:t>
            </w:r>
          </w:p>
        </w:tc>
        <w:tc>
          <w:tcPr>
            <w:tcW w:w="1980" w:type="dxa"/>
          </w:tcPr>
          <w:p>
            <w:pPr>
              <w:jc w:val="center"/>
              <w:rPr>
                <w:rFonts w:ascii="楷体" w:eastAsia="楷体" w:hAnsi="楷体" w:cs="楷体"/>
                <w:sz w:val="22"/>
              </w:rPr>
            </w:pPr>
            <w:r>
              <w:rPr>
                <w:rFonts w:ascii="楷体" w:eastAsia="楷体" w:hAnsi="楷体" w:cs="楷体" w:hint="eastAsia"/>
                <w:sz w:val="22"/>
              </w:rPr>
              <w:t xml:space="preserve">-</w:t>
            </w:r>
          </w:p>
        </w:tc>
        <w:tc>
          <w:tcPr>
            <w:tcW w:w="1905" w:type="dxa"/>
          </w:tcPr>
          <w:p>
            <w:pPr>
              <w:jc w:val="center"/>
              <w:rPr>
                <w:rFonts w:ascii="楷体" w:eastAsia="楷体" w:hAnsi="楷体" w:cs="楷体"/>
                <w:sz w:val="22"/>
              </w:rPr>
            </w:pPr>
            <w:r>
              <w:rPr>
                <w:rFonts w:ascii="楷体" w:eastAsia="楷体" w:hAnsi="楷体" w:cs="楷体" w:hint="eastAsia"/>
                <w:sz w:val="22"/>
              </w:rPr>
              <w:t xml:space="preserve">-</w:t>
            </w:r>
          </w:p>
        </w:tc>
        <w:tc>
          <w:tcPr>
            <w:tcW w:w="1676" w:type="dxa"/>
          </w:tcPr>
          <w:p>
            <w:pPr>
              <w:jc w:val="center"/>
              <w:rPr>
                <w:rFonts w:ascii="楷体" w:eastAsia="楷体" w:hAnsi="楷体" w:cs="楷体"/>
                <w:sz w:val="22"/>
              </w:rPr>
            </w:pPr>
            <w:r>
              <w:rPr>
                <w:rFonts w:ascii="楷体" w:eastAsia="楷体" w:hAnsi="楷体" w:cs="楷体" w:hint="eastAsia"/>
                <w:sz w:val="22"/>
              </w:rPr>
              <w:t xml:space="preserve">-</w:t>
            </w:r>
          </w:p>
        </w:tc>
      </w:tr>
    </w:tbl>
    <w:p>
      <w:pPr>
        <w:pStyle w:val="Heading3"/>
        <w:rPr>
          <w:rFonts w:ascii="楷体" w:hAnsi="楷体" w:cs="楷体"/>
        </w:rPr>
      </w:pPr>
    </w:p>
    <w:p>
      <w:pPr>
        <w:pStyle w:val="Heading3"/>
        <w:rPr>
          <w:rFonts w:ascii="楷体" w:hAnsi="楷体" w:cs="楷体"/>
        </w:rPr>
      </w:pPr>
      <w:r>
        <w:rPr>
          <w:rFonts w:ascii="楷体" w:hAnsi="楷体" w:cs="楷体" w:hint="eastAsia"/>
        </w:rPr>
        <w:t xml:space="preserve">四</w:t>
      </w:r>
      <w:r>
        <w:rPr>
          <w:rFonts w:ascii="楷体" w:hAnsi="楷体" w:cs="楷体" w:hint="eastAsia"/>
          <w:lang w:eastAsia="zh-CN"/>
        </w:rPr>
        <w:t xml:space="preserve">、</w:t>
      </w:r>
      <w:r>
        <w:rPr>
          <w:rFonts w:ascii="楷体" w:hAnsi="楷体" w:cs="楷体" w:hint="eastAsia"/>
        </w:rPr>
        <w:t xml:space="preserve">投资运作情况</w:t>
      </w:r>
    </w:p>
    <w:p>
      <w:pPr>
        <w:pStyle w:val="Heading3"/>
        <w:rPr>
          <w:rFonts w:ascii="楷体" w:hAnsi="楷体" w:cs="楷体"/>
          <w:b w:val="0"/>
          <w:sz w:val="21"/>
        </w:rPr>
      </w:pPr>
      <w:r>
        <w:rPr>
          <w:rFonts w:ascii="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spacing w:val="8"/>
          <w:sz w:val="21"/>
        </w:rPr>
      </w:pPr>
      <w:r>
        <w:rPr>
          <w:rFonts w:ascii="楷体" w:eastAsia="楷体" w:hAnsi="楷体" w:cs="楷体" w:hint="eastAsia"/>
          <w:spacing w:val="8"/>
          <w:sz w:val="21"/>
        </w:rPr>
        <w:t xml:space="preserve">    2026年二季度，在党中央坚强领导下，各地区各部门深入贯彻党中央、国务院决策部署，坚持稳中求进工作总基调，宏观政策更加积极有为。国民经济延续总体平稳、稳中有进的发展态势，生产供给稳步增长，就业物价总体稳定，高质量发展扎实推进。</w:t>
      </w:r>
      <w:r>
        <w:rPr>
          <w:rFonts w:ascii="楷体" w:eastAsia="楷体" w:hAnsi="楷体" w:cs="楷体" w:hint="eastAsia"/>
          <w:spacing w:val="8"/>
          <w:sz w:val="21"/>
        </w:rPr>
        <w:br/>
      </w:r>
      <w:r>
        <w:rPr>
          <w:rFonts w:ascii="楷体" w:eastAsia="楷体" w:hAnsi="楷体" w:cs="楷体" w:hint="eastAsia"/>
          <w:spacing w:val="8"/>
          <w:sz w:val="21"/>
        </w:rPr>
        <w:t xml:space="preserve">    从经济基本面看，二季度经济顶住压力运行在合理区间，但供强需弱矛盾仍然存在。初步核算，上半年国内生产总值同比增长4.7%，其中二季度同比增长4.3%、环比增长0.9%；规模以上工业增加值同比增长5.4%，服务业增加值增长5.2%，社会消费品零售总额增长1.3%，固定资产投资下降5.7%，其中房地产开发投资下降18.0%。CPI同比上涨1.0%，核心CPI上涨1.2%，全国城镇调查失业率平均值为5.2%；6月制造业PMI为50.3%，景气水平有所改善。生产端较快增长，服务业和新动能支撑较强；需求端修复偏弱，地产仍是主要拖累。价格就业总体平稳，货币政策需保持支持性取向。债券市场方面，二季度收益率总体震荡下行。4月初受超长期特别国债供给预期等因素扰动，10年期国债收益率在1.81%—1.82%附近高位震荡；4月中下旬资金面转松、配置需求增强，收益率回落至1.74%以下。5月基本面数据偏弱、MLF超额续作推动债市再度走强，10年期国债收益率下行至1.71%附近。6月多空因素交织，长端利率在1.70%—1.75%区间震荡，季末10年期和1年期国债收益率分别收于1.73%和1.12%左右，期限利差走阔；信用利差总体处于低位。</w:t>
      </w:r>
      <w:r>
        <w:rPr>
          <w:rFonts w:ascii="楷体" w:eastAsia="楷体" w:hAnsi="楷体" w:cs="楷体" w:hint="eastAsia"/>
          <w:spacing w:val="8"/>
          <w:sz w:val="21"/>
        </w:rPr>
        <w:br/>
      </w:r>
      <w:r>
        <w:rPr>
          <w:rFonts w:ascii="楷体" w:eastAsia="楷体" w:hAnsi="楷体" w:cs="楷体" w:hint="eastAsia"/>
          <w:spacing w:val="8"/>
          <w:sz w:val="21"/>
        </w:rPr>
        <w:t xml:space="preserve">    报告期内，管理人严格遵循监管要求，持续加强对现金管理类产品的信用风险、久期风险、集中度风险和流动性风险的管控。资产配置策略主要集中于低风险资产，如银行存款、回购、同业存单及证券公司债，结合适度的杠杆运用和梯形策略，确保在不同资产类别和期限之间实现合理的均衡，最大程度地降低风险。针对产品流动性相对充裕的特征，管理人在二季度维持了较高久期策略，产品久期保持在指标上沿区间左右，重点配置同业存单和高评级信用债，并结合季末资金面变化适度增加回购类资产配置，有效稳固了产品静态收益。管理人在资产配置上灵活应对，密切关注宏观经济变化，从而及时调整投资组合。管理人通过灵活的资产配置和恰当的投资策略，确保了现金管理类产品在复杂市场环境下的稳健表现，为投资者提供了更为可靠的收益保障。</w:t>
      </w:r>
    </w:p>
    <w:p>
      <w:pPr>
        <w:pStyle w:val="BodyText"/>
        <w:spacing w:before="43" w:line="275" w:lineRule="auto"/>
        <w:ind w:right="1799" w:firstLine="226" w:firstLineChars="100"/>
        <w:rPr>
          <w:rFonts w:ascii="楷体" w:eastAsia="楷体" w:hAnsi="楷体" w:cs="楷体"/>
          <w:spacing w:val="8"/>
          <w:sz w:val="21"/>
        </w:rPr>
      </w:pPr>
    </w:p>
    <w:p>
      <w:pPr>
        <w:pStyle w:val="Heading3"/>
        <w:rPr>
          <w:rFonts w:ascii="楷体" w:hAnsi="楷体" w:cs="楷体"/>
          <w:b w:val="0"/>
          <w:sz w:val="21"/>
        </w:rPr>
      </w:pPr>
      <w:r>
        <w:rPr>
          <w:rFonts w:ascii="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sz w:val="21"/>
        </w:rPr>
      </w:pPr>
      <w:r>
        <w:rPr>
          <w:rFonts w:ascii="楷体" w:eastAsia="楷体" w:hAnsi="楷体" w:cs="楷体" w:hint="eastAsia"/>
          <w:spacing w:val="9"/>
          <w:sz w:val="21"/>
        </w:rPr>
        <w:t xml:space="preserve">    展望2026年三季度，国内经济有望在积极财政政策和适度宽松货币政策支持下保持平稳运行，但内需恢复、物价、政府债券供给和风险偏好仍可能带来阶段性扰动。预计流动性合理充裕，债券收益率低位震荡，短端受资金面支撑，长端对稳增长政策和供给节奏更为敏感。债市趋势性空间收窄，关注票息、套息及收益率波动带来的结构性机会。</w:t>
      </w:r>
      <w:r>
        <w:rPr>
          <w:rFonts w:ascii="楷体" w:eastAsia="楷体" w:hAnsi="楷体" w:cs="楷体" w:hint="eastAsia"/>
          <w:spacing w:val="9"/>
          <w:sz w:val="21"/>
        </w:rPr>
        <w:br/>
      </w:r>
      <w:r>
        <w:rPr>
          <w:rFonts w:ascii="楷体" w:eastAsia="楷体" w:hAnsi="楷体" w:cs="楷体" w:hint="eastAsia"/>
          <w:spacing w:val="9"/>
          <w:sz w:val="21"/>
        </w:rPr>
        <w:t xml:space="preserve">    后续，本产品管理人将坚持稳健审慎的投资策略，严格遵照监管要求，重点配置高信用等级、流动性良好的标准化债权资产和货币市场工具，灵活把握存款、回购、同业存单和高等级债券的配置时点，审慎管理久期、杠杆和集中度，在满足流动性需求的前提下争取较好收益。</w:t>
      </w:r>
    </w:p>
    <w:p>
      <w:pPr>
        <w:ind w:firstLine="420" w:firstLineChars="200"/>
        <w:rPr>
          <w:rFonts w:ascii="楷体" w:eastAsia="楷体" w:hAnsi="楷体" w:cs="楷体"/>
          <w:bCs/>
          <w:kern w:val="0"/>
          <w:szCs w:val="21"/>
        </w:rPr>
      </w:pPr>
    </w:p>
    <w:p>
      <w:pPr>
        <w:pStyle w:val="Heading3"/>
        <w:rPr>
          <w:rFonts w:ascii="楷体" w:hAnsi="楷体" w:cs="楷体"/>
          <w:b w:val="0"/>
          <w:sz w:val="21"/>
        </w:rPr>
      </w:pPr>
      <w:r>
        <w:rPr>
          <w:rFonts w:ascii="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sz w:val="21"/>
        </w:rPr>
      </w:pPr>
      <w:r>
        <w:rPr>
          <w:rFonts w:ascii="楷体" w:eastAsia="楷体" w:hAnsi="楷体" w:cs="楷体" w:hint="eastAsia"/>
          <w:spacing w:val="9"/>
          <w:sz w:val="21"/>
        </w:rPr>
        <w:t xml:space="preserve">    2026年二季度，市场流动性整体合理充裕。本产品配置银行存款、回购和政策性金融债等高流动性资产，根据申赎和资金面变化合理安排资产期限，做好季末资金安排，满足投资者赎回需求。</w:t>
      </w:r>
      <w:r>
        <w:rPr>
          <w:rFonts w:ascii="楷体" w:eastAsia="楷体" w:hAnsi="楷体" w:cs="楷体" w:hint="eastAsia"/>
          <w:spacing w:val="9"/>
          <w:sz w:val="21"/>
        </w:rPr>
        <w:br/>
      </w:r>
      <w:r>
        <w:rPr>
          <w:rFonts w:ascii="楷体" w:eastAsia="楷体" w:hAnsi="楷体" w:cs="楷体" w:hint="eastAsia"/>
          <w:spacing w:val="9"/>
          <w:sz w:val="21"/>
        </w:rPr>
        <w:t xml:space="preserve">    展望后市，本产品将持续跟踪申赎和资金面变化，保持充足的高流动性资产，审慎安排资产到期与融资期限，做好流动性预案。</w:t>
      </w:r>
    </w:p>
    <w:p>
      <w:pPr>
        <w:ind w:firstLine="420" w:firstLineChars="200"/>
        <w:rPr>
          <w:rFonts w:ascii="楷体" w:eastAsia="楷体" w:hAnsi="楷体" w:cs="楷体"/>
          <w:bCs/>
          <w:kern w:val="0"/>
          <w:szCs w:val="21"/>
        </w:rPr>
      </w:pPr>
    </w:p>
    <w:p>
      <w:pPr>
        <w:rPr>
          <w:rFonts w:ascii="楷体" w:eastAsia="楷体" w:hAnsi="楷体" w:cs="楷体"/>
        </w:rPr>
      </w:pPr>
    </w:p>
    <w:p>
      <w:pPr>
        <w:ind w:firstLine="420" w:firstLineChars="200"/>
        <w:rPr>
          <w:rFonts w:ascii="楷体" w:eastAsia="楷体" w:hAnsi="楷体" w:cs="楷体"/>
          <w:bCs/>
          <w:kern w:val="0"/>
          <w:szCs w:val="21"/>
        </w:rPr>
      </w:pPr>
    </w:p>
    <w:p>
      <w:pPr>
        <w:rPr>
          <w:rFonts w:ascii="楷体" w:eastAsia="楷体" w:hAnsi="楷体" w:cs="楷体"/>
          <w:sz w:val="15"/>
          <w:szCs w:val="15"/>
        </w:rPr>
      </w:pPr>
    </w:p>
    <w:p>
      <w:pPr>
        <w:jc w:val="right"/>
        <w:rPr>
          <w:rFonts w:ascii="楷体" w:eastAsia="楷体" w:hAnsi="楷体" w:cs="楷体"/>
          <w:b/>
          <w:bCs/>
          <w:sz w:val="21"/>
          <w:szCs w:val="21"/>
        </w:rPr>
      </w:pPr>
      <w:r>
        <w:rPr>
          <w:rFonts w:ascii="楷体" w:eastAsia="楷体" w:hAnsi="楷体" w:cs="楷体" w:hint="eastAsia"/>
          <w:b/>
          <w:bCs/>
          <w:sz w:val="21"/>
          <w:szCs w:val="21"/>
        </w:rPr>
        <w:t xml:space="preserve">苏银理财有限责任公司</w:t>
      </w:r>
    </w:p>
    <w:p>
      <w:pPr>
        <w:jc w:val="right"/>
        <w:rPr>
          <w:rFonts w:ascii="楷体" w:eastAsia="楷体" w:hAnsi="楷体" w:cs="楷体"/>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525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525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526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526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2026-07-02T02:29:54Z</dcterms:modified>
  <cp:revision>29</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446</Words>
  <Characters>2544</Characters>
  <Lines>21</Lines>
  <Paragraphs>5</Paragraphs>
  <TotalTime>0</TotalTime>
  <ScaleCrop>false</ScaleCrop>
  <LinksUpToDate>false</LinksUpToDate>
  <CharactersWithSpaces>2985</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100"/>
    <customShpInfo spid="_x0000_s4097"/>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446</Words>
  <Characters>2544</Characters>
  <Application>WPS Office_11.8.2.11734_F1E327BC-269C-435d-A152-05C5408002CA</Application>
  <DocSecurity>0</DocSecurity>
  <Lines>21</Lines>
  <Paragraphs>5</Paragraphs>
  <Company>WORKGROUP</Company>
  <CharactersWithSpaces>2985</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29</cp:revision>
  <dcterms:created xsi:type="dcterms:W3CDTF">2021-11-18T10:04:00Z</dcterms:created>
  <dcterms:modified xsi:type="dcterms:W3CDTF">2026-07-16T10:10:05Z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