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1"/>
          <w:sz w:val="36"/>
          <w:szCs w:val="36"/>
        </w:rPr>
        <w:t xml:space="preserve">苏银理财启源现金5号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苏银理财启源现金5号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2023年04月27日</w:t>
      </w:r>
      <w:r>
        <w:rPr>
          <w:rFonts w:ascii="楷体" w:eastAsia="楷体" w:hAnsi="楷体" w:cs="楷体" w:hint="eastAsia"/>
        </w:rPr>
        <w:t xml:space="preserve">成立，于</w:t>
      </w:r>
      <w:r>
        <w:rPr>
          <w:rFonts w:ascii="楷体" w:eastAsia="楷体" w:hAnsi="楷体" w:cs="楷体" w:hint="eastAsia"/>
          <w:spacing w:val="-7"/>
        </w:rPr>
        <w:t xml:space="preserve">2023年04月27日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苏银理财启源现金5号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Z7003123000050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6,361,633,539.25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6,361,633,539.25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31000188000526885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6,362,264,345.58</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0.3780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苏银理财启源现金5号B</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0.3671</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1.25%</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苏银理财启源现金5号DG</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0.3975</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1.46%</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苏银理财启源现金5号F</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0.3643</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苏银理财启源现金5号H</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0.3782</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苏银理财启源现金5号J</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0.3780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苏银理财启源现金5号JS鑫福款</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0.3780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苏银理财启源现金5号K</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0.3780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苏银理财启源现金5号N</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0.3782</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苏银理财启源现金5号P</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0.3780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苏银理财启源现金5号S</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0.3780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苏银理财启源现金5号T</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0.3780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苏银理财启源现金5号W</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0.2959</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0.99%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苏银理财启源现金5号X</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0.3643</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苏银理财启源现金5号Z</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0.3780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52.24%</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47.76%</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2</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4</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52.24%</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47.76%</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769,648,778.50</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12.05%</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2</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25农发清发02</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200,920,479.62</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3.14%</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3</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银行存款20260317</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200,918,667.02</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3.14%</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4</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25建设银行CD337</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199,563,702.60</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3.12%</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5</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25农业银行CD333</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199,220,981.46</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3.12%</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6</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26北京银行CD037</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197,797,073.80</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3.10%</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7</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25进出清发02</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101,126,336.26</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1.58%</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8</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24农发清发32</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101,002,659.55</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1.58%</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9</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25国泰海通CP013</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100,989,589.04</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1.58%</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10</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25徽商银行CD116</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99,972,774.28</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1.56%</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1,160,107.95</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519,700,440.20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441.84</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348,544.79</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39,938.00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6,361,633,539.25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9,676,260,940.55</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二季度，在党中央坚强领导下，各地区各部门深入贯彻党中央、国务院决策部署，坚持稳中求进工作总基调，宏观政策更加积极有为。国民经济延续总体平稳、稳中有进的发展态势，生产供给稳步增长，就业物价总体稳定，高质量发展扎实推进。</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二季度经济顶住压力运行在合理区间，但供强需弱矛盾仍然存在。初步核算，上半年国内生产总值同比增长4.7%，其中二季度同比增长4.3%、环比增长0.9%；规模以上工业增加值同比增长5.4%，服务业增加值增长5.2%，社会消费品零售总额增长1.3%，固定资产投资下降5.7%，其中房地产开发投资下降18.0%。CPI同比上涨1.0%，核心CPI上涨1.2%，全国城镇调查失业率平均值为5.2%；6月制造业PMI为50.3%，景气水平有所改善。生产端较快增长，服务业和新动能支撑较强；需求端修复偏弱，地产仍是主要拖累。价格就业总体平稳，货币政策需保持支持性取向。债券市场方面，二季度收益率总体震荡下行。4月初受超长期特别国债供给预期等因素扰动，10年期国债收益率在1.81%—1.82%附近高位震荡；4月中下旬资金面转松、配置需求增强，收益率回落至1.74%以下。5月基本面数据偏弱、MLF超额续作推动债市再度走强，10年期国债收益率下行至1.71%附近。6月多空因素交织，长端利率在1.70%—1.75%区间震荡，季末10年期和1年期国债收益率分别收于1.73%和1.12%左右，期限利差走阔；信用利差总体处于低位。</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管控。资产配置策略主要集中于低风险资产，如银行存款、同业存单、利率债及高等级信用债，结合审慎的久期管理和梯形配置，确保在不同资产类别和期限之间实现合理均衡。面对二季度债券收益率震荡下行的市场环境，管理人以同业存单和利率债为主要底仓，结合资金面和负债端变化灵活安排银行存款，并适度配置资管计划，兼顾组合收益和流动性管理。此外，本产品采用久期策略、交易策略以及货基增强策略，努力获取一定的超额收益。管理人密切关注宏观经济变化，及时调整投资组合。通过灵活的资产配置和恰当的投资策略，产品保持稳健运作，实现安全性、流动性和收益性的平衡。</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三季度，国内经济有望在积极财政政策和适度宽松货币政策支持下保持平稳运行，但内需恢复、物价、政府债券供给和风险偏好仍可能带来阶段性扰动。预计流动性合理充裕，债券收益率低位震荡，短端受资金面支撑，长端对稳增长政策和供给节奏更为敏感。债市趋势性空间收窄，关注票息、套息及收益率波动带来的结构性机会。</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坚持稳健审慎的投资策略，严格遵照监管要求，重点配置高信用等级、流动性良好的标准化债权资产和货币市场工具，灵活把握存款、回购、同业存单和高等级债券的配置时点，审慎管理久期、杠杆和集中度，在满足流动性需求的前提下争取较好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2026年二季度，市场流动性整体合理充裕。本产品配置银行存款、同业存单和政策性金融债等高流动性资产，根据申赎和资金面变化合理安排资产期限，做好季末资金安排，满足投资者赎回需求。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展望后市，本产品将持续跟踪申赎和资金面变化，保持充足的高流动性资产，审慎安排资产到期与融资期限，做好流动性预案。</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522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523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523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523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2026-07-02T02:29:54Z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Office_11.8.2.11734_F1E327BC-269C-435d-A152-05C5408002CA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29</cp:revision>
  <dcterms:created xsi:type="dcterms:W3CDTF">2021-11-18T10:04:00Z</dcterms:created>
  <dcterms:modified xsi:type="dcterms:W3CDTF">2026-07-16T10:09:38Z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