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1"/>
          <w:sz w:val="36"/>
          <w:szCs w:val="36"/>
        </w:rPr>
        <w:t xml:space="preserve">苏银理财启源现金1号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2018年08月30日</w:t>
      </w:r>
      <w:r>
        <w:rPr>
          <w:rFonts w:ascii="楷体" w:eastAsia="楷体" w:hAnsi="楷体" w:cs="楷体" w:hint="eastAsia"/>
        </w:rPr>
        <w:t xml:space="preserve">成立，于</w:t>
      </w:r>
      <w:r>
        <w:rPr>
          <w:rFonts w:ascii="楷体" w:eastAsia="楷体" w:hAnsi="楷体" w:cs="楷体" w:hint="eastAsia"/>
          <w:spacing w:val="-7"/>
        </w:rPr>
        <w:t xml:space="preserve">2018年08月30日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Z7003121000014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28,141,376,741.27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28,141,376,741.27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31000188000310268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31,445,181,614.81</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111.74%</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0.3078</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1.09%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苏银理财启源现金1号B</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0.3626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苏银理财启源现金1号C</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0.3626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苏银理财启源现金1号D</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0.3626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苏银理财启源现金1号DG</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0.3215</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1.14%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苏银理财启源现金1号DG2</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0.3862</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1.47%</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苏银理财启源现金1号DG3</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0.4009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苏银理财启源现金1号DG4</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0.3928</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苏银理财启源现金1号E</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0.3269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1.16%</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苏银理财启源现金1号F</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0.3215</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1.14%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苏银理财启源现金1号G</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0.3160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1.12%</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苏银理财启源现金1号H</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0.3215</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1.14%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苏银理财启源现金1号I</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0.3626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苏银理财启源现金1号J</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0.3215</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1.14%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苏银理财启源现金1号K</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0.3078</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1.09%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苏银理财启源现金1号M</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0.3735</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苏银理财启源现金1号N</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0.3626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苏银理财启源现金1号O</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0.3626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2.50%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苏银理财启源现金1号P</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0.3626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苏银理财启源现金1号Q</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0.3626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苏银理财启源现金1号R</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0.6837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2.53%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苏银理财启源现金1号S</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0.3215</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1.14%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苏银理财启源现金1号T</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0.3626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苏银理财启源现金1号TY</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0.4256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1.56%</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苏银理财启源现金1号U</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0.6837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2.53%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苏银理财启源现金1号V</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0.6837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2.53%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苏银理财启源现金1号W</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0.2475</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0.87%</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苏银理财启源现金1号WS</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0.2941</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1.04%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苏银理财启源现金1号X</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0.3078</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1.09%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苏银理财启源现金1号（代发专享）</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0.3626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70.18%</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29.82%</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4</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70.18%</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29.82%</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2,630,984,563.71</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8.32%</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2</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25进出61</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1,420,953,220.08</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4.49%</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3</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16国开13</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791,637,586.25</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2.50%</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4</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23进出13</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744,911,270.96</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2.36%</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5</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22进出15</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507,354,210.66</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1.60%</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6</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23农发13</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408,199,799.97</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1.29%</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7</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26北京银行CD035</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395,624,521.12</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1.25%</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8</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24北京银行03</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393,480,829.69</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1.24%</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9</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22农发02</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376,325,173.96</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1.19%</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10</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21国开08</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369,075,300.43</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1.17%</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440,380,203.50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969.90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20,862.74</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华泰证券股份有限公司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281,389,328.35</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6,426,984.66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1,415,929.86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21,000,000.00</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4,863,318.00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28,141,376,741.27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27,642,054,380.87</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二季度，在党中央坚强领导下，各地区各部门深入贯彻党中央、国务院决策部署，坚持稳中求进工作总基调，宏观政策更加积极有为。国民经济延续总体平稳、稳中有进的发展态势，生产供给稳步增长，就业物价总体稳定，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二季度经济顶住压力运行在合理区间，但供强需弱矛盾仍然存在。初步核算，上半年国内生产总值同比增长4.7%，其中二季度同比增长4.3%、环比增长0.9%；规模以上工业增加值同比增长5.4%，服务业增加值增长5.2%，社会消费品零售总额增长1.3%，固定资产投资下降5.7%，其中房地产开发投资下降18.0%。CPI同比上涨1.0%，核心CPI上涨1.2%，全国城镇调查失业率平均值为5.2%；6月制造业PMI为50.3%，景气水平有所改善。生产端较快增长，服务业和新动能支撑较强；需求端修复偏弱，地产仍是主要拖累。价格就业总体平稳，货币政策需保持支持性取向。债券市场方面，二季度收益率总体震荡下行。4月初受超长期特别国债供给预期等因素扰动，10年期国债收益率在1.81%—1.82%附近高位震荡；4月中下旬资金面转松、配置需求增强，收益率回落至1.74%以下。5月基本面数据偏弱、MLF超额续作推动债市再度走强，10年期国债收益率下行至1.71%附近。6月多空因素交织，长端利率在1.70%—1.75%区间震荡，季末10年期和1年期国债收益率分别收于1.73%和1.12%左右，期限利差走阔；信用利差总体处于低位。</w:t>
      </w:r>
      <w:r>
        <w:rPr>
          <w:rFonts w:ascii="楷体" w:eastAsia="楷体" w:hAnsi="楷体" w:cs="楷体" w:hint="eastAsia"/>
          <w:spacing w:val="8"/>
          <w:sz w:val="21"/>
        </w:rPr>
        <w:br/>
      </w:r>
      <w:r>
        <w:rPr>
          <w:rFonts w:ascii="楷体" w:eastAsia="楷体" w:hAnsi="楷体" w:cs="楷体" w:hint="eastAsia"/>
          <w:spacing w:val="8"/>
          <w:sz w:val="21"/>
        </w:rPr>
        <w:t xml:space="preserve">    报告期内，债券市场震荡走强。管理人积极对照监管要求，严格管控现金管理类产品的信用风险、久期风险、集中度风险和流动性风险。在资产配置策略上选择以同业存单、利率债、回购和银行存款等低风险资产为主。二季度根据市场流动性环境和负债端情况灵活调整，结合资金面变化合理安排存款和回购配置比例，控制资产稀释速度；在收益率震荡下行的过程中，结合组合配置需要择机配置债券类资产，兼顾资产类别和期限的总体均衡，较好地把握了波段性机会。此外，本产品采用较多的杠杆策略、交易策略以及货基增强策略，努力获取一定的超额收益，在满足投资者流动性需求的同时保持产品稳健运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三季度，国内经济有望在积极财政政策和适度宽松货币政策支持下保持平稳运行，但内需恢复、物价、政府债券供给和风险偏好仍可能带来阶段性扰动。预计流动性合理充裕，债券收益率低位震荡，短端受资金面支撑，长端对稳增长政策和供给节奏更为敏感。债市趋势性空间收窄，关注票息、套息及收益率波动带来的结构性机会。</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坚持稳健审慎的投资策略，严格遵照监管要求，重点配置高信用等级、流动性良好的标准化债权资产和货币市场工具，灵活把握存款、回购、同业存单和高等级债券的配置时点，审慎管理久期、杠杆和集中度，在满足流动性需求的前提下争取较好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2026年二季度，市场流动性整体合理充裕。本产品配置银行存款、政策性金融债、同业存单等高流动性资产，动态管理久期和杠杆，做好季末资金安排，满足投资者赎回需求。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展望后市，本产品将持续跟踪申赎和资金面变化，保持充足的高流动性资产，审慎安排资产到期与融资期限，做好流动性预案。</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520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520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520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520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2026-07-02T02:29:54Z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2026-07-16T10:09:14Z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