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E540D">
      <w:pPr>
        <w:spacing w:before="240" w:after="72" w:line="360" w:lineRule="auto"/>
        <w:rPr>
          <w:rFonts w:asciiTheme="minorEastAsia" w:eastAsiaTheme="minorEastAsia" w:hAnsiTheme="minorEastAsia"/>
        </w:rPr>
      </w:pP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南银理财添瑞日日聚宝2号现金管理类公募人民币理财产品</w:t>
      </w:r>
    </w:p>
    <w:p w:rsidR="004E540D" w:rsidRDefault="00476046">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E540D">
      <w:pPr>
        <w:spacing w:before="240" w:after="72" w:line="360" w:lineRule="auto"/>
        <w:jc w:val="center"/>
        <w:rPr>
          <w:rFonts w:ascii="方正黑体简体" w:eastAsia="方正黑体简体"/>
          <w:sz w:val="36"/>
          <w:szCs w:val="36"/>
        </w:rPr>
      </w:pP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E540D" w:rsidRDefault="00476046">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E540D" w:rsidRDefault="004E540D">
      <w:pPr>
        <w:spacing w:before="240" w:after="72" w:line="360" w:lineRule="auto"/>
        <w:rPr>
          <w:rFonts w:ascii="方正黑体简体" w:eastAsia="方正黑体简体"/>
          <w:sz w:val="36"/>
          <w:szCs w:val="36"/>
        </w:rPr>
      </w:pPr>
    </w:p>
    <w:p w:rsidR="004E540D" w:rsidRDefault="004E540D">
      <w:pPr>
        <w:spacing w:before="240" w:after="72" w:line="360" w:lineRule="auto"/>
        <w:rPr>
          <w:rFonts w:ascii="方正黑体简体" w:eastAsia="方正黑体简体"/>
          <w:sz w:val="36"/>
          <w:szCs w:val="36"/>
        </w:rPr>
      </w:pPr>
    </w:p>
    <w:p w:rsidR="004E540D" w:rsidRDefault="00476046">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南银理财添瑞日日聚宝2号现金管理类公募人民币理财产品</w:t>
            </w:r>
          </w:p>
        </w:tc>
      </w:tr>
      <w:tr w:rsidR="004E540D">
        <w:trPr>
          <w:trHeight w:val="1300"/>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2,961,889,634.66</w:t>
            </w:r>
            <w:r>
              <w:rPr>
                <w:rFonts w:ascii="方正仿宋简体" w:eastAsia="方正仿宋简体" w:hint="eastAsia"/>
                <w:sz w:val="24"/>
                <w:szCs w:val="24"/>
              </w:rPr>
              <w:t>份</w:t>
            </w:r>
          </w:p>
        </w:tc>
      </w:tr>
      <w:tr w:rsidR="004E540D">
        <w:trPr>
          <w:trHeight w:val="688"/>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上海国际信托有限公司,中诚信托有限责任公司,华润深国投信托有限公司,陆家嘴国际信托有限公司,安徽国元信托有限责任公司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E540D">
        <w:trPr>
          <w:trHeight w:val="714"/>
        </w:trPr>
        <w:tc>
          <w:tcPr>
            <w:tcW w:w="2719"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E540D" w:rsidRDefault="00476046" w:rsidP="006E150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E540D" w:rsidRDefault="004E540D">
      <w:pPr>
        <w:spacing w:before="240" w:after="72" w:line="360" w:lineRule="auto"/>
        <w:rPr>
          <w:rFonts w:ascii="方正仿宋_GBK" w:eastAsia="方正仿宋_GBK" w:hAnsi="宋体" w:cs="宋体"/>
          <w:kern w:val="0"/>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E540D" w:rsidRDefault="00476046">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4E540D">
        <w:trPr>
          <w:trHeight w:val="699"/>
          <w:jc w:val="center"/>
        </w:trPr>
        <w:tc>
          <w:tcPr>
            <w:tcW w:w="1838"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4E540D">
        <w:trPr>
          <w:trHeight w:val="1697"/>
          <w:jc w:val="center"/>
        </w:trPr>
        <w:tc>
          <w:tcPr>
            <w:tcW w:w="1838" w:type="dxa"/>
            <w:vMerge/>
            <w:vAlign w:val="center"/>
          </w:tcPr>
          <w:p w:rsidR="004E540D" w:rsidRDefault="004E540D" w:rsidP="006E1508">
            <w:pPr>
              <w:spacing w:beforeLines="20" w:afterLines="20"/>
              <w:jc w:val="center"/>
              <w:rPr>
                <w:rFonts w:ascii="方正仿宋简体" w:eastAsia="方正仿宋简体"/>
                <w:sz w:val="24"/>
                <w:szCs w:val="24"/>
              </w:rPr>
            </w:pPr>
          </w:p>
        </w:tc>
        <w:tc>
          <w:tcPr>
            <w:tcW w:w="269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336,303,187.48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93,353,839.09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A21103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1,145,745,683.77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A21203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285,725,172.75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A21303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6,358,551.88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398,132,437.98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574,923,984.55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A26003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3,758,254.05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A27003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116,969,210.52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A28003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619,312.59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rsidR="004E540D" w:rsidRDefault="00476046">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地缘冲突边际缓和，输入性通胀压力有所减轻。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w:t>
        <w:br w:type="textWrapping" w:clear="all"/>
      </w:r>
      <w:r>
        <w:rPr>
          <w:rFonts w:ascii="方正仿宋简体" w:eastAsia="方正仿宋简体" w:hint="eastAsia"/>
          <w:sz w:val="24"/>
          <w:szCs w:val="24"/>
        </w:rPr>
        <w:t>  操作方面，产品将严守流动性安全与信用风险底线，深挖短久期品种配置价值，增配高评级同业存单、定期存款等优质标的，灵活运用杠杆增厚收益；同时强化资产甄选能力，动态优化组合久期与资产结构，兼顾流动性、收益性与安全性，以稳健操作保障组合收益稳定，持续提升客户投资体验。</w:t>
      </w:r>
      <w:r>
        <w:rPr>
          <w:rFonts w:ascii="方正仿宋简体" w:eastAsia="方正仿宋简体" w:hint="eastAsia"/>
          <w:sz w:val="24"/>
          <w:szCs w:val="24"/>
        </w:rPr>
        <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E540D" w:rsidRDefault="00476046">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E540D" w:rsidRDefault="00476046">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20003份额净值为1.0000元，A21003份额净值为1.0000元，A21103份额净值为1.0000元，A21203份额净值为1.0000元，A21303份额净值为1.0000元，A23003份额净值为1.0000元，A24003份额净值为1.0000元，A26003份额净值为1.0000元，A27003份额净值为1.0000元，A28003份额净值为1.0000</w:t>
      </w:r>
      <w:r>
        <w:rPr>
          <w:rFonts w:ascii="方正仿宋简体" w:eastAsia="方正仿宋简体" w:hint="eastAsia"/>
          <w:sz w:val="24"/>
          <w:szCs w:val="24"/>
        </w:rPr>
        <w:t>元。</w:t>
      </w:r>
    </w:p>
    <w:p w:rsidR="004E540D" w:rsidRDefault="004E540D">
      <w:pPr>
        <w:spacing w:before="240" w:after="72" w:line="360" w:lineRule="auto"/>
        <w:rPr>
          <w:rFonts w:ascii="方正仿宋_GBK" w:eastAsia="方正仿宋_GBK" w:hAnsi="宋体"/>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E540D">
        <w:tc>
          <w:tcPr>
            <w:tcW w:w="745"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4E540D" w:rsidRDefault="004E540D">
      <w:pPr>
        <w:spacing w:before="240" w:after="72" w:line="360" w:lineRule="auto"/>
        <w:rPr>
          <w:rFonts w:ascii="方正仿宋_GBK" w:eastAsia="方正仿宋_GBK"/>
          <w:sz w:val="24"/>
          <w:szCs w:val="24"/>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4E540D">
        <w:trPr>
          <w:trHeight w:val="1233"/>
          <w:jc w:val="center"/>
        </w:trPr>
        <w:tc>
          <w:tcPr>
            <w:tcW w:w="75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ZJQTT202603130021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上海信托睿享1号集合资金信托计划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494,367,249.52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ZJQTT202508180025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426,373,979.23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240,078,543.01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148,397,120.36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ZJQTT202602130002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131,133,560.05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102382094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23招商蛇口MTN001A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100,128,918.32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DQCKX202510130002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徽商银行定期存款20251013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吉林银行定期存款20251204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IBD20260616300123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江苏银行定期存款20251204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4E540D">
        <w:trPr>
          <w:trHeight w:val="107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hAnsi="宋体" w:cs="宋体"/>
          <w:sz w:val="24"/>
          <w:szCs w:val="24"/>
          <w:shd w:val="clear" w:color="auto" w:fill="FFFFFF"/>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4E540D">
        <w:trPr>
          <w:trHeight w:val="584"/>
          <w:jc w:val="center"/>
        </w:trPr>
        <w:tc>
          <w:tcPr>
            <w:tcW w:w="846"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0120040000001123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南银理财添瑞日日聚宝2号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4E540D" w:rsidRDefault="004E540D">
      <w:pPr>
        <w:spacing w:afterLines="0" w:line="360" w:lineRule="auto"/>
        <w:rPr>
          <w:rFonts w:ascii="方正仿宋_GBK" w:eastAsia="方正仿宋_GBK"/>
          <w:sz w:val="24"/>
          <w:szCs w:val="24"/>
        </w:rPr>
      </w:pPr>
    </w:p>
    <w:p w:rsidR="004E540D" w:rsidRDefault="004E540D">
      <w:pPr>
        <w:spacing w:before="240" w:after="72" w:line="360" w:lineRule="auto"/>
        <w:jc w:val="center"/>
        <w:rPr>
          <w:rFonts w:ascii="方正仿宋_GBK" w:eastAsia="方正仿宋_GBK"/>
          <w:b/>
          <w:sz w:val="24"/>
          <w:szCs w:val="24"/>
        </w:rPr>
      </w:pPr>
    </w:p>
    <w:p w:rsidR="004E540D" w:rsidRDefault="00476046">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4E540D" w:rsidRDefault="006E1508">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1</w:t>
      </w:r>
      <w:r w:rsidR="0047604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264722">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.2</w:t>
      </w:r>
      <w:r w:rsidR="0047604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5D35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.3</w:t>
      </w:r>
      <w:r w:rsidR="0047604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E540D">
        <w:trPr>
          <w:trHeight w:val="534"/>
          <w:jc w:val="center"/>
        </w:trPr>
        <w:tc>
          <w:tcPr>
            <w:tcW w:w="877"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E540D">
        <w:trPr>
          <w:trHeight w:val="534"/>
          <w:jc w:val="center"/>
        </w:trPr>
        <w:tc>
          <w:tcPr>
            <w:tcW w:w="877" w:type="dxa"/>
            <w:vMerge/>
            <w:vAlign w:val="center"/>
          </w:tcPr>
          <w:p w:rsidR="004E540D" w:rsidRDefault="004E540D" w:rsidP="006E1508">
            <w:pPr>
              <w:spacing w:beforeLines="20" w:afterLines="20"/>
              <w:jc w:val="center"/>
            </w:pPr>
          </w:p>
        </w:tc>
        <w:tc>
          <w:tcPr>
            <w:tcW w:w="1704" w:type="dxa"/>
            <w:vMerge/>
            <w:vAlign w:val="center"/>
          </w:tcPr>
          <w:p w:rsidR="004E540D" w:rsidRDefault="004E540D" w:rsidP="006E1508">
            <w:pPr>
              <w:spacing w:beforeLines="20" w:afterLines="20"/>
              <w:jc w:val="center"/>
            </w:pPr>
          </w:p>
        </w:tc>
        <w:tc>
          <w:tcPr>
            <w:tcW w:w="1275" w:type="dxa"/>
            <w:vMerge/>
            <w:vAlign w:val="center"/>
          </w:tcPr>
          <w:p w:rsidR="004E540D" w:rsidRDefault="004E540D" w:rsidP="006E1508">
            <w:pPr>
              <w:spacing w:beforeLines="20" w:afterLines="20"/>
              <w:jc w:val="center"/>
            </w:pPr>
          </w:p>
        </w:tc>
        <w:tc>
          <w:tcPr>
            <w:tcW w:w="1540" w:type="dxa"/>
            <w:vMerge/>
            <w:vAlign w:val="center"/>
          </w:tcPr>
          <w:p w:rsidR="004E540D" w:rsidRDefault="004E540D" w:rsidP="006E1508">
            <w:pPr>
              <w:spacing w:beforeLines="20" w:afterLines="20"/>
              <w:jc w:val="center"/>
            </w:pP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E540D" w:rsidRDefault="0047014A">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476046">
        <w:rPr>
          <w:rFonts w:ascii="方正仿宋简体" w:eastAsia="方正仿宋简体" w:hint="eastAsia"/>
          <w:b/>
          <w:sz w:val="24"/>
          <w:szCs w:val="24"/>
        </w:rPr>
        <w:t>.4</w:t>
      </w:r>
      <w:r w:rsidR="0047604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E540D">
        <w:trPr>
          <w:trHeight w:val="1048"/>
          <w:jc w:val="center"/>
        </w:trPr>
        <w:tc>
          <w:tcPr>
            <w:tcW w:w="87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630811.96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124294.79</w:t>
            </w:r>
          </w:p>
        </w:tc>
      </w:tr>
    </w:tbl>
    <w:p w:rsidR="004E540D" w:rsidRDefault="004E540D">
      <w:pPr>
        <w:spacing w:before="240" w:after="72" w:line="360" w:lineRule="auto"/>
        <w:rPr>
          <w:rFonts w:ascii="方正仿宋简体" w:eastAsia="方正仿宋简体"/>
          <w:b/>
          <w:sz w:val="24"/>
          <w:szCs w:val="24"/>
        </w:rPr>
      </w:pPr>
    </w:p>
    <w:p w:rsidR="004E540D" w:rsidRDefault="00476046" w:rsidP="006E150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4E540D">
        <w:tc>
          <w:tcPr>
            <w:tcW w:w="133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4E540D" w:rsidRDefault="00476046" w:rsidP="006E1508">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4E540D" w:rsidRDefault="00476046" w:rsidP="006E1508">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4E540D" w:rsidRDefault="00476046" w:rsidP="006E1508">
            <w:pPr>
              <w:spacing w:before="240" w:after="72"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after="72"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4E540D" w:rsidRDefault="004E540D">
      <w:pPr>
        <w:spacing w:before="240" w:after="72" w:line="360" w:lineRule="auto"/>
        <w:rPr>
          <w:rFonts w:ascii="方正仿宋_GBK" w:eastAsia="方正仿宋_GBK"/>
          <w:b/>
          <w:sz w:val="24"/>
          <w:szCs w:val="24"/>
        </w:rPr>
      </w:pPr>
    </w:p>
    <w:p w:rsidR="004E540D" w:rsidRDefault="00476046">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4E540D" w:rsidRDefault="00476046">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4E540D" w:rsidSect="004E540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046" w:rsidRDefault="00476046" w:rsidP="006E1508">
      <w:pPr>
        <w:spacing w:after="72"/>
      </w:pPr>
      <w:r>
        <w:separator/>
      </w:r>
    </w:p>
  </w:endnote>
  <w:endnote w:type="continuationSeparator" w:id="1">
    <w:p w:rsidR="00476046" w:rsidRDefault="00476046" w:rsidP="006E1508">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framePr w:wrap="around" w:vAnchor="text" w:hAnchor="margin" w:xAlign="center" w:y="1"/>
      <w:spacing w:after="72"/>
      <w:rPr>
        <w:rStyle w:val="a7"/>
      </w:rPr>
    </w:pPr>
    <w:r>
      <w:fldChar w:fldCharType="begin"/>
    </w:r>
    <w:r w:rsidR="00476046">
      <w:rPr>
        <w:rStyle w:val="a7"/>
      </w:rPr>
      <w:instrText xml:space="preserve">PAGE  </w:instrText>
    </w:r>
    <w:r>
      <w:fldChar w:fldCharType="end"/>
    </w:r>
  </w:p>
  <w:p w:rsidR="004E540D" w:rsidRDefault="004E540D">
    <w:pPr>
      <w:pStyle w:val="a4"/>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4"/>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046" w:rsidRDefault="00476046" w:rsidP="006E1508">
      <w:pPr>
        <w:spacing w:after="72"/>
      </w:pPr>
      <w:r>
        <w:separator/>
      </w:r>
    </w:p>
  </w:footnote>
  <w:footnote w:type="continuationSeparator" w:id="1">
    <w:p w:rsidR="00476046" w:rsidRDefault="00476046" w:rsidP="006E1508">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40D" w:rsidRDefault="004E540D">
    <w:pPr>
      <w:pStyle w:val="a5"/>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64722"/>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014A"/>
    <w:rsid w:val="00476046"/>
    <w:rsid w:val="004822D3"/>
    <w:rsid w:val="00486D6C"/>
    <w:rsid w:val="00494CBA"/>
    <w:rsid w:val="004B750B"/>
    <w:rsid w:val="004D15C6"/>
    <w:rsid w:val="004E5012"/>
    <w:rsid w:val="004E540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3524"/>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1508"/>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48F2B43"/>
    <w:rsid w:val="2651710C"/>
    <w:rsid w:val="2A5F3852"/>
    <w:rsid w:val="2C5F4270"/>
    <w:rsid w:val="341F714B"/>
    <w:rsid w:val="3B1F006E"/>
    <w:rsid w:val="4B0132D2"/>
    <w:rsid w:val="57DD4EC8"/>
    <w:rsid w:val="611546EB"/>
    <w:rsid w:val="6C686480"/>
    <w:rsid w:val="6DBF574D"/>
    <w:rsid w:val="73B04A1E"/>
    <w:rsid w:val="7A6723D9"/>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40D"/>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4E540D"/>
    <w:pPr>
      <w:autoSpaceDE w:val="0"/>
      <w:autoSpaceDN w:val="0"/>
      <w:spacing w:afterLines="0"/>
      <w:jc w:val="left"/>
    </w:pPr>
    <w:rPr>
      <w:rFonts w:ascii="宋体" w:hAnsi="宋体" w:cs="宋体"/>
      <w:kern w:val="0"/>
      <w:szCs w:val="21"/>
      <w:lang w:val="zh-CN" w:bidi="zh-CN"/>
    </w:rPr>
  </w:style>
  <w:style w:type="paragraph" w:styleId="a4">
    <w:name w:val="footer"/>
    <w:basedOn w:val="a"/>
    <w:link w:val="Char"/>
    <w:uiPriority w:val="99"/>
    <w:unhideWhenUsed/>
    <w:qFormat/>
    <w:rsid w:val="004E540D"/>
    <w:pPr>
      <w:tabs>
        <w:tab w:val="center" w:pos="4153"/>
        <w:tab w:val="right" w:pos="8306"/>
      </w:tabs>
      <w:snapToGrid w:val="0"/>
      <w:jc w:val="left"/>
    </w:pPr>
    <w:rPr>
      <w:rFonts w:eastAsiaTheme="minorEastAsia"/>
      <w:sz w:val="18"/>
      <w:szCs w:val="18"/>
    </w:rPr>
  </w:style>
  <w:style w:type="paragraph" w:styleId="a5">
    <w:name w:val="header"/>
    <w:basedOn w:val="a"/>
    <w:link w:val="Char0"/>
    <w:uiPriority w:val="99"/>
    <w:unhideWhenUsed/>
    <w:qFormat/>
    <w:rsid w:val="004E540D"/>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4E540D"/>
    <w:pPr>
      <w:widowControl/>
      <w:spacing w:before="100" w:beforeAutospacing="1" w:after="100" w:afterAutospacing="1"/>
      <w:jc w:val="left"/>
    </w:pPr>
    <w:rPr>
      <w:rFonts w:ascii="宋体" w:hAnsi="宋体"/>
      <w:kern w:val="0"/>
      <w:sz w:val="24"/>
      <w:szCs w:val="24"/>
    </w:rPr>
  </w:style>
  <w:style w:type="character" w:styleId="a7">
    <w:name w:val="page number"/>
    <w:basedOn w:val="a0"/>
    <w:uiPriority w:val="99"/>
    <w:unhideWhenUsed/>
    <w:qFormat/>
    <w:rsid w:val="004E540D"/>
  </w:style>
  <w:style w:type="character" w:customStyle="1" w:styleId="Char">
    <w:name w:val="页脚 Char"/>
    <w:link w:val="a4"/>
    <w:uiPriority w:val="99"/>
    <w:qFormat/>
    <w:locked/>
    <w:rsid w:val="004E540D"/>
    <w:rPr>
      <w:rFonts w:ascii="Times New Roman" w:hAnsi="Times New Roman" w:cs="Times New Roman"/>
      <w:sz w:val="18"/>
      <w:szCs w:val="18"/>
    </w:rPr>
  </w:style>
  <w:style w:type="character" w:customStyle="1" w:styleId="Char1">
    <w:name w:val="页脚 Char1"/>
    <w:basedOn w:val="a0"/>
    <w:uiPriority w:val="99"/>
    <w:semiHidden/>
    <w:qFormat/>
    <w:rsid w:val="004E540D"/>
    <w:rPr>
      <w:rFonts w:ascii="Times New Roman" w:eastAsia="宋体" w:hAnsi="Times New Roman" w:cs="Times New Roman"/>
      <w:sz w:val="18"/>
      <w:szCs w:val="18"/>
    </w:rPr>
  </w:style>
  <w:style w:type="paragraph" w:customStyle="1" w:styleId="biaogeleft">
    <w:name w:val="biaoge_left"/>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E540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E540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E540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E540D"/>
    <w:pPr>
      <w:jc w:val="both"/>
    </w:pPr>
    <w:rPr>
      <w:kern w:val="2"/>
      <w:sz w:val="21"/>
      <w:szCs w:val="21"/>
    </w:rPr>
  </w:style>
  <w:style w:type="paragraph" w:customStyle="1" w:styleId="biaogeright">
    <w:name w:val="biaoge_right"/>
    <w:basedOn w:val="a"/>
    <w:qFormat/>
    <w:rsid w:val="004E540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E540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4E540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4E540D"/>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5"/>
    <w:uiPriority w:val="99"/>
    <w:qFormat/>
    <w:rsid w:val="004E540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425</Words>
  <Characters>2425</Characters>
  <Application>Microsoft Office Word</Application>
  <DocSecurity>0</DocSecurity>
  <Lines>20</Lines>
  <Paragraphs>5</Paragraphs>
  <ScaleCrop>false</ScaleCrop>
  <Company>cc</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