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00956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00956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00956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00956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00956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00956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00956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00956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00956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00956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0095655e"/>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85d1b3a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85d1b3a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f1a774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南银理财鼎瑞安稳一年定开2025第14期公募人民币理财产品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ZZ700322500293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Z7003225000217(投资者可依据该编码在中国理财网www.chinawealth.com.cn查询理财产品相关信息）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A份额：Z30024</w:t>
            </w:r>
          </w:p>
          <w:p>
            <w:pPr>
              <w:pStyle w:val="null10"/>
              <w:spacing w:lineRule="exact" w:line="200"/>
            </w:pPr>
            <w:r>
              <w:rPr>
                <w:rFonts w:ascii="方正黑体_GBK" w:hAnsi="方正黑体_GBK" w:cs="宋体" w:eastAsia="方正黑体_GBK"/>
                <w:sz w:val="18"/>
                <w:szCs w:val="18"/>
              </w:rPr>
              <w:t>C份额：NYAW001237</w:t>
            </w:r>
          </w:p>
          <w:p>
            <w:pPr>
              <w:pStyle w:val="null10"/>
              <w:spacing w:lineRule="exact" w:line="200"/>
            </w:pPr>
            <w:r>
              <w:rPr>
                <w:rFonts w:ascii="方正黑体_GBK" w:hAnsi="方正黑体_GBK" w:cs="宋体" w:eastAsia="方正黑体_GBK"/>
                <w:sz w:val="18"/>
                <w:szCs w:val="18"/>
              </w:rPr>
              <w:t>D份额：NYAW001238</w:t>
            </w:r>
          </w:p>
          <w:p>
            <w:pPr>
              <w:pStyle w:val="null10"/>
              <w:spacing w:lineRule="exact" w:line="200"/>
            </w:pPr>
            <w:r>
              <w:rPr>
                <w:rFonts w:ascii="方正黑体_GBK" w:hAnsi="方正黑体_GBK" w:cs="宋体" w:eastAsia="方正黑体_GBK"/>
                <w:sz w:val="18"/>
                <w:szCs w:val="18"/>
              </w:rPr>
              <w:t>E份额：NYAW001239</w:t>
            </w:r>
          </w:p>
          <w:p>
            <w:pPr>
              <w:pStyle w:val="null10"/>
              <w:spacing w:lineRule="exact" w:line="200"/>
            </w:pPr>
            <w:r>
              <w:rPr>
                <w:rFonts w:ascii="方正黑体_GBK" w:hAnsi="方正黑体_GBK" w:cs="宋体" w:eastAsia="方正黑体_GBK"/>
                <w:sz w:val="18"/>
                <w:szCs w:val="18"/>
              </w:rPr>
              <w:t>F份额：NYAW001240</w:t>
            </w:r>
          </w:p>
          <w:p>
            <w:pPr>
              <w:pStyle w:val="null10"/>
              <w:spacing w:lineRule="exact" w:line="200"/>
            </w:pPr>
            <w:r>
              <w:rPr>
                <w:rFonts w:ascii="方正黑体_GBK" w:hAnsi="方正黑体_GBK" w:cs="宋体" w:eastAsia="方正黑体_GBK"/>
                <w:sz w:val="18"/>
                <w:szCs w:val="18"/>
              </w:rPr>
              <w:t>G份额：NYAW001241</w:t>
            </w:r>
          </w:p>
          <w:p>
            <w:pPr>
              <w:pStyle w:val="null10"/>
              <w:spacing w:lineRule="exact" w:line="200"/>
            </w:pPr>
            <w:r>
              <w:rPr>
                <w:rFonts w:ascii="方正黑体_GBK" w:hAnsi="方正黑体_GBK" w:cs="宋体" w:eastAsia="方正黑体_GBK"/>
                <w:sz w:val="18"/>
                <w:szCs w:val="18"/>
              </w:rPr>
              <w:t>H份额：NYAW001242</w:t>
            </w:r>
          </w:p>
          <w:p>
            <w:pPr>
              <w:pStyle w:val="null10"/>
              <w:spacing w:lineRule="exact" w:line="200"/>
            </w:pPr>
            <w:r>
              <w:rPr>
                <w:rFonts w:ascii="方正黑体_GBK" w:hAnsi="方正黑体_GBK" w:cs="宋体" w:eastAsia="方正黑体_GBK"/>
                <w:sz w:val="18"/>
                <w:szCs w:val="18"/>
              </w:rPr>
              <w:t>I份额：NYAW001243</w:t>
            </w:r>
          </w:p>
          <w:p>
            <w:pPr>
              <w:pStyle w:val="null10"/>
              <w:spacing w:lineRule="exact" w:line="200"/>
            </w:pPr>
            <w:r>
              <w:rPr>
                <w:rFonts w:ascii="方正黑体_GBK" w:hAnsi="方正黑体_GBK" w:cs="宋体" w:eastAsia="方正黑体_GBK"/>
                <w:sz w:val="18"/>
                <w:szCs w:val="18"/>
              </w:rPr>
              <w:t>M份额：NYAW001249</w:t>
            </w:r>
          </w:p>
          <w:p>
            <w:pPr>
              <w:pStyle w:val="null10"/>
              <w:spacing w:lineRule="exact" w:line="200"/>
            </w:pPr>
            <w:r>
              <w:rPr>
                <w:rFonts w:ascii="方正黑体_GBK" w:hAnsi="方正黑体_GBK" w:cs="宋体" w:eastAsia="方正黑体_GBK"/>
                <w:sz w:val="18"/>
                <w:szCs w:val="18"/>
              </w:rPr>
              <w:t>I2份额：NYAW001244</w:t>
            </w:r>
          </w:p>
          <w:p>
            <w:pPr>
              <w:pStyle w:val="null10"/>
              <w:spacing w:lineRule="exact" w:line="200"/>
            </w:pPr>
            <w:r>
              <w:rPr>
                <w:rFonts w:ascii="方正黑体_GBK" w:hAnsi="方正黑体_GBK" w:cs="宋体" w:eastAsia="方正黑体_GBK"/>
                <w:sz w:val="18"/>
                <w:szCs w:val="18"/>
              </w:rPr>
              <w:t>Q份额：NYAW001250</w:t>
            </w:r>
          </w:p>
          <w:p>
            <w:pPr>
              <w:pStyle w:val="null10"/>
              <w:spacing w:lineRule="exact" w:line="200"/>
            </w:pPr>
            <w:r>
              <w:rPr>
                <w:rFonts w:ascii="方正黑体_GBK" w:hAnsi="方正黑体_GBK" w:cs="宋体" w:eastAsia="方正黑体_GBK"/>
                <w:sz w:val="18"/>
                <w:szCs w:val="18"/>
              </w:rPr>
              <w:t>R份额：NYAW001251</w:t>
            </w:r>
          </w:p>
          <w:p>
            <w:pPr>
              <w:pStyle w:val="null10"/>
              <w:spacing w:lineRule="exact" w:line="200"/>
            </w:pPr>
            <w:r>
              <w:rPr>
                <w:rFonts w:ascii="方正黑体_GBK" w:hAnsi="方正黑体_GBK" w:cs="宋体" w:eastAsia="方正黑体_GBK"/>
                <w:sz w:val="18"/>
                <w:szCs w:val="18"/>
              </w:rPr>
              <w:t>B1份额：NYAW001236</w:t>
            </w:r>
          </w:p>
          <w:p>
            <w:pPr>
              <w:pStyle w:val="null10"/>
              <w:spacing w:lineRule="exact" w:line="200"/>
            </w:pPr>
            <w:r>
              <w:rPr>
                <w:rFonts w:ascii="方正黑体_GBK" w:hAnsi="方正黑体_GBK" w:cs="宋体" w:eastAsia="方正黑体_GBK"/>
                <w:sz w:val="18"/>
                <w:szCs w:val="18"/>
              </w:rPr>
              <w:t>S份额：NYAW001245</w:t>
            </w:r>
          </w:p>
          <w:p>
            <w:pPr>
              <w:pStyle w:val="null10"/>
              <w:spacing w:lineRule="exact" w:line="200"/>
            </w:pPr>
            <w:r>
              <w:rPr>
                <w:rFonts w:ascii="方正黑体_GBK" w:hAnsi="方正黑体_GBK" w:cs="宋体" w:eastAsia="方正黑体_GBK"/>
                <w:sz w:val="18"/>
                <w:szCs w:val="18"/>
              </w:rPr>
              <w:t>T份额：NYAW001246</w:t>
            </w:r>
          </w:p>
          <w:p>
            <w:pPr>
              <w:pStyle w:val="null10"/>
              <w:spacing w:lineRule="exact" w:line="200"/>
            </w:pPr>
            <w:r>
              <w:rPr>
                <w:rFonts w:ascii="方正黑体_GBK" w:hAnsi="方正黑体_GBK" w:cs="宋体" w:eastAsia="方正黑体_GBK"/>
                <w:sz w:val="18"/>
                <w:szCs w:val="18"/>
              </w:rPr>
              <w:t>V份额：NYAW001247</w:t>
            </w:r>
          </w:p>
          <w:p>
            <w:pPr>
              <w:pStyle w:val="null10"/>
              <w:spacing w:lineRule="exact" w:line="200"/>
            </w:pPr>
            <w:r>
              <w:rPr>
                <w:rFonts w:ascii="方正黑体_GBK" w:hAnsi="方正黑体_GBK" w:cs="宋体" w:eastAsia="方正黑体_GBK"/>
                <w:sz w:val="18"/>
                <w:szCs w:val="18"/>
              </w:rPr>
              <w:t>W份额：NYAW001248</w:t>
            </w:r>
          </w:p>
          <w:p>
            <w:pPr>
              <w:pStyle w:val="null10"/>
              <w:spacing w:lineRule="exact" w:line="200"/>
            </w:pPr>
            <w:r>
              <w:rPr>
                <w:rFonts w:ascii="方正黑体_GBK" w:hAnsi="方正黑体_GBK" w:cs="宋体" w:eastAsia="方正黑体_GBK"/>
                <w:sz w:val="18"/>
                <w:b/>
                <w:szCs w:val="18"/>
              </w:rPr>
              <w:t>注：本产品不同份额针对不同的销售机构及客群进行销售。</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ind w:left="0" w:firstLine="0"/>
              <w:jc w:val="left"/>
              <w:textAlignment w:val="center"/>
              <w:rPr>
                <w:rFonts w:ascii="方正黑体_GBK" w:hint="eastAsia"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10年（管理人有权提前终止或延期终止）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镇江分行（新客或新资金5万或代发客户）和上海分行（新客或新资金5万或代发客户）、代发客户、私行客户、钻石客户、新晋私行客户、新晋钻石户及南京银行认定的其他符合标准的客户外的其他客户）、江苏江阴农村商业银行股份有限公司。</w:t>
            </w:r>
          </w:p>
          <w:p>
            <w:pPr>
              <w:pStyle w:val="null10"/>
              <w:spacing w:lineRule="exact" w:line="200"/>
            </w:pPr>
            <w:r>
              <w:rPr>
                <w:rFonts w:ascii="方正黑体_GBK" w:hAnsi="方正黑体_GBK" w:cs="宋体" w:eastAsia="方正黑体_GBK"/>
                <w:sz w:val="18"/>
                <w:szCs w:val="18"/>
              </w:rPr>
              <w:t>C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pPr>
              <w:pStyle w:val="null10"/>
              <w:spacing w:lineRule="exact" w:line="200"/>
            </w:pPr>
            <w:r>
              <w:rPr>
                <w:rFonts w:ascii="方正黑体_GBK" w:hAnsi="方正黑体_GBK" w:cs="宋体" w:eastAsia="方正黑体_GBK"/>
                <w:sz w:val="18"/>
                <w:szCs w:val="18"/>
              </w:rPr>
              <w:t>D份额：江苏太仓农村商业银行股份有限公司、河北银行股份有限公司（分行财富客户）、江苏苏州农村商业银行股份有限公司（新支行开业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pPr>
              <w:pStyle w:val="null10"/>
              <w:spacing w:lineRule="exact" w:line="200"/>
            </w:pPr>
            <w:r>
              <w:rPr>
                <w:rFonts w:ascii="方正黑体_GBK" w:hAnsi="方正黑体_GBK" w:cs="宋体" w:eastAsia="方正黑体_GBK"/>
                <w:sz w:val="18"/>
                <w:szCs w:val="18"/>
              </w:rPr>
              <w:t>E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pPr>
              <w:pStyle w:val="null10"/>
              <w:spacing w:lineRule="exact" w:line="200"/>
            </w:pPr>
            <w:r>
              <w:rPr>
                <w:rFonts w:ascii="方正黑体_GBK" w:hAnsi="方正黑体_GBK" w:cs="宋体" w:eastAsia="方正黑体_GBK"/>
                <w:sz w:val="18"/>
                <w:szCs w:val="18"/>
              </w:rPr>
              <w:t>F份额：南京银行私行客户、钻石客户、新晋私行客户、新晋钻石户及南京银行认定的其他符合标准的客户。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G份额：成都银行股份有限公司。</w:t>
            </w:r>
          </w:p>
          <w:p>
            <w:pPr>
              <w:pStyle w:val="null10"/>
              <w:spacing w:lineRule="exact" w:line="200"/>
            </w:pPr>
            <w:r>
              <w:rPr>
                <w:rFonts w:ascii="方正黑体_GBK" w:hAnsi="方正黑体_GBK" w:cs="宋体" w:eastAsia="方正黑体_GBK"/>
                <w:sz w:val="18"/>
                <w:szCs w:val="18"/>
              </w:rPr>
              <w:t>H份额：南京银行股份有限公司（除镇江分行代发客户和上海分行代发客户外的其他代发客户）</w:t>
            </w:r>
          </w:p>
          <w:p>
            <w:pPr>
              <w:pStyle w:val="null10"/>
              <w:spacing w:lineRule="exact" w:line="200"/>
            </w:pPr>
            <w:r>
              <w:rPr>
                <w:rFonts w:ascii="方正黑体_GBK" w:hAnsi="方正黑体_GBK" w:cs="宋体" w:eastAsia="方正黑体_GBK"/>
                <w:sz w:val="18"/>
                <w:szCs w:val="18"/>
              </w:rPr>
              <w:t>I份额：南京银行股份有限公司镇江分行(新客或新资金5万或代发客户)。</w:t>
            </w:r>
          </w:p>
          <w:p>
            <w:pPr>
              <w:pStyle w:val="null10"/>
              <w:spacing w:lineRule="exact" w:line="200"/>
            </w:pPr>
            <w:r>
              <w:rPr>
                <w:rFonts w:ascii="方正黑体_GBK" w:hAnsi="方正黑体_GBK" w:cs="宋体" w:eastAsia="方正黑体_GBK"/>
                <w:sz w:val="18"/>
                <w:szCs w:val="18"/>
              </w:rPr>
              <w:t>M份额：浙江民泰商业银行股份有限公司、嘉兴银行股份有限公司、苏州银行股份有限公司、福建海峡银行股份有限公司、宁波通商银行股份有限公司。</w:t>
            </w:r>
          </w:p>
          <w:p>
            <w:pPr>
              <w:pStyle w:val="null10"/>
              <w:spacing w:lineRule="exact" w:line="200"/>
            </w:pPr>
            <w:r>
              <w:rPr>
                <w:rFonts w:ascii="方正黑体_GBK" w:hAnsi="方正黑体_GBK" w:cs="宋体" w:eastAsia="方正黑体_GBK"/>
                <w:sz w:val="18"/>
                <w:szCs w:val="18"/>
              </w:rPr>
              <w:t>I2份额：南京银行股份有限公司上海分行(新客或新资金5万或代发客户)。</w:t>
            </w:r>
          </w:p>
          <w:p>
            <w:pPr>
              <w:pStyle w:val="null10"/>
              <w:spacing w:lineRule="exact" w:line="200"/>
            </w:pPr>
            <w:r>
              <w:rPr>
                <w:rFonts w:ascii="方正黑体_GBK" w:hAnsi="方正黑体_GBK" w:cs="宋体" w:eastAsia="方正黑体_GBK"/>
                <w:sz w:val="18"/>
                <w:szCs w:val="18"/>
              </w:rPr>
              <w:t>Q份额：台州银行股份有限公司（除白名单客户外的其他客户）。</w:t>
            </w:r>
          </w:p>
          <w:p>
            <w:pPr>
              <w:pStyle w:val="null10"/>
              <w:spacing w:lineRule="exact" w:line="200"/>
            </w:pPr>
            <w:r>
              <w:rPr>
                <w:rFonts w:ascii="方正黑体_GBK" w:hAnsi="方正黑体_GBK" w:cs="宋体" w:eastAsia="方正黑体_GBK"/>
                <w:sz w:val="18"/>
                <w:szCs w:val="18"/>
              </w:rPr>
              <w:t>R份额：台州银行股份有限公司白名单客户。</w:t>
            </w:r>
          </w:p>
          <w:p>
            <w:pPr>
              <w:pStyle w:val="null10"/>
              <w:spacing w:lineRule="exact" w:line="200"/>
            </w:pPr>
            <w:r>
              <w:rPr>
                <w:rFonts w:ascii="方正黑体_GBK" w:hAnsi="方正黑体_GBK" w:cs="宋体" w:eastAsia="方正黑体_GBK"/>
                <w:sz w:val="18"/>
                <w:szCs w:val="18"/>
              </w:rPr>
              <w:t>B1份额：江苏常熟农村商业银行股份有限公司、江苏苏州农村商业银行股份有限公司（除新支行开业客户外的其他客户）、齐鲁银行股份有限公司（代发客户）、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pPr>
              <w:pStyle w:val="null10"/>
              <w:spacing w:lineRule="exact" w:line="200"/>
            </w:pPr>
            <w:r>
              <w:rPr>
                <w:rFonts w:ascii="方正黑体_GBK" w:hAnsi="方正黑体_GBK" w:cs="宋体" w:eastAsia="方正黑体_GBK"/>
                <w:sz w:val="18"/>
                <w:szCs w:val="18"/>
              </w:rPr>
              <w:t>S份额：成都农村商业银行股份有限公司。</w:t>
            </w:r>
          </w:p>
          <w:p>
            <w:pPr>
              <w:pStyle w:val="null10"/>
              <w:spacing w:lineRule="exact" w:line="200"/>
            </w:pPr>
            <w:r>
              <w:rPr>
                <w:rFonts w:ascii="方正黑体_GBK" w:hAnsi="方正黑体_GBK" w:cs="宋体" w:eastAsia="方正黑体_GBK"/>
                <w:sz w:val="18"/>
                <w:szCs w:val="18"/>
              </w:rPr>
              <w:t>T份额：河北银行股份有限公司（除分行财富客户外的其他客户）。</w:t>
            </w:r>
          </w:p>
          <w:p>
            <w:pPr>
              <w:pStyle w:val="null10"/>
              <w:spacing w:lineRule="exact" w:line="200"/>
            </w:pPr>
            <w:r>
              <w:rPr>
                <w:rFonts w:ascii="方正黑体_GBK" w:hAnsi="方正黑体_GBK" w:cs="宋体" w:eastAsia="方正黑体_GBK"/>
                <w:sz w:val="18"/>
                <w:szCs w:val="18"/>
              </w:rPr>
              <w:t>V份额：桂林银行股份有限公司（高净值客户）。</w:t>
            </w:r>
          </w:p>
          <w:p>
            <w:pPr>
              <w:pStyle w:val="null10"/>
              <w:spacing w:lineRule="exact" w:line="200"/>
            </w:pPr>
            <w:r>
              <w:rPr>
                <w:rFonts w:ascii="方正黑体_GBK" w:hAnsi="方正黑体_GBK" w:cs="宋体" w:eastAsia="方正黑体_GBK"/>
                <w:sz w:val="18"/>
                <w:szCs w:val="18"/>
              </w:rPr>
              <w:t>W份额：齐鲁银行股份有限公司（财富客户）。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A份额/C份额/D份额/E份额/F份额/G份额/H份额/I份额/M份额/I2份额/Q份额/R份额/B1份额/S份额/T份额/V份额/W份额：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2025年07月10日 09:00—2025年07月16日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本理财产品每期封闭期为一年，当期封闭期起止时间以信息披露为准</w:t>
            </w:r>
            <w:r>
              <w:rPr>
                <w:rFonts w:ascii="方正黑体_GBK" w:hAnsi="方正黑体_GBK" w:cs="宋体" w:eastAsia="方正黑体_GBK"/>
                <w:sz w:val="18"/>
                <w:color w:val="000000"/>
                <w:szCs w:val="18"/>
              </w:rPr>
              <w:t>。</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2025年07月17日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17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2035年12月28日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A份额/F份额/Q份额/R份额:开放期2026年7月23日9：00至2026年7月29日17：00，下一个开放期为2027年8月12日9：00至2027年8月18日17：00,投资者可以提交或撤销认购/申购/赎回申请</w:t>
            </w:r>
          </w:p>
          <w:p>
            <w:pPr>
              <w:pStyle w:val="null10"/>
              <w:spacing w:lineRule="exact" w:line="200"/>
              <w:jc w:val="left"/>
            </w:pPr>
            <w:r>
              <w:rPr>
                <w:rFonts w:ascii="方正黑体_GBK" w:hAnsi="方正黑体_GBK" w:cs="宋体" w:eastAsia="方正黑体_GBK"/>
                <w:sz w:val="18"/>
                <w:szCs w:val="18"/>
              </w:rPr>
              <w:t>B1份额/C份额/D份额/E份额/G份额/H份额/I份额/I2份额/M份额/S份额/T份额/V份额/W份额：本次开放期为2026年7月23日9：00至2026年7月29日17：00，投资者可以提交或撤销认购/申购申请；确认成功的份额均将于下一个开放期（下一个开放期为2027年8月12日9：00至2027年8月18日17：00）由系统自动发起赎回申请。</w:t>
            </w:r>
          </w:p>
          <w:p>
            <w:pPr>
              <w:pStyle w:val="null10"/>
              <w:spacing w:lineRule="exact" w:line="200"/>
              <w:jc w:val="left"/>
            </w:pPr>
            <w:r>
              <w:rPr>
                <w:rFonts w:ascii="方正黑体_GBK" w:hAnsi="方正黑体_GBK" w:cs="宋体" w:eastAsia="方正黑体_GBK"/>
                <w:sz w:val="18"/>
                <w:szCs w:val="18"/>
              </w:rPr>
              <w:t>产品开放期如有调整以管理人公告为准。</w:t>
            </w:r>
          </w:p>
          <w:p>
            <w:pPr>
              <w:pStyle w:val="null10"/>
              <w:spacing w:lineRule="exact" w:line="200"/>
              <w:jc w:val="left"/>
            </w:pPr>
            <w:r>
              <w:rPr>
                <w:rFonts w:ascii="方正黑体_GBK" w:hAnsi="方正黑体_GBK" w:cs="宋体" w:eastAsia="方正黑体_GBK"/>
                <w:sz w:val="18"/>
                <w:szCs w:val="18"/>
              </w:rPr>
              <w:t>在销售机构支持的前提下，认购/申购/赎回开放期末日17:00前可以撤销申购/赎回申请。</w:t>
            </w:r>
          </w:p>
          <w:p>
            <w:pPr>
              <w:pStyle w:val="null10"/>
              <w:spacing w:lineRule="exact" w:line="200"/>
              <w:jc w:val="left"/>
            </w:pPr>
            <w:r>
              <w:rPr>
                <w:rFonts w:ascii="方正黑体_GBK" w:hAnsi="方正黑体_GBK" w:cs="宋体" w:eastAsia="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16.  同业借款：资产类型为南银理财有限责任公司向持牌金融机构发放的同业借款，资产到期日不超过理财产品最近一次开放日，融资人为中国中信金融资产管理股份有限公司。</w:t>
            </w:r>
          </w:p>
          <w:p>
            <w:pPr>
              <w:pStyle w:val="null10"/>
              <w:spacing w:lineRule="exact" w:line="200"/>
              <w:jc w:val="left"/>
            </w:pPr>
            <w:r>
              <w:rPr>
                <w:rFonts w:ascii="方正黑体_GBK" w:hAnsi="方正黑体_GBK" w:cs="宋体" w:eastAsia="方正黑体_GBK"/>
                <w:sz w:val="18"/>
                <w:szCs w:val="18"/>
              </w:rPr>
              <w:t>17.  同业借款：资产类型为南银理财有限责任公司向持牌金融机构发放的同业借款，资产到期日不超过理财产品最近一次开放日，融资人为中国东方资产管理股份有限公司。</w:t>
            </w:r>
          </w:p>
          <w:p>
            <w:pPr>
              <w:pStyle w:val="null10"/>
              <w:spacing w:lineRule="exact" w:line="200"/>
              <w:jc w:val="left"/>
            </w:pPr>
            <w:r>
              <w:rPr>
                <w:rFonts w:ascii="方正黑体_GBK" w:hAnsi="方正黑体_GBK" w:cs="宋体" w:eastAsia="方正黑体_GBK"/>
                <w:sz w:val="18"/>
                <w:szCs w:val="18"/>
              </w:rPr>
              <w:t>18.  同业借款：资产类型为南银理财有限责任公司向持牌金融机构发放的同业借款，资产到期日不超过理财产品最近一次开放日，融资人为中国信达资产管理股份有限公司。</w:t>
            </w:r>
          </w:p>
          <w:p>
            <w:pPr>
              <w:pStyle w:val="null10"/>
              <w:spacing w:lineRule="exact" w:line="200"/>
              <w:jc w:val="left"/>
            </w:pPr>
            <w:r>
              <w:rPr>
                <w:rFonts w:ascii="方正黑体_GBK" w:hAnsi="方正黑体_GBK" w:cs="宋体" w:eastAsia="方正黑体_GBK"/>
                <w:sz w:val="18"/>
                <w:szCs w:val="18"/>
              </w:rPr>
              <w:t>19.  同业借款：资产类型为南银理财有限责任公司向持牌金融机构发放的同业借款，资产到期日不超过理财产品最近一次开放日，融资人为中国长城资产管理股份有限公司。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券商收益凭证：资产类型为证券公司发行的收益凭证，资产到期日不超过理财产品最近一次开放日，融资人为华宝证券股份有限公司，融资人评级为AA+（评级机构为联合资信评估股份有限公司）。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券商收益凭证：资产类型为证券公司发行的收益凭证，资产到期日不超过理财产品最近一次开放日，融资人为上海证券有限责任公司，融资人评级为AAA（评级机构为上海新世纪资信评估投资服务有限公司）。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券商收益凭证：资产类型为证券公司发行的收益凭证，资产到期日不超过理财产品最近一次开放日，融资人为山西证券股份有限公司，融资人评级为AAA（评级机构为中诚信国际信用评级有限责任公司）。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券商收益凭证：资产类型为证券公司发行的收益凭证，资产到期日不超过理财产品最近一次开放日，融资人为中银国际证券股份有限公司，融资人评级为AAA（评级机构为中诚信国际信用评级有限责任公司）。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券商收益凭证：资产类型为证券公司发行的收益凭证，资产到期日不超过理财产品最近一次开放日，融资人为首创证券股份有限公司，融资人评级为AAA（评级机构为中诚信国际信用评级有限责任公司）。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券商收益凭证：资产类型为证券公司发行的收益凭证，资产到期日不超过理财产品最近一次开放日，融资人为国泰海通证券股份有限公司，融资人评级为AAA（评级机构为上海新世纪资信评估投资服务有限公司）。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券商收益凭证：资产类型为证券公司发行的收益凭证，资产到期日不超过理财产品最近一次开放日，融资人为中信证券股份有限公司，融资人评级为AAA（评级机构为中诚信国际信用评级有限责任公司）。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券商收益凭证：资产类型为证券公司发行的收益凭证，资产到期日不超过理财产品最近一次开放日，融资人为华泰证券股份有限公司，融资人评级为AAA（评级机构为上海新世纪资信评估投资服务有限公司）。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券商收益凭证：资产类型为证券公司发行的收益凭证，资产到期日不超过理财产品最近一次开放日，融资人为中信建投证券股份有限公司，融资人评级为AAA（评级机构为中诚信国际信用评级有限责任公司）。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券商收益凭证：资产类型为证券公司发行的收益凭证，资产到期日不超过理财产品最近一次开放日，融资人为中国银河证券股份有限公司，融资人评级为AAA（评级机构为联合资信评估股份有限公司）。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券商收益凭证：资产类型为证券公司发行的收益凭证，资产到期日不超过理财产品最近一次开放日，融资人为申万宏源证券有限公司，融资人评级为AAA（评级机构为联合资信评估股份有限公司）。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券商收益凭证：资产类型为证券公司发行的收益凭证，资产到期日不超过理财产品最近一次开放日，融资人为中国国际金融股份有限公司，融资人评级为AAA（评级机构为中诚信国际信用评级有限责任公司）。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券商收益凭证：资产类型为证券公司发行的收益凭证，资产到期日不超过理财产品最近一次开放日，融资人为招商证券股份有限公司，融资人评级为AAA（评级机构为联合资信评估股份有限公司）。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券商收益凭证：资产类型为证券公司发行的收益凭证，资产到期日不超过理财产品最近一次开放日，融资人为平安证券股份有限公司，融资人评级为AAA（评级机构为中诚信国际信用评级有限责任公司）。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券商收益凭证：资产类型为证券公司发行的收益凭证，资产到期日不超过理财产品最近一次开放日，融资人为广发证券股份有限公司，融资人评级为AAA（评级机构为中诚信国际信用评级有限责任公司）。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券商收益凭证：资产类型为证券公司发行的收益凭证，资产到期日不超过理财产品最近一次开放日，融资人为国信证券股份有限公司，融资人评级为AAA（评级机构为中诚信国际信用评级有限责任公司）。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券商收益凭证：资产类型为证券公司发行的收益凭证，资产到期日不超过理财产品最近一次开放日，融资人为兴业证券股份有限公司，融资人评级为AAA（评级机构为联合资信评估股份有限公司）。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券商收益凭证：资产类型为证券公司发行的收益凭证，资产到期日不超过理财产品最近一次开放日，融资人为光大证券股份有限公司，融资人评级为AAA（评级机构为联合资信评估股份有限公司）。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券商收益凭证：资产类型为证券公司发行的收益凭证，资产到期日不超过理财产品最近一次开放日，融资人为华鑫证券有限责任公司，融资人评级为AA+（评级机构为上海新世纪资信评估投资服务有限公司）。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券商收益凭证：资产类型为证券公司发行的收益凭证，资产到期日不超过理财产品最近一次开放日，融资人为财通证券股份有限公司，融资人评级为AAA（评级机构为中诚信国际信用评级有限责任公司）。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券商收益凭证：资产类型为证券公司发行的收益凭证，资产到期日不超过理财产品最近一次开放日，融资人为长江证券股份有限公司，融资人评级为AAA（评级机构为联合资信评估股份有限公司）。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券商收益凭证：资产类型为证券公司发行的收益凭证，资产到期日不超过理财产品最近一次开放日，融资人为国金证券股份有限公司，融资人评级为AAA（评级机构为上海新世纪资信评估投资服务有限公司）。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券商收益凭证：资产类型为证券公司发行的收益凭证，资产到期日不超过理财产品最近一次开放日，融资人为东方证券股份有限公司，融资人评级为AAA（评级机构为中诚信国际信用评级有限责任公司）。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券商收益凭证：资产类型为证券公司发行的收益凭证，资产到期日不超过理财产品最近一次开放日，融资人为国投证券股份有限公司，融资人评级为AAA（评级机构为联合资信评估股份有限公司）。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A份额：业绩比较基准为年化2.45%-2.7% 。</w:t>
            </w:r>
          </w:p>
          <w:p>
            <w:pPr>
              <w:pStyle w:val="null10"/>
              <w:spacing w:lineRule="exact" w:line="200"/>
            </w:pPr>
            <w:r>
              <w:rPr>
                <w:rFonts w:ascii="方正黑体_GBK" w:hAnsi="方正黑体_GBK" w:cs="宋体" w:eastAsia="方正黑体_GBK"/>
                <w:sz w:val="18"/>
                <w:szCs w:val="18"/>
              </w:rPr>
              <w:t>C份额：业绩比较基准为年化2.5%-2.75% 。</w:t>
            </w:r>
          </w:p>
          <w:p>
            <w:pPr>
              <w:pStyle w:val="null10"/>
              <w:spacing w:lineRule="exact" w:line="200"/>
            </w:pPr>
            <w:r>
              <w:rPr>
                <w:rFonts w:ascii="方正黑体_GBK" w:hAnsi="方正黑体_GBK" w:cs="宋体" w:eastAsia="方正黑体_GBK"/>
                <w:sz w:val="18"/>
                <w:szCs w:val="18"/>
              </w:rPr>
              <w:t>D份额：业绩比较基准为年化2.55%-2.8% 。</w:t>
            </w:r>
          </w:p>
          <w:p>
            <w:pPr>
              <w:pStyle w:val="null10"/>
              <w:spacing w:lineRule="exact" w:line="200"/>
            </w:pPr>
            <w:r>
              <w:rPr>
                <w:rFonts w:ascii="方正黑体_GBK" w:hAnsi="方正黑体_GBK" w:cs="宋体" w:eastAsia="方正黑体_GBK"/>
                <w:sz w:val="18"/>
                <w:szCs w:val="18"/>
              </w:rPr>
              <w:t>E份额：业绩比较基准为年化2.65%-2.9% 。</w:t>
            </w:r>
          </w:p>
          <w:p>
            <w:pPr>
              <w:pStyle w:val="null10"/>
              <w:spacing w:lineRule="exact" w:line="200"/>
            </w:pPr>
            <w:r>
              <w:rPr>
                <w:rFonts w:ascii="方正黑体_GBK" w:hAnsi="方正黑体_GBK" w:cs="宋体" w:eastAsia="方正黑体_GBK"/>
                <w:sz w:val="18"/>
                <w:szCs w:val="18"/>
              </w:rPr>
              <w:t>F份额：业绩比较基准为年化2.55%-2.8% 。</w:t>
            </w:r>
          </w:p>
          <w:p>
            <w:pPr>
              <w:pStyle w:val="null10"/>
              <w:spacing w:lineRule="exact" w:line="200"/>
            </w:pPr>
            <w:r>
              <w:rPr>
                <w:rFonts w:ascii="方正黑体_GBK" w:hAnsi="方正黑体_GBK" w:cs="宋体" w:eastAsia="方正黑体_GBK"/>
                <w:sz w:val="18"/>
                <w:szCs w:val="18"/>
              </w:rPr>
              <w:t>G份额：业绩比较基准为年化2.6%-2.85% 。</w:t>
            </w:r>
          </w:p>
          <w:p>
            <w:pPr>
              <w:pStyle w:val="null10"/>
              <w:spacing w:lineRule="exact" w:line="200"/>
            </w:pPr>
            <w:r>
              <w:rPr>
                <w:rFonts w:ascii="方正黑体_GBK" w:hAnsi="方正黑体_GBK" w:cs="宋体" w:eastAsia="方正黑体_GBK"/>
                <w:sz w:val="18"/>
                <w:szCs w:val="18"/>
              </w:rPr>
              <w:t>H份额：业绩比较基准为年化2.6%-2.85% 。</w:t>
            </w:r>
          </w:p>
          <w:p>
            <w:pPr>
              <w:pStyle w:val="null10"/>
              <w:spacing w:lineRule="exact" w:line="200"/>
            </w:pPr>
            <w:r>
              <w:rPr>
                <w:rFonts w:ascii="方正黑体_GBK" w:hAnsi="方正黑体_GBK" w:cs="宋体" w:eastAsia="方正黑体_GBK"/>
                <w:sz w:val="18"/>
                <w:szCs w:val="18"/>
              </w:rPr>
              <w:t>I份额：业绩比较基准为年化2.55%-2.8% 。</w:t>
            </w:r>
          </w:p>
          <w:p>
            <w:pPr>
              <w:pStyle w:val="null10"/>
              <w:spacing w:lineRule="exact" w:line="200"/>
            </w:pPr>
            <w:r>
              <w:rPr>
                <w:rFonts w:ascii="方正黑体_GBK" w:hAnsi="方正黑体_GBK" w:cs="宋体" w:eastAsia="方正黑体_GBK"/>
                <w:sz w:val="18"/>
                <w:szCs w:val="18"/>
              </w:rPr>
              <w:t>M份额：业绩比较基准为年化2.45%-2.7% 。</w:t>
            </w:r>
          </w:p>
          <w:p>
            <w:pPr>
              <w:pStyle w:val="null10"/>
              <w:spacing w:lineRule="exact" w:line="200"/>
            </w:pPr>
            <w:r>
              <w:rPr>
                <w:rFonts w:ascii="方正黑体_GBK" w:hAnsi="方正黑体_GBK" w:cs="宋体" w:eastAsia="方正黑体_GBK"/>
                <w:sz w:val="18"/>
                <w:szCs w:val="18"/>
              </w:rPr>
              <w:t>I2份额：业绩比较基准为年化2.55%-2.8% 。</w:t>
            </w:r>
          </w:p>
          <w:p>
            <w:pPr>
              <w:pStyle w:val="null10"/>
              <w:spacing w:lineRule="exact" w:line="200"/>
            </w:pPr>
            <w:r>
              <w:rPr>
                <w:rFonts w:ascii="方正黑体_GBK" w:hAnsi="方正黑体_GBK" w:cs="宋体" w:eastAsia="方正黑体_GBK"/>
                <w:sz w:val="18"/>
                <w:szCs w:val="18"/>
              </w:rPr>
              <w:t>Q份额：业绩比较基准为年化2.45%-2.7% 。</w:t>
            </w:r>
          </w:p>
          <w:p>
            <w:pPr>
              <w:pStyle w:val="null10"/>
              <w:spacing w:lineRule="exact" w:line="200"/>
            </w:pPr>
            <w:r>
              <w:rPr>
                <w:rFonts w:ascii="方正黑体_GBK" w:hAnsi="方正黑体_GBK" w:cs="宋体" w:eastAsia="方正黑体_GBK"/>
                <w:sz w:val="18"/>
                <w:szCs w:val="18"/>
              </w:rPr>
              <w:t>R份额：业绩比较基准为年化2.65%-2.9% 。</w:t>
            </w:r>
          </w:p>
          <w:p>
            <w:pPr>
              <w:pStyle w:val="null10"/>
              <w:spacing w:lineRule="exact" w:line="200"/>
            </w:pPr>
            <w:r>
              <w:rPr>
                <w:rFonts w:ascii="方正黑体_GBK" w:hAnsi="方正黑体_GBK" w:cs="宋体" w:eastAsia="方正黑体_GBK"/>
                <w:sz w:val="18"/>
                <w:szCs w:val="18"/>
              </w:rPr>
              <w:t>B1份额：业绩比较基准为年化2.45%-2.7% 。</w:t>
            </w:r>
          </w:p>
          <w:p>
            <w:pPr>
              <w:pStyle w:val="null10"/>
              <w:spacing w:lineRule="exact" w:line="200"/>
            </w:pPr>
            <w:r>
              <w:rPr>
                <w:rFonts w:ascii="方正黑体_GBK" w:hAnsi="方正黑体_GBK" w:cs="宋体" w:eastAsia="方正黑体_GBK"/>
                <w:sz w:val="18"/>
                <w:szCs w:val="18"/>
              </w:rPr>
              <w:t>S份额：业绩比较基准为年化2.6%-2.85% 。</w:t>
            </w:r>
          </w:p>
          <w:p>
            <w:pPr>
              <w:pStyle w:val="null10"/>
              <w:spacing w:lineRule="exact" w:line="200"/>
            </w:pPr>
            <w:r>
              <w:rPr>
                <w:rFonts w:ascii="方正黑体_GBK" w:hAnsi="方正黑体_GBK" w:cs="宋体" w:eastAsia="方正黑体_GBK"/>
                <w:sz w:val="18"/>
                <w:szCs w:val="18"/>
              </w:rPr>
              <w:t>T份额：业绩比较基准为年化2.6%-2.85% 。</w:t>
            </w:r>
          </w:p>
          <w:p>
            <w:pPr>
              <w:pStyle w:val="null10"/>
              <w:spacing w:lineRule="exact" w:line="200"/>
            </w:pPr>
            <w:r>
              <w:rPr>
                <w:rFonts w:ascii="方正黑体_GBK" w:hAnsi="方正黑体_GBK" w:cs="宋体" w:eastAsia="方正黑体_GBK"/>
                <w:sz w:val="18"/>
                <w:szCs w:val="18"/>
              </w:rPr>
              <w:t>V份额：业绩比较基准为年化2.7%-2.95% 。</w:t>
            </w:r>
          </w:p>
          <w:p>
            <w:pPr>
              <w:pStyle w:val="null10"/>
              <w:spacing w:lineRule="exact" w:line="200"/>
            </w:pPr>
            <w:r>
              <w:rPr>
                <w:rFonts w:ascii="方正黑体_GBK" w:hAnsi="方正黑体_GBK" w:cs="宋体" w:eastAsia="方正黑体_GBK"/>
                <w:sz w:val="18"/>
                <w:szCs w:val="18"/>
              </w:rPr>
              <w:t>W份额：业绩比较基准为年化2.55%-2.8%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C份额：销售费年化0.15%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I份额：销售费年化0.15%</w:t>
            </w:r>
          </w:p>
          <w:p>
            <w:pPr>
              <w:pStyle w:val="null10"/>
              <w:spacing w:lineRule="exact" w:line="200"/>
            </w:pPr>
            <w:r>
              <w:rPr>
                <w:rFonts w:ascii="方正黑体_GBK" w:hAnsi="方正黑体_GBK" w:cs="宋体" w:eastAsia="方正黑体_GBK"/>
                <w:sz w:val="18"/>
                <w:b/>
                <w:szCs w:val="18"/>
              </w:rPr>
              <w:t>M份额：销售费年化0.2%</w:t>
            </w:r>
          </w:p>
          <w:p>
            <w:pPr>
              <w:pStyle w:val="null10"/>
              <w:spacing w:lineRule="exact" w:line="200"/>
            </w:pPr>
            <w:r>
              <w:rPr>
                <w:rFonts w:ascii="方正黑体_GBK" w:hAnsi="方正黑体_GBK" w:cs="宋体" w:eastAsia="方正黑体_GBK"/>
                <w:sz w:val="18"/>
                <w:b/>
                <w:szCs w:val="18"/>
              </w:rPr>
              <w:t>I2份额：销售费年化0.15%</w:t>
            </w:r>
          </w:p>
          <w:p>
            <w:pPr>
              <w:pStyle w:val="null10"/>
              <w:spacing w:lineRule="exact" w:line="200"/>
            </w:pPr>
            <w:r>
              <w:rPr>
                <w:rFonts w:ascii="方正黑体_GBK" w:hAnsi="方正黑体_GBK" w:cs="宋体" w:eastAsia="方正黑体_GBK"/>
                <w:sz w:val="18"/>
                <w:b/>
                <w:szCs w:val="18"/>
              </w:rPr>
              <w:t>Q份额：销售费年化0.2%</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B1份额：销售费年化0.2%</w:t>
            </w:r>
          </w:p>
          <w:p>
            <w:pPr>
              <w:pStyle w:val="null10"/>
              <w:spacing w:lineRule="exact" w:line="200"/>
            </w:pPr>
            <w:r>
              <w:rPr>
                <w:rFonts w:ascii="方正黑体_GBK" w:hAnsi="方正黑体_GBK" w:cs="宋体" w:eastAsia="方正黑体_GBK"/>
                <w:sz w:val="18"/>
                <w:b/>
                <w:szCs w:val="18"/>
              </w:rPr>
              <w:t>S份额：销售费年化0.1%</w:t>
            </w:r>
          </w:p>
          <w:p>
            <w:pPr>
              <w:pStyle w:val="null10"/>
              <w:spacing w:lineRule="exact" w:line="200"/>
            </w:pPr>
            <w:r>
              <w:rPr>
                <w:rFonts w:ascii="方正黑体_GBK" w:hAnsi="方正黑体_GBK" w:cs="宋体" w:eastAsia="方正黑体_GBK"/>
                <w:sz w:val="18"/>
                <w:b/>
                <w:szCs w:val="18"/>
              </w:rPr>
              <w:t>T份额：销售费年化0.1%</w:t>
            </w:r>
          </w:p>
          <w:p>
            <w:pPr>
              <w:pStyle w:val="null10"/>
              <w:spacing w:lineRule="exact" w:line="200"/>
            </w:pPr>
            <w:r>
              <w:rPr>
                <w:rFonts w:ascii="方正黑体_GBK" w:hAnsi="方正黑体_GBK" w:cs="宋体" w:eastAsia="方正黑体_GBK"/>
                <w:sz w:val="18"/>
                <w:b/>
                <w:szCs w:val="18"/>
              </w:rPr>
              <w:t>V份额：销售费年化0.05%</w:t>
            </w:r>
          </w:p>
          <w:p>
            <w:pPr>
              <w:pStyle w:val="null10"/>
              <w:spacing w:lineRule="exact" w:line="200"/>
            </w:pPr>
            <w:r>
              <w:rPr>
                <w:rFonts w:ascii="方正黑体_GBK" w:hAnsi="方正黑体_GBK" w:cs="宋体" w:eastAsia="方正黑体_GBK"/>
                <w:sz w:val="18"/>
                <w:b/>
                <w:szCs w:val="18"/>
              </w:rPr>
              <w:t>W份额：销售费年化0.15%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D份额：固定管理费年化0.15%</w:t>
            </w:r>
          </w:p>
          <w:p>
            <w:pPr>
              <w:pStyle w:val="null10"/>
              <w:spacing w:lineRule="exact" w:line="200"/>
            </w:pPr>
            <w:r>
              <w:rPr>
                <w:rFonts w:ascii="方正黑体_GBK" w:hAnsi="方正黑体_GBK" w:cs="宋体" w:eastAsia="方正黑体_GBK"/>
                <w:sz w:val="18"/>
                <w:b/>
                <w:szCs w:val="18"/>
              </w:rPr>
              <w:t>E份额：固定管理费年化0.15%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I份额：固定管理费年化0.15%</w:t>
            </w:r>
          </w:p>
          <w:p>
            <w:pPr>
              <w:pStyle w:val="null10"/>
              <w:spacing w:lineRule="exact" w:line="200"/>
            </w:pPr>
            <w:r>
              <w:rPr>
                <w:rFonts w:ascii="方正黑体_GBK" w:hAnsi="方正黑体_GBK" w:cs="宋体" w:eastAsia="方正黑体_GBK"/>
                <w:sz w:val="18"/>
                <w:b/>
                <w:szCs w:val="18"/>
              </w:rPr>
              <w:t>M份额：固定管理费年化0.2%</w:t>
            </w:r>
          </w:p>
          <w:p>
            <w:pPr>
              <w:pStyle w:val="null10"/>
              <w:spacing w:lineRule="exact" w:line="200"/>
            </w:pPr>
            <w:r>
              <w:rPr>
                <w:rFonts w:ascii="方正黑体_GBK" w:hAnsi="方正黑体_GBK" w:cs="宋体" w:eastAsia="方正黑体_GBK"/>
                <w:sz w:val="18"/>
                <w:b/>
                <w:szCs w:val="18"/>
              </w:rPr>
              <w:t>I2份额：固定管理费年化0.15%</w:t>
            </w:r>
          </w:p>
          <w:p>
            <w:pPr>
              <w:pStyle w:val="null10"/>
              <w:spacing w:lineRule="exact" w:line="200"/>
            </w:pPr>
            <w:r>
              <w:rPr>
                <w:rFonts w:ascii="方正黑体_GBK" w:hAnsi="方正黑体_GBK" w:cs="宋体" w:eastAsia="方正黑体_GBK"/>
                <w:sz w:val="18"/>
                <w:b/>
                <w:szCs w:val="18"/>
              </w:rPr>
              <w:t>Q份额：固定管理费年化0.2%</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B1份额：固定管理费年化0.2%</w:t>
            </w:r>
          </w:p>
          <w:p>
            <w:pPr>
              <w:pStyle w:val="null10"/>
              <w:spacing w:lineRule="exact" w:line="200"/>
            </w:pPr>
            <w:r>
              <w:rPr>
                <w:rFonts w:ascii="方正黑体_GBK" w:hAnsi="方正黑体_GBK" w:cs="宋体" w:eastAsia="方正黑体_GBK"/>
                <w:sz w:val="18"/>
                <w:b/>
                <w:szCs w:val="18"/>
              </w:rPr>
              <w:t>S份额：固定管理费年化0.15%</w:t>
            </w:r>
          </w:p>
          <w:p>
            <w:pPr>
              <w:pStyle w:val="null10"/>
              <w:spacing w:lineRule="exact" w:line="200"/>
            </w:pPr>
            <w:r>
              <w:rPr>
                <w:rFonts w:ascii="方正黑体_GBK" w:hAnsi="方正黑体_GBK" w:cs="宋体" w:eastAsia="方正黑体_GBK"/>
                <w:sz w:val="18"/>
                <w:b/>
                <w:szCs w:val="18"/>
              </w:rPr>
              <w:t>T份额：固定管理费年化0.15%</w:t>
            </w:r>
          </w:p>
          <w:p>
            <w:pPr>
              <w:pStyle w:val="null10"/>
              <w:spacing w:lineRule="exact" w:line="200"/>
            </w:pPr>
            <w:r>
              <w:rPr>
                <w:rFonts w:ascii="方正黑体_GBK" w:hAnsi="方正黑体_GBK" w:cs="宋体" w:eastAsia="方正黑体_GBK"/>
                <w:sz w:val="18"/>
                <w:b/>
                <w:szCs w:val="18"/>
              </w:rPr>
              <w:t>V份额：固定管理费年化0.1%</w:t>
            </w:r>
          </w:p>
          <w:p>
            <w:pPr>
              <w:pStyle w:val="null10"/>
              <w:spacing w:lineRule="exact" w:line="200"/>
            </w:pPr>
            <w:r>
              <w:rPr>
                <w:rFonts w:ascii="方正黑体_GBK" w:hAnsi="方正黑体_GBK" w:cs="宋体" w:eastAsia="方正黑体_GBK"/>
                <w:sz w:val="18"/>
                <w:b/>
                <w:szCs w:val="18"/>
              </w:rPr>
              <w:t>W份额：固定管理费年化0.15%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A份额，C份额，D份额，E份额，F份额，G份额，H份额，I份额，M份额，I2份额，Q份额，R份额，B1份额，S份额，T份额，V份额，W份额：</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S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T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V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W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嘉兴银行股份有限公司、江苏常熟农村商业银行股份有限公司、江苏苏州农村商业银行股份有限公司、福建海峡银行股份有限公司、秦皇岛银行股份有限公司、齐鲁银行股份有限公司、贵阳银行股份有限公司、云南红塔银行股份有限公司、中原银行股份有限公司、天津农村商业银行股份有限公司、江苏紫金农村商业银行股份有限公司、江苏金湖农村商业银行股份有限公司、苏州银行股份有限公司、桂林银行股份有限公司、重庆富民银行股份有限公司、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苏商银行股份有限公司、江苏丰县农村商业银行股份有限公司、江苏射阳农村商业银行股份有限公司、江苏句容农村商业银行股份有限公司、江苏张家港农村商业银行股份有限公司、江苏江阴农村商业银行股份有限公司、廊坊银行股份有限公司、乌鲁木齐银行股份有限公司、河北银行股份有限公司、郑州银行股份有限公司、江苏盱眙农村商业银行股份有限公司、兰州银行股份有限公司、江苏沛县农村商业银行股份有限公司、甘肃银行股份有限公司、台州银行股份有限公司、浙江民泰商业银行股份有限公司、江苏仪征农村商业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诚信托有限责任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诚信托有限责任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中诚信托有限责任公司成立于1995年11月20日，注册资本金48.5亿元。</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85d1b3a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87b44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87b44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87b44b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87b44b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87b44b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87b44b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87b44b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87b44b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南银理财鼎瑞安稳一年定开2025第14期公募人民币理财产品</w:t>
      </w:r>
      <w:r>
        <w:rPr>
          <w:rFonts w:ascii="方正黑体_GBK" w:eastAsia="方正黑体_GBK" w:hint="eastAsia" w:hAnsi="方正黑体_GBK"/>
          <w:vanish w:val="0"/>
          <w:color w:val="3D3D3D"/>
          <w:kern w:val="0"/>
          <w:sz w:val="15"/>
          <w:szCs w:val="15"/>
        </w:rPr>
        <w:t>。</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87b44b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87b44b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87b44b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87b44b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2fa3d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2fa3d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2fa3d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2fa3d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2fa3d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2fa3d2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87b44b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87b44b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87b44b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2fa3d2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85d1b3aa"/>
        <w:keepNext w:val="0"/>
        <w:keepLines w:val="0"/>
        <w:pageBreakBefore w:val="0"/>
        <w:widowControl/>
        <w:suppressLineNumbers w:val="0"/>
        <w:suppressAutoHyphens w:val="0"/>
        <w:spacing w:line="200" w:lineRule="exact"/>
        <w:ind w:firstLineChars="200" w:firstLine="300"/>
        <w:rPr>
          <w:rStyle w:val="12fa3d2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85d1b3a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85d1b3aa"/>
        <w:keepNext w:val="0"/>
        <w:keepLines w:val="0"/>
        <w:pageBreakBefore w:val="0"/>
        <w:widowControl/>
        <w:numPr>
          <w:ilvl w:val="0"/>
          <w:numId w:val="3"/>
        </w:numPr>
        <w:suppressLineNumbers w:val="0"/>
        <w:suppressAutoHyphens w:val="0"/>
        <w:spacing w:line="200" w:lineRule="exact"/>
        <w:ind w:left="0" w:firstLineChars="200"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按月</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null10"/>
        <w:spacing w:lineRule="exact" w:line="200"/>
        <w:ind w:firstLine="301"/>
      </w:pPr>
      <w:r>
        <w:rPr>
          <w:rFonts w:ascii="方正黑体_GBK" w:hAnsi="方正黑体_GBK" w:cs="宋体" w:eastAsia="方正黑体_GBK"/>
          <w:sz w:val="15"/>
          <w:b/>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85d1b3a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85d1b3a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85d1b3a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85d1b3a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3"/>
  </w:num>
  <w:num w:numId="2">
    <w:abstractNumId w:val="2"/>
  </w:num>
  <w:num w:numId="3">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0095655e">
    <w:name w:val="Normal0095655e"/>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60821f6">
    <w:name w:val="heading 1060821f6"/>
    <w:basedOn w:val="0095655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10a302f">
    <w:name w:val="heading 2210a302f"/>
    <w:basedOn w:val="0095655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4fe13df">
    <w:name w:val="heading 334fe13df"/>
    <w:basedOn w:val="0095655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d38edb1">
    <w:name w:val="Default Paragraph Fontcd38edb1"/>
  </w:style>
  <w:style xmlns:r="http://schemas.openxmlformats.org/officeDocument/2006/relationships" w:type="paragraph" w:styleId="0d41b969">
    <w:name w:val="toc 10d41b969"/>
    <w:basedOn w:val="0095655e"/>
    <w:autoRedefine/>
    <w:next w:val="0"/>
  </w:style>
  <w:style xmlns:r="http://schemas.openxmlformats.org/officeDocument/2006/relationships" w:type="paragraph" w:styleId="b19d0a6e">
    <w:name w:val="toc 2b19d0a6e"/>
    <w:basedOn w:val="0095655e"/>
    <w:autoRedefine/>
    <w:next w:val="0"/>
    <w:pPr>
      <w:ind w:left="420"/>
    </w:pPr>
  </w:style>
  <w:style xmlns:r="http://schemas.openxmlformats.org/officeDocument/2006/relationships" w:type="paragraph" w:styleId="d2fb4939">
    <w:name w:val="toc 3d2fb4939"/>
    <w:basedOn w:val="0095655e"/>
    <w:autoRedefine/>
    <w:next w:val="0"/>
    <w:pPr>
      <w:ind w:left="840"/>
    </w:pPr>
  </w:style>
  <w:style xmlns:r="http://schemas.openxmlformats.org/officeDocument/2006/relationships" w:type="paragraph" w:styleId="aa7d1974">
    <w:name w:val="toc 4aa7d1974"/>
    <w:basedOn w:val="0095655e"/>
    <w:autoRedefine/>
    <w:next w:val="0"/>
    <w:pPr>
      <w:ind w:left="1260"/>
    </w:pPr>
  </w:style>
  <w:style xmlns:r="http://schemas.openxmlformats.org/officeDocument/2006/relationships" w:type="paragraph" w:styleId="4136c457">
    <w:name w:val="toc 54136c457"/>
    <w:basedOn w:val="0095655e"/>
    <w:autoRedefine/>
    <w:next w:val="0"/>
    <w:pPr>
      <w:ind w:left="1680"/>
    </w:pPr>
  </w:style>
  <w:style xmlns:r="http://schemas.openxmlformats.org/officeDocument/2006/relationships" w:type="paragraph" w:styleId="66c2a0f6">
    <w:name w:val="header66c2a0f6"/>
    <w:basedOn w:val="0095655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8a3414d">
    <w:name w:val="footerd8a3414d"/>
    <w:basedOn w:val="0095655e"/>
    <w:pPr>
      <w:tabs>
        <w:tab w:val="center" w:pos="4153"/>
        <w:tab w:val="right" w:pos="8307"/>
      </w:tabs>
      <w:adjustRightInd/>
      <w:snapToGrid w:val="0"/>
      <w:contextualSpacing w:val="0"/>
      <w:jc w:val="left"/>
    </w:pPr>
    <w:rPr>
      <w:sz w:val="18"/>
    </w:rPr>
  </w:style>
  <w:style xmlns:r="http://schemas.openxmlformats.org/officeDocument/2006/relationships" w:type="character" w:styleId="addc5c22">
    <w:name w:val="Strongaddc5c2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5d1b3aa">
    <w:name w:val="Normal85d1b3a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0aa3cfb">
    <w:name w:val="heading 150aa3cfb"/>
    <w:basedOn w:val="85d1b3a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afd71df">
    <w:name w:val="heading 2aafd71df"/>
    <w:basedOn w:val="85d1b3a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6387c51">
    <w:name w:val="heading 356387c51"/>
    <w:basedOn w:val="85d1b3a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63c2bf0">
    <w:name w:val="Default Paragraph Fontd63c2bf0"/>
  </w:style>
  <w:style xmlns:r="http://schemas.openxmlformats.org/officeDocument/2006/relationships" w:type="paragraph" w:styleId="33b484e3">
    <w:name w:val="Normal Indent33b484e3"/>
    <w:basedOn w:val="85d1b3aa"/>
    <w:pPr>
      <w:ind w:firstLineChars="200" w:firstLine="200"/>
    </w:pPr>
  </w:style>
  <w:style xmlns:r="http://schemas.openxmlformats.org/officeDocument/2006/relationships" w:type="paragraph" w:styleId="360537b5">
    <w:name w:val="toc 5360537b5"/>
    <w:basedOn w:val="85d1b3aa"/>
    <w:next w:val="0"/>
    <w:pPr>
      <w:ind w:left="1680"/>
    </w:pPr>
  </w:style>
  <w:style xmlns:r="http://schemas.openxmlformats.org/officeDocument/2006/relationships" w:type="paragraph" w:styleId="43d0bdf9">
    <w:name w:val="toc 343d0bdf9"/>
    <w:basedOn w:val="85d1b3aa"/>
    <w:next w:val="0"/>
    <w:pPr>
      <w:ind w:left="840"/>
    </w:pPr>
  </w:style>
  <w:style xmlns:r="http://schemas.openxmlformats.org/officeDocument/2006/relationships" w:type="paragraph" w:styleId="f5f2d15d">
    <w:name w:val="footerf5f2d15d"/>
    <w:basedOn w:val="85d1b3aa"/>
    <w:pPr>
      <w:tabs>
        <w:tab w:val="center" w:pos="4153"/>
        <w:tab w:val="right" w:pos="8307"/>
      </w:tabs>
      <w:adjustRightInd/>
      <w:snapToGrid w:val="0"/>
      <w:contextualSpacing w:val="0"/>
      <w:jc w:val="left"/>
    </w:pPr>
    <w:rPr>
      <w:sz w:val="18"/>
    </w:rPr>
  </w:style>
  <w:style xmlns:r="http://schemas.openxmlformats.org/officeDocument/2006/relationships" w:type="paragraph" w:styleId="a7781fd9">
    <w:name w:val="headera7781fd9"/>
    <w:basedOn w:val="85d1b3a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f6468dd">
    <w:name w:val="toc 18f6468dd"/>
    <w:basedOn w:val="85d1b3aa"/>
    <w:next w:val="0"/>
  </w:style>
  <w:style xmlns:r="http://schemas.openxmlformats.org/officeDocument/2006/relationships" w:type="paragraph" w:styleId="32810667">
    <w:name w:val="toc 432810667"/>
    <w:basedOn w:val="85d1b3aa"/>
    <w:next w:val="0"/>
    <w:pPr>
      <w:ind w:left="1260"/>
    </w:pPr>
  </w:style>
  <w:style xmlns:r="http://schemas.openxmlformats.org/officeDocument/2006/relationships" w:type="paragraph" w:styleId="7c76f2a4">
    <w:name w:val="toc 27c76f2a4"/>
    <w:basedOn w:val="85d1b3aa"/>
    <w:next w:val="0"/>
    <w:pPr>
      <w:ind w:left="420"/>
    </w:pPr>
  </w:style>
  <w:style xmlns:r="http://schemas.openxmlformats.org/officeDocument/2006/relationships" w:type="paragraph" w:styleId="cf1a7749">
    <w:name w:val="Normal (Web)cf1a774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87b44bc">
    <w:name w:val="Normala87b44bca87b44b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8375a49">
    <w:name w:val="heading 1e8375a49e8375a49"/>
    <w:basedOn w:val="a87b44b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701e2bf">
    <w:name w:val="heading 2c701e2bfc701e2bf"/>
    <w:basedOn w:val="a87b44b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e982720">
    <w:name w:val="heading 37e9827207e982720"/>
    <w:basedOn w:val="a87b44b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03e5de8">
    <w:name w:val="Default Paragraph Font003e5de8003e5de8"/>
  </w:style>
  <w:style xmlns:r="http://schemas.openxmlformats.org/officeDocument/2006/relationships" w:type="paragraph" w:customStyle="1" w:styleId="a41aeb07">
    <w:name w:val="引文目录1a41aeb07a41aeb07"/>
    <w:basedOn w:val="a87b44bc"/>
    <w:next w:val="0"/>
    <w:pPr>
      <w:ind w:leftChars="200" w:left="200"/>
    </w:pPr>
  </w:style>
  <w:style xmlns:r="http://schemas.openxmlformats.org/officeDocument/2006/relationships" w:type="paragraph" w:styleId="bc4705e4">
    <w:name w:val="toc 5bc4705e4bc4705e4"/>
    <w:basedOn w:val="a87b44bc"/>
    <w:next w:val="0"/>
    <w:pPr>
      <w:ind w:left="1680"/>
    </w:pPr>
  </w:style>
  <w:style xmlns:r="http://schemas.openxmlformats.org/officeDocument/2006/relationships" w:type="paragraph" w:styleId="6eaa6c93">
    <w:name w:val="toc 36eaa6c936eaa6c93"/>
    <w:basedOn w:val="a87b44bc"/>
    <w:next w:val="0"/>
    <w:pPr>
      <w:ind w:left="840"/>
    </w:pPr>
  </w:style>
  <w:style xmlns:r="http://schemas.openxmlformats.org/officeDocument/2006/relationships" w:type="paragraph" w:styleId="72e64c78">
    <w:name w:val="footer72e64c7872e64c78"/>
    <w:basedOn w:val="a87b44bc"/>
    <w:pPr>
      <w:tabs>
        <w:tab w:val="center" w:pos="4153"/>
        <w:tab w:val="right" w:pos="8307"/>
      </w:tabs>
      <w:adjustRightInd/>
      <w:snapToGrid w:val="0"/>
      <w:contextualSpacing w:val="0"/>
      <w:jc w:val="left"/>
    </w:pPr>
    <w:rPr>
      <w:sz w:val="18"/>
    </w:rPr>
  </w:style>
  <w:style xmlns:r="http://schemas.openxmlformats.org/officeDocument/2006/relationships" w:type="paragraph" w:styleId="2d3d20f9">
    <w:name w:val="header2d3d20f92d3d20f9"/>
    <w:basedOn w:val="a87b44b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3333ffa">
    <w:name w:val="toc 153333ffa53333ffa"/>
    <w:basedOn w:val="a87b44bc"/>
    <w:next w:val="0"/>
  </w:style>
  <w:style xmlns:r="http://schemas.openxmlformats.org/officeDocument/2006/relationships" w:type="paragraph" w:styleId="fa72c3f7">
    <w:name w:val="toc 4fa72c3f7fa72c3f7"/>
    <w:basedOn w:val="a87b44bc"/>
    <w:next w:val="0"/>
    <w:pPr>
      <w:ind w:left="1260"/>
    </w:pPr>
  </w:style>
  <w:style xmlns:r="http://schemas.openxmlformats.org/officeDocument/2006/relationships" w:type="paragraph" w:styleId="0ad28352">
    <w:name w:val="toc 20ad283520ad28352"/>
    <w:basedOn w:val="a87b44bc"/>
    <w:next w:val="0"/>
    <w:pPr>
      <w:ind w:left="420"/>
    </w:pPr>
  </w:style>
  <w:style xmlns:r="http://schemas.openxmlformats.org/officeDocument/2006/relationships" w:type="paragraph" w:customStyle="1" w:styleId="12fa3d2a">
    <w:name w:val="列出段落112fa3d2a12fa3d2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