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202天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ccc37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ccc37c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56dd28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56dd28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e1255a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南银理财珠联璧合鑫逸稳半年193期封闭式公募人民币理财产品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ZZ700322600232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Z7003226000222(投资者可依据该编码在中国理财网www.chinawealth.com.cn查询理财产品相关信息）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A份额：NYXY001224</w:t>
            </w:r>
          </w:p>
          <w:p>
            <w:pPr>
              <w:pStyle w:val="null10"/>
              <w:spacing w:lineRule="exact" w:line="200"/>
            </w:pPr>
            <w:r>
              <w:rPr>
                <w:rFonts w:ascii="方正黑体_GBK" w:hAnsi="方正黑体_GBK" w:cs="宋体" w:eastAsia="方正黑体_GBK"/>
                <w:sz w:val="18"/>
                <w:szCs w:val="18"/>
              </w:rPr>
              <w:t>B份额：NYXY001225</w:t>
            </w:r>
          </w:p>
          <w:p>
            <w:pPr>
              <w:pStyle w:val="null10"/>
              <w:spacing w:lineRule="exact" w:line="200"/>
            </w:pPr>
            <w:r>
              <w:rPr>
                <w:rFonts w:ascii="方正黑体_GBK" w:hAnsi="方正黑体_GBK" w:cs="宋体" w:eastAsia="方正黑体_GBK"/>
                <w:sz w:val="18"/>
                <w:szCs w:val="18"/>
              </w:rPr>
              <w:t>C份额：NYXY001226</w:t>
            </w:r>
          </w:p>
          <w:p>
            <w:pPr>
              <w:pStyle w:val="null10"/>
              <w:spacing w:lineRule="exact" w:line="200"/>
            </w:pPr>
            <w:r>
              <w:rPr>
                <w:rFonts w:ascii="方正黑体_GBK" w:hAnsi="方正黑体_GBK" w:cs="宋体" w:eastAsia="方正黑体_GBK"/>
                <w:sz w:val="18"/>
                <w:szCs w:val="18"/>
              </w:rPr>
              <w:t>F份额：NYXY001342</w:t>
            </w:r>
          </w:p>
          <w:p>
            <w:pPr>
              <w:pStyle w:val="null10"/>
              <w:spacing w:lineRule="exact" w:line="200"/>
            </w:pPr>
            <w:r>
              <w:rPr>
                <w:rFonts w:ascii="方正黑体_GBK" w:hAnsi="方正黑体_GBK" w:cs="宋体" w:eastAsia="方正黑体_GBK"/>
                <w:sz w:val="18"/>
                <w:szCs w:val="18"/>
              </w:rPr>
              <w:t>J份额：NYXY001227</w:t>
            </w:r>
          </w:p>
          <w:p>
            <w:pPr>
              <w:pStyle w:val="null10"/>
              <w:spacing w:lineRule="exact" w:line="200"/>
            </w:pPr>
            <w:r>
              <w:rPr>
                <w:rFonts w:ascii="方正黑体_GBK" w:hAnsi="方正黑体_GBK" w:cs="宋体" w:eastAsia="方正黑体_GBK"/>
                <w:sz w:val="18"/>
                <w:szCs w:val="18"/>
              </w:rPr>
              <w:t>L份额：NYXY001228</w:t>
            </w:r>
          </w:p>
          <w:p>
            <w:pPr>
              <w:pStyle w:val="null10"/>
              <w:spacing w:lineRule="exact" w:line="200"/>
            </w:pPr>
            <w:r>
              <w:rPr>
                <w:rFonts w:ascii="方正黑体_GBK" w:hAnsi="方正黑体_GBK" w:cs="宋体" w:eastAsia="方正黑体_GBK"/>
                <w:sz w:val="18"/>
                <w:szCs w:val="18"/>
              </w:rPr>
              <w:t>A2份额：NYXY001343</w:t>
            </w:r>
          </w:p>
          <w:p>
            <w:pPr>
              <w:pStyle w:val="null10"/>
              <w:spacing w:lineRule="exact" w:line="200"/>
            </w:pPr>
            <w:r>
              <w:rPr>
                <w:rFonts w:ascii="方正黑体_GBK" w:hAnsi="方正黑体_GBK" w:cs="宋体" w:eastAsia="方正黑体_GBK"/>
                <w:sz w:val="18"/>
                <w:szCs w:val="18"/>
              </w:rPr>
              <w:t>Q份额：NYXY001229</w:t>
            </w:r>
          </w:p>
          <w:p>
            <w:pPr>
              <w:pStyle w:val="null10"/>
              <w:spacing w:lineRule="exact" w:line="200"/>
            </w:pPr>
            <w:r>
              <w:rPr>
                <w:rFonts w:ascii="方正黑体_GBK" w:hAnsi="方正黑体_GBK" w:cs="宋体" w:eastAsia="方正黑体_GBK"/>
                <w:sz w:val="18"/>
                <w:szCs w:val="18"/>
              </w:rPr>
              <w:t>Q2份额：NYXY001344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东营银行股份有限公司、桂林银行股份有限公司（财富客户）、海南农村商业银行股份有限公司、石嘴山银行股份有限公司（财富客户）、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L份额：天津农村商业银行股份有限公司(私钻客户)、江苏姜堰农村商业银行股份有限公司（代发客户）。</w:t>
            </w:r>
          </w:p>
          <w:p>
            <w:pPr>
              <w:pStyle w:val="null10"/>
              <w:spacing w:lineRule="exact" w:line="200"/>
            </w:pPr>
            <w:r>
              <w:rPr>
                <w:rFonts w:ascii="方正黑体_GBK" w:hAnsi="方正黑体_GBK" w:cs="宋体" w:eastAsia="方正黑体_GBK"/>
                <w:sz w:val="18"/>
                <w:szCs w:val="18"/>
              </w:rPr>
              <w:t>A2份额：广东顺德农村商业银行股份有限公司。</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A份额/B份额/C份额/F份额/J份额/L份额/A2份额/Q份额/Q2份额：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2026年07月22日 09:00—2026年07月28日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202天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2027年02月16日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A份额：业绩比较基准为1.9%(年化)。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F份额：业绩比较基准为2%(年化)。</w:t>
            </w:r>
          </w:p>
          <w:p>
            <w:pPr>
              <w:pStyle w:val="null10"/>
              <w:spacing w:lineRule="exact" w:line="200"/>
            </w:pPr>
            <w:r>
              <w:rPr>
                <w:rFonts w:ascii="方正黑体_GBK" w:hAnsi="方正黑体_GBK" w:cs="宋体" w:eastAsia="方正黑体_GBK"/>
                <w:sz w:val="18"/>
                <w:szCs w:val="18"/>
              </w:rPr>
              <w:t>J份额：业绩比较基准为1.9%(年化)。</w:t>
            </w:r>
          </w:p>
          <w:p>
            <w:pPr>
              <w:pStyle w:val="null10"/>
              <w:spacing w:lineRule="exact" w:line="200"/>
            </w:pPr>
            <w:r>
              <w:rPr>
                <w:rFonts w:ascii="方正黑体_GBK" w:hAnsi="方正黑体_GBK" w:cs="宋体" w:eastAsia="方正黑体_GBK"/>
                <w:sz w:val="18"/>
                <w:szCs w:val="18"/>
              </w:rPr>
              <w:t>L份额：业绩比较基准为2.15%(年化)。</w:t>
            </w:r>
          </w:p>
          <w:p>
            <w:pPr>
              <w:pStyle w:val="null10"/>
              <w:spacing w:lineRule="exact" w:line="200"/>
            </w:pPr>
            <w:r>
              <w:rPr>
                <w:rFonts w:ascii="方正黑体_GBK" w:hAnsi="方正黑体_GBK" w:cs="宋体" w:eastAsia="方正黑体_GBK"/>
                <w:sz w:val="18"/>
                <w:szCs w:val="18"/>
              </w:rPr>
              <w:t>A2份额：业绩比较基准为1.9%(年化)。</w:t>
            </w:r>
          </w:p>
          <w:p>
            <w:pPr>
              <w:pStyle w:val="null10"/>
              <w:spacing w:lineRule="exact" w:line="200"/>
            </w:pPr>
            <w:r>
              <w:rPr>
                <w:rFonts w:ascii="方正黑体_GBK" w:hAnsi="方正黑体_GBK" w:cs="宋体" w:eastAsia="方正黑体_GBK"/>
                <w:sz w:val="18"/>
                <w:szCs w:val="18"/>
              </w:rPr>
              <w:t>Q份额：业绩比较基准为2.05%(年化)。</w:t>
            </w:r>
          </w:p>
          <w:p>
            <w:pPr>
              <w:pStyle w:val="null10"/>
              <w:spacing w:lineRule="exact" w:line="200"/>
            </w:pPr>
            <w:r>
              <w:rPr>
                <w:rFonts w:ascii="方正黑体_GBK" w:hAnsi="方正黑体_GBK" w:cs="宋体" w:eastAsia="方正黑体_GBK"/>
                <w:sz w:val="18"/>
                <w:szCs w:val="18"/>
              </w:rPr>
              <w:t>Q2份额：业绩比较基准为2.15%(年化)。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A2份额：销售费年化0.3%</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A2份额：固定管理费年化0.01%</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56dd28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16545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165452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16545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165452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16545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16545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16545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165452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南银理财珠联璧合鑫逸稳半年193期封闭式公募人民币理财产品</w:t>
      </w:r>
      <w:r>
        <w:rPr>
          <w:rFonts w:ascii="方正黑体_GBK" w:eastAsia="方正黑体_GBK" w:hint="eastAsia" w:hAnsi="方正黑体_GBK"/>
          <w:vanish w:val="0"/>
          <w:color w:val="3D3D3D"/>
          <w:kern w:val="0"/>
          <w:sz w:val="15"/>
          <w:szCs w:val="15"/>
        </w:rPr>
        <w:t>。</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165452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165452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165452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165452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581f98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581f98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581f98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581f98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581f98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581f98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165452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165452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165452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581f98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56dd286"/>
        <w:keepNext w:val="0"/>
        <w:keepLines w:val="0"/>
        <w:pageBreakBefore w:val="0"/>
        <w:widowControl/>
        <w:suppressLineNumbers w:val="0"/>
        <w:suppressAutoHyphens w:val="0"/>
        <w:spacing w:line="200" w:lineRule="exact"/>
        <w:ind w:firstLineChars="200" w:firstLine="300"/>
        <w:rPr>
          <w:rStyle w:val="d581f98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56dd28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56dd28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56dd28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56dd28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56dd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56dd28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3"/>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ccc37c6">
    <w:name w:val="Normal1ccc37c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bafea74">
    <w:name w:val="heading 14bafea74"/>
    <w:basedOn w:val="1ccc37c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f65c178">
    <w:name w:val="heading 20f65c178"/>
    <w:basedOn w:val="1ccc37c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338c279">
    <w:name w:val="heading 3f338c279"/>
    <w:basedOn w:val="1ccc37c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bcb6bad">
    <w:name w:val="Default Paragraph Fontabcb6bad"/>
  </w:style>
  <w:style xmlns:r="http://schemas.openxmlformats.org/officeDocument/2006/relationships" w:type="paragraph" w:styleId="820551a3">
    <w:name w:val="toc 1820551a3"/>
    <w:basedOn w:val="1ccc37c6"/>
    <w:autoRedefine/>
    <w:next w:val="0"/>
  </w:style>
  <w:style xmlns:r="http://schemas.openxmlformats.org/officeDocument/2006/relationships" w:type="paragraph" w:styleId="8ca4c776">
    <w:name w:val="toc 28ca4c776"/>
    <w:basedOn w:val="1ccc37c6"/>
    <w:autoRedefine/>
    <w:next w:val="0"/>
    <w:pPr>
      <w:ind w:left="420"/>
    </w:pPr>
  </w:style>
  <w:style xmlns:r="http://schemas.openxmlformats.org/officeDocument/2006/relationships" w:type="paragraph" w:styleId="ac4a318b">
    <w:name w:val="toc 3ac4a318b"/>
    <w:basedOn w:val="1ccc37c6"/>
    <w:autoRedefine/>
    <w:next w:val="0"/>
    <w:pPr>
      <w:ind w:left="840"/>
    </w:pPr>
  </w:style>
  <w:style xmlns:r="http://schemas.openxmlformats.org/officeDocument/2006/relationships" w:type="paragraph" w:styleId="08cc8be5">
    <w:name w:val="toc 408cc8be5"/>
    <w:basedOn w:val="1ccc37c6"/>
    <w:autoRedefine/>
    <w:next w:val="0"/>
    <w:pPr>
      <w:ind w:left="1260"/>
    </w:pPr>
  </w:style>
  <w:style xmlns:r="http://schemas.openxmlformats.org/officeDocument/2006/relationships" w:type="paragraph" w:styleId="1e283652">
    <w:name w:val="toc 51e283652"/>
    <w:basedOn w:val="1ccc37c6"/>
    <w:autoRedefine/>
    <w:next w:val="0"/>
    <w:pPr>
      <w:ind w:left="1680"/>
    </w:pPr>
  </w:style>
  <w:style xmlns:r="http://schemas.openxmlformats.org/officeDocument/2006/relationships" w:type="paragraph" w:styleId="2cd211a5">
    <w:name w:val="header2cd211a5"/>
    <w:basedOn w:val="1ccc37c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7c03ba5">
    <w:name w:val="footer17c03ba5"/>
    <w:basedOn w:val="1ccc37c6"/>
    <w:pPr>
      <w:tabs>
        <w:tab w:val="center" w:pos="4153"/>
        <w:tab w:val="right" w:pos="8307"/>
      </w:tabs>
      <w:adjustRightInd/>
      <w:snapToGrid w:val="0"/>
      <w:contextualSpacing w:val="0"/>
      <w:jc w:val="left"/>
    </w:pPr>
    <w:rPr>
      <w:sz w:val="18"/>
    </w:rPr>
  </w:style>
  <w:style xmlns:r="http://schemas.openxmlformats.org/officeDocument/2006/relationships" w:type="character" w:styleId="ca6bf388">
    <w:name w:val="Strongca6bf38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56dd286">
    <w:name w:val="Normald56dd28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d15c671">
    <w:name w:val="heading 1fd15c671"/>
    <w:basedOn w:val="d56dd28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5dcfa1c">
    <w:name w:val="heading 2e5dcfa1c"/>
    <w:basedOn w:val="d56dd28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1725e29">
    <w:name w:val="heading 341725e29"/>
    <w:basedOn w:val="d56dd28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dd17bbe">
    <w:name w:val="Default Paragraph Font3dd17bbe"/>
  </w:style>
  <w:style xmlns:r="http://schemas.openxmlformats.org/officeDocument/2006/relationships" w:type="paragraph" w:styleId="e1fba0ed">
    <w:name w:val="Normal Indente1fba0ed"/>
    <w:basedOn w:val="d56dd286"/>
    <w:pPr>
      <w:ind w:firstLineChars="200" w:firstLine="200"/>
    </w:pPr>
  </w:style>
  <w:style xmlns:r="http://schemas.openxmlformats.org/officeDocument/2006/relationships" w:type="paragraph" w:styleId="3b7fa7b9">
    <w:name w:val="toc 53b7fa7b9"/>
    <w:basedOn w:val="d56dd286"/>
    <w:next w:val="0"/>
    <w:pPr>
      <w:ind w:left="1680"/>
    </w:pPr>
  </w:style>
  <w:style xmlns:r="http://schemas.openxmlformats.org/officeDocument/2006/relationships" w:type="paragraph" w:styleId="84b13658">
    <w:name w:val="toc 384b13658"/>
    <w:basedOn w:val="d56dd286"/>
    <w:next w:val="0"/>
    <w:pPr>
      <w:ind w:left="840"/>
    </w:pPr>
  </w:style>
  <w:style xmlns:r="http://schemas.openxmlformats.org/officeDocument/2006/relationships" w:type="paragraph" w:styleId="f718ffff">
    <w:name w:val="footerf718ffff"/>
    <w:basedOn w:val="d56dd286"/>
    <w:pPr>
      <w:tabs>
        <w:tab w:val="center" w:pos="4153"/>
        <w:tab w:val="right" w:pos="8307"/>
      </w:tabs>
      <w:adjustRightInd/>
      <w:snapToGrid w:val="0"/>
      <w:contextualSpacing w:val="0"/>
      <w:jc w:val="left"/>
    </w:pPr>
    <w:rPr>
      <w:sz w:val="18"/>
    </w:rPr>
  </w:style>
  <w:style xmlns:r="http://schemas.openxmlformats.org/officeDocument/2006/relationships" w:type="paragraph" w:styleId="6422934c">
    <w:name w:val="header6422934c"/>
    <w:basedOn w:val="d56dd28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7754855">
    <w:name w:val="toc 147754855"/>
    <w:basedOn w:val="d56dd286"/>
    <w:next w:val="0"/>
  </w:style>
  <w:style xmlns:r="http://schemas.openxmlformats.org/officeDocument/2006/relationships" w:type="paragraph" w:styleId="76ee472f">
    <w:name w:val="toc 476ee472f"/>
    <w:basedOn w:val="d56dd286"/>
    <w:next w:val="0"/>
    <w:pPr>
      <w:ind w:left="1260"/>
    </w:pPr>
  </w:style>
  <w:style xmlns:r="http://schemas.openxmlformats.org/officeDocument/2006/relationships" w:type="paragraph" w:styleId="a650ebb4">
    <w:name w:val="toc 2a650ebb4"/>
    <w:basedOn w:val="d56dd286"/>
    <w:next w:val="0"/>
    <w:pPr>
      <w:ind w:left="420"/>
    </w:pPr>
  </w:style>
  <w:style xmlns:r="http://schemas.openxmlformats.org/officeDocument/2006/relationships" w:type="paragraph" w:styleId="ae1255a9">
    <w:name w:val="Normal (Web)ae1255a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165452a">
    <w:name w:val="Normale165452ae165452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2934de9">
    <w:name w:val="heading 1a2934de9a2934de9"/>
    <w:basedOn w:val="e165452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12835a9">
    <w:name w:val="heading 2612835a9612835a9"/>
    <w:basedOn w:val="e165452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e3233ef">
    <w:name w:val="heading 32e3233ef2e3233ef"/>
    <w:basedOn w:val="e165452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04307c8">
    <w:name w:val="Default Paragraph Fonta04307c8a04307c8"/>
  </w:style>
  <w:style xmlns:r="http://schemas.openxmlformats.org/officeDocument/2006/relationships" w:type="paragraph" w:customStyle="1" w:styleId="d370e4dc">
    <w:name w:val="引文目录1d370e4dcd370e4dc"/>
    <w:basedOn w:val="e165452a"/>
    <w:next w:val="0"/>
    <w:pPr>
      <w:ind w:leftChars="200" w:left="200"/>
    </w:pPr>
  </w:style>
  <w:style xmlns:r="http://schemas.openxmlformats.org/officeDocument/2006/relationships" w:type="paragraph" w:styleId="6c0d8915">
    <w:name w:val="toc 56c0d89156c0d8915"/>
    <w:basedOn w:val="e165452a"/>
    <w:next w:val="0"/>
    <w:pPr>
      <w:ind w:left="1680"/>
    </w:pPr>
  </w:style>
  <w:style xmlns:r="http://schemas.openxmlformats.org/officeDocument/2006/relationships" w:type="paragraph" w:styleId="4a5fecbe">
    <w:name w:val="toc 34a5fecbe4a5fecbe"/>
    <w:basedOn w:val="e165452a"/>
    <w:next w:val="0"/>
    <w:pPr>
      <w:ind w:left="840"/>
    </w:pPr>
  </w:style>
  <w:style xmlns:r="http://schemas.openxmlformats.org/officeDocument/2006/relationships" w:type="paragraph" w:styleId="88ef47b0">
    <w:name w:val="footer88ef47b088ef47b0"/>
    <w:basedOn w:val="e165452a"/>
    <w:pPr>
      <w:tabs>
        <w:tab w:val="center" w:pos="4153"/>
        <w:tab w:val="right" w:pos="8307"/>
      </w:tabs>
      <w:adjustRightInd/>
      <w:snapToGrid w:val="0"/>
      <w:contextualSpacing w:val="0"/>
      <w:jc w:val="left"/>
    </w:pPr>
    <w:rPr>
      <w:sz w:val="18"/>
    </w:rPr>
  </w:style>
  <w:style xmlns:r="http://schemas.openxmlformats.org/officeDocument/2006/relationships" w:type="paragraph" w:styleId="e5f73ce8">
    <w:name w:val="headere5f73ce8e5f73ce8"/>
    <w:basedOn w:val="e165452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dd792c8">
    <w:name w:val="toc 13dd792c83dd792c8"/>
    <w:basedOn w:val="e165452a"/>
    <w:next w:val="0"/>
  </w:style>
  <w:style xmlns:r="http://schemas.openxmlformats.org/officeDocument/2006/relationships" w:type="paragraph" w:styleId="80fd33b1">
    <w:name w:val="toc 480fd33b180fd33b1"/>
    <w:basedOn w:val="e165452a"/>
    <w:next w:val="0"/>
    <w:pPr>
      <w:ind w:left="1260"/>
    </w:pPr>
  </w:style>
  <w:style xmlns:r="http://schemas.openxmlformats.org/officeDocument/2006/relationships" w:type="paragraph" w:styleId="a1db521c">
    <w:name w:val="toc 2a1db521ca1db521c"/>
    <w:basedOn w:val="e165452a"/>
    <w:next w:val="0"/>
    <w:pPr>
      <w:ind w:left="420"/>
    </w:pPr>
  </w:style>
  <w:style xmlns:r="http://schemas.openxmlformats.org/officeDocument/2006/relationships" w:type="paragraph" w:customStyle="1" w:styleId="d581f985">
    <w:name w:val="列出段落1d581f985d581f98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