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fc561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2fc561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2fc561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fc561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fc561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fc561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fc561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fc561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fc561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fc561e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fc561e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abe6fd1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abe6fd1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67a24e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南银理财珠联璧合鑫逸稳一年287期封闭式公募人民币理财产品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ZZ700322600233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Z7003226000220(投资者可依据该编码在中国理财网www.chinawealth.com.cn查询理财产品相关信息）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A份额：NYXY001230</w:t>
            </w:r>
          </w:p>
          <w:p>
            <w:pPr>
              <w:pStyle w:val="null10"/>
              <w:spacing w:lineRule="exact" w:line="200"/>
            </w:pPr>
            <w:r>
              <w:rPr>
                <w:rFonts w:ascii="方正黑体_GBK" w:hAnsi="方正黑体_GBK" w:cs="宋体" w:eastAsia="方正黑体_GBK"/>
                <w:sz w:val="18"/>
                <w:szCs w:val="18"/>
              </w:rPr>
              <w:t>B份额：NYXY001231</w:t>
            </w:r>
          </w:p>
          <w:p>
            <w:pPr>
              <w:pStyle w:val="null10"/>
              <w:spacing w:lineRule="exact" w:line="200"/>
            </w:pPr>
            <w:r>
              <w:rPr>
                <w:rFonts w:ascii="方正黑体_GBK" w:hAnsi="方正黑体_GBK" w:cs="宋体" w:eastAsia="方正黑体_GBK"/>
                <w:sz w:val="18"/>
                <w:szCs w:val="18"/>
              </w:rPr>
              <w:t>C份额：NYXY001232</w:t>
            </w:r>
          </w:p>
          <w:p>
            <w:pPr>
              <w:pStyle w:val="null10"/>
              <w:spacing w:lineRule="exact" w:line="200"/>
            </w:pPr>
            <w:r>
              <w:rPr>
                <w:rFonts w:ascii="方正黑体_GBK" w:hAnsi="方正黑体_GBK" w:cs="宋体" w:eastAsia="方正黑体_GBK"/>
                <w:sz w:val="18"/>
                <w:szCs w:val="18"/>
              </w:rPr>
              <w:t>F份额：NYXY001345</w:t>
            </w:r>
          </w:p>
          <w:p>
            <w:pPr>
              <w:pStyle w:val="null10"/>
              <w:spacing w:lineRule="exact" w:line="200"/>
            </w:pPr>
            <w:r>
              <w:rPr>
                <w:rFonts w:ascii="方正黑体_GBK" w:hAnsi="方正黑体_GBK" w:cs="宋体" w:eastAsia="方正黑体_GBK"/>
                <w:sz w:val="18"/>
                <w:szCs w:val="18"/>
              </w:rPr>
              <w:t>L份额：NYXY001233</w:t>
            </w:r>
          </w:p>
          <w:p>
            <w:pPr>
              <w:pStyle w:val="null10"/>
              <w:spacing w:lineRule="exact" w:line="200"/>
            </w:pPr>
            <w:r>
              <w:rPr>
                <w:rFonts w:ascii="方正黑体_GBK" w:hAnsi="方正黑体_GBK" w:cs="宋体" w:eastAsia="方正黑体_GBK"/>
                <w:sz w:val="18"/>
                <w:szCs w:val="18"/>
              </w:rPr>
              <w:t>O份额：NYXY001234</w:t>
            </w:r>
          </w:p>
          <w:p>
            <w:pPr>
              <w:pStyle w:val="null10"/>
              <w:spacing w:lineRule="exact" w:line="200"/>
            </w:pPr>
            <w:r>
              <w:rPr>
                <w:rFonts w:ascii="方正黑体_GBK" w:hAnsi="方正黑体_GBK" w:cs="宋体" w:eastAsia="方正黑体_GBK"/>
                <w:sz w:val="18"/>
                <w:szCs w:val="18"/>
              </w:rPr>
              <w:t>A2份额：NYXY001346</w:t>
            </w:r>
          </w:p>
          <w:p>
            <w:pPr>
              <w:pStyle w:val="null10"/>
              <w:spacing w:lineRule="exact" w:line="200"/>
            </w:pPr>
            <w:r>
              <w:rPr>
                <w:rFonts w:ascii="方正黑体_GBK" w:hAnsi="方正黑体_GBK" w:cs="宋体" w:eastAsia="方正黑体_GBK"/>
                <w:sz w:val="18"/>
                <w:szCs w:val="18"/>
              </w:rPr>
              <w:t>F2份额：NYXY001347</w:t>
            </w:r>
          </w:p>
          <w:p>
            <w:pPr>
              <w:pStyle w:val="null10"/>
              <w:spacing w:lineRule="exact" w:line="200"/>
            </w:pPr>
            <w:r>
              <w:rPr>
                <w:rFonts w:ascii="方正黑体_GBK" w:hAnsi="方正黑体_GBK" w:cs="宋体" w:eastAsia="方正黑体_GBK"/>
                <w:sz w:val="18"/>
                <w:szCs w:val="18"/>
              </w:rPr>
              <w:t>G2份额：NYXY001348</w:t>
            </w:r>
          </w:p>
          <w:p>
            <w:pPr>
              <w:pStyle w:val="null10"/>
              <w:spacing w:lineRule="exact" w:line="200"/>
            </w:pPr>
            <w:r>
              <w:rPr>
                <w:rFonts w:ascii="方正黑体_GBK" w:hAnsi="方正黑体_GBK" w:cs="宋体" w:eastAsia="方正黑体_GBK"/>
                <w:sz w:val="18"/>
                <w:szCs w:val="18"/>
              </w:rPr>
              <w:t>Q份额：NYXY001235</w:t>
            </w:r>
          </w:p>
          <w:p>
            <w:pPr>
              <w:pStyle w:val="null10"/>
              <w:spacing w:lineRule="exact" w:line="200"/>
            </w:pPr>
            <w:r>
              <w:rPr>
                <w:rFonts w:ascii="方正黑体_GBK" w:hAnsi="方正黑体_GBK" w:cs="宋体" w:eastAsia="方正黑体_GBK"/>
                <w:sz w:val="18"/>
                <w:szCs w:val="18"/>
              </w:rPr>
              <w:t>Q1份额：NYXY001236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德州银行股份有限公司、宁夏银行股份有限公司（1元起购）、九江银行股份有限公司、海南银行股份有限公司、廊坊银行股份有限公司、乌鲁木齐银行股份有限公司、上海农村商业银行股份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私行客户)、徽商银行股份有限公司(除代发客户外的其他客户)、齐商银行股份有限公司、嘉兴银行股份有限公司（私行客户）、广州银行股份有限公司、江苏苏州农村商业银行股份有限公司（高客客户）、郑州银行股份有限公司、秦皇岛银行股份有限公司、宁波东海银行股份有限公司、齐鲁银行股份有限公司(白金/私行客户)、天津农村商业银行股份有限公司(企业拓展客户)、山西银行股份有限公司（拥军优享客户）、云南红塔银行股份有限公司、东营银行股份有限公司、海南农村商业银行股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烟台银行股份有限公司、江苏苏州农村商业银行股份有限公司（新客客户）、蒙商银行股份有限公司（代发工资客户）、日照银行股份有限公司（除私行客户外的其他客户）、齐鲁银行股份有限公司(财富客户)、天津农村商业银行股份有限公司(个人新客)、山西银行股份有限公司（新客户）、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 L份额：日照银行股份有限公司（私行客户）、潍坊银行股份有限公司、泰安银行股份有限公司（除私行客户外的其他客户）、天津农村商业银行股份有限公司(私钻客户)、江苏兴化农村商业银行股份有限公司(人民医院职工客户)。</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L份额：日照银行股份有限公司（私行客户）、潍坊银行股份有限公司、泰安银行股份有限公司（除私行客户外的其他客户）、天津农村商业银行股份有限公司(私钻客户)、江苏兴化农村商业银行股份有限公司(人民医院职工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szCs w:val="18"/>
              </w:rPr>
              <w:t>A2份额：朝阳银行股份有限公司。</w:t>
            </w:r>
          </w:p>
          <w:p>
            <w:pPr>
              <w:pStyle w:val="null10"/>
              <w:spacing w:lineRule="exact" w:line="200"/>
            </w:pPr>
            <w:r>
              <w:rPr>
                <w:rFonts w:ascii="方正黑体_GBK" w:hAnsi="方正黑体_GBK" w:cs="宋体" w:eastAsia="方正黑体_GBK"/>
                <w:sz w:val="18"/>
                <w:szCs w:val="18"/>
              </w:rPr>
              <w:t>F2份额：温州银行股份有限公司。</w:t>
            </w:r>
          </w:p>
          <w:p>
            <w:pPr>
              <w:pStyle w:val="null10"/>
              <w:spacing w:lineRule="exact" w:line="200"/>
            </w:pPr>
            <w:r>
              <w:rPr>
                <w:rFonts w:ascii="方正黑体_GBK" w:hAnsi="方正黑体_GBK" w:cs="宋体" w:eastAsia="方正黑体_GBK"/>
                <w:sz w:val="18"/>
                <w:szCs w:val="18"/>
              </w:rPr>
              <w:t>G2份额：宁夏银行股份有限公司（20万元起购）。</w:t>
            </w:r>
          </w:p>
          <w:p>
            <w:pPr>
              <w:pStyle w:val="null10"/>
              <w:spacing w:lineRule="exact" w:line="200"/>
            </w:pPr>
            <w:r>
              <w:rPr>
                <w:rFonts w:ascii="方正黑体_GBK" w:hAnsi="方正黑体_GBK" w:cs="宋体" w:eastAsia="方正黑体_GBK"/>
                <w:sz w:val="18"/>
                <w:szCs w:val="18"/>
              </w:rPr>
              <w:t>Q份额：天津农村商业银行股份有限公司(私行客户)。</w:t>
            </w:r>
          </w:p>
          <w:p>
            <w:pPr>
              <w:pStyle w:val="null10"/>
              <w:spacing w:lineRule="exact" w:line="200"/>
            </w:pPr>
            <w:r>
              <w:rPr>
                <w:rFonts w:ascii="方正黑体_GBK" w:hAnsi="方正黑体_GBK" w:cs="宋体" w:eastAsia="方正黑体_GBK"/>
                <w:sz w:val="18"/>
                <w:szCs w:val="18"/>
              </w:rPr>
              <w:t>Q1份额：徽商银行股份有限公司（代发客户）。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A份额/B份额/C份额/F份额/L份额/O份额/A2份额/F2份额/Q份额/Q1份额：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G2份额：</w:t>
            </w:r>
          </w:p>
          <w:p>
            <w:pPr>
              <w:pStyle w:val="null10"/>
              <w:spacing w:lineRule="exact" w:line="200"/>
            </w:pPr>
            <w:r>
              <w:rPr>
                <w:rFonts w:ascii="方正黑体_GBK" w:hAnsi="方正黑体_GBK" w:cs="宋体" w:eastAsia="方正黑体_GBK"/>
                <w:sz w:val="18"/>
                <w:szCs w:val="18"/>
              </w:rPr>
              <w:t>个人投资者投资起点金额20万元人民币，以1元的整数倍递增；</w:t>
            </w:r>
          </w:p>
          <w:p>
            <w:pPr>
              <w:pStyle w:val="null10"/>
              <w:spacing w:lineRule="exact" w:line="200"/>
            </w:pPr>
            <w:r>
              <w:rPr>
                <w:rFonts w:ascii="方正黑体_GBK" w:hAnsi="方正黑体_GBK" w:cs="宋体" w:eastAsia="方正黑体_GBK"/>
                <w:sz w:val="18"/>
                <w:szCs w:val="18"/>
              </w:rPr>
              <w:t>机构投资者投资起点金额20万元人民币，以1元的整数倍递增；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2026年07月22日 09:00—2026年07月28日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2026年07月29日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2026年07月29日—实际到期日（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2027年09月01日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16.同业借款：资产类型为南银理财有限责任公司向持牌金融机构发放的同业借款，资产到期日不超过理财产品到期日，融资人为中国中信金融资产管理股份有限公司。</w:t>
            </w:r>
          </w:p>
          <w:p>
            <w:pPr>
              <w:pStyle w:val="null10"/>
              <w:spacing w:lineRule="exact" w:line="200"/>
            </w:pPr>
            <w:r>
              <w:rPr>
                <w:rFonts w:ascii="方正黑体_GBK" w:hAnsi="方正黑体_GBK" w:cs="宋体" w:eastAsia="方正黑体_GBK"/>
                <w:sz w:val="18"/>
                <w:szCs w:val="18"/>
              </w:rPr>
              <w:t>17.同业借款：资产类型为南银理财有限责任公司向持牌金融机构发放的同业借款，资产到期日不超过理财产品到期日，融资人为中国东方资产管理股份有限公司。</w:t>
            </w:r>
          </w:p>
          <w:p>
            <w:pPr>
              <w:pStyle w:val="null10"/>
              <w:spacing w:lineRule="exact" w:line="200"/>
            </w:pPr>
            <w:r>
              <w:rPr>
                <w:rFonts w:ascii="方正黑体_GBK" w:hAnsi="方正黑体_GBK" w:cs="宋体" w:eastAsia="方正黑体_GBK"/>
                <w:sz w:val="18"/>
                <w:szCs w:val="18"/>
              </w:rPr>
              <w:t>18.同业借款：资产类型为南银理财有限责任公司向持牌金融机构发放的同业借款，资产到期日不超过理财产品到期日，融资人为中国信达资产管理股份有限公司。</w:t>
            </w:r>
          </w:p>
          <w:p>
            <w:pPr>
              <w:pStyle w:val="null10"/>
              <w:spacing w:lineRule="exact" w:line="200"/>
            </w:pPr>
            <w:r>
              <w:rPr>
                <w:rFonts w:ascii="方正黑体_GBK" w:hAnsi="方正黑体_GBK" w:cs="宋体" w:eastAsia="方正黑体_GBK"/>
                <w:sz w:val="18"/>
                <w:szCs w:val="18"/>
              </w:rPr>
              <w:t>19.同业借款：资产类型为南银理财有限责任公司向持牌金融机构发放的同业借款，资产到期日不超过理财产品到期日，融资人为中国长城资产管理股份有限公司。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29.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30.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32.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36.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37.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40.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F份额：业绩比较基准为年化2.4%-2.65% 。</w:t>
            </w:r>
          </w:p>
          <w:p>
            <w:pPr>
              <w:pStyle w:val="null10"/>
              <w:spacing w:lineRule="exact" w:line="200"/>
            </w:pPr>
            <w:r>
              <w:rPr>
                <w:rFonts w:ascii="方正黑体_GBK" w:hAnsi="方正黑体_GBK" w:cs="宋体" w:eastAsia="方正黑体_GBK"/>
                <w:sz w:val="18"/>
                <w:szCs w:val="18"/>
              </w:rPr>
              <w:t>L份额：业绩比较基准为年化2.65%-2.9% 。</w:t>
            </w:r>
          </w:p>
          <w:p>
            <w:pPr>
              <w:pStyle w:val="null10"/>
              <w:spacing w:lineRule="exact" w:line="200"/>
            </w:pPr>
            <w:r>
              <w:rPr>
                <w:rFonts w:ascii="方正黑体_GBK" w:hAnsi="方正黑体_GBK" w:cs="宋体" w:eastAsia="方正黑体_GBK"/>
                <w:sz w:val="18"/>
                <w:szCs w:val="18"/>
              </w:rPr>
              <w:t>O份额：业绩比较基准为年化2.5%-2.75% 。</w:t>
            </w:r>
          </w:p>
          <w:p>
            <w:pPr>
              <w:pStyle w:val="null10"/>
              <w:spacing w:lineRule="exact" w:line="200"/>
            </w:pPr>
            <w:r>
              <w:rPr>
                <w:rFonts w:ascii="方正黑体_GBK" w:hAnsi="方正黑体_GBK" w:cs="宋体" w:eastAsia="方正黑体_GBK"/>
                <w:sz w:val="18"/>
                <w:szCs w:val="18"/>
              </w:rPr>
              <w:t>A2份额：业绩比较基准为年化2.35%-2.6% 。</w:t>
            </w:r>
          </w:p>
          <w:p>
            <w:pPr>
              <w:pStyle w:val="null10"/>
              <w:spacing w:lineRule="exact" w:line="200"/>
            </w:pPr>
            <w:r>
              <w:rPr>
                <w:rFonts w:ascii="方正黑体_GBK" w:hAnsi="方正黑体_GBK" w:cs="宋体" w:eastAsia="方正黑体_GBK"/>
                <w:sz w:val="18"/>
                <w:szCs w:val="18"/>
              </w:rPr>
              <w:t>F2份额：业绩比较基准为年化2.45%-2.7% 。</w:t>
            </w:r>
          </w:p>
          <w:p>
            <w:pPr>
              <w:pStyle w:val="null10"/>
              <w:spacing w:lineRule="exact" w:line="200"/>
            </w:pPr>
            <w:r>
              <w:rPr>
                <w:rFonts w:ascii="方正黑体_GBK" w:hAnsi="方正黑体_GBK" w:cs="宋体" w:eastAsia="方正黑体_GBK"/>
                <w:sz w:val="18"/>
                <w:szCs w:val="18"/>
              </w:rPr>
              <w:t>G2份额：业绩比较基准为年化2.6%-2.85% 。</w:t>
            </w:r>
          </w:p>
          <w:p>
            <w:pPr>
              <w:pStyle w:val="null10"/>
              <w:spacing w:lineRule="exact" w:line="200"/>
            </w:pPr>
            <w:r>
              <w:rPr>
                <w:rFonts w:ascii="方正黑体_GBK" w:hAnsi="方正黑体_GBK" w:cs="宋体" w:eastAsia="方正黑体_GBK"/>
                <w:sz w:val="18"/>
                <w:szCs w:val="18"/>
              </w:rPr>
              <w:t>Q份额：业绩比较基准为年化2.55%-2.8% 。</w:t>
            </w:r>
          </w:p>
          <w:p>
            <w:pPr>
              <w:pStyle w:val="null10"/>
              <w:spacing w:lineRule="exact" w:line="200"/>
            </w:pPr>
            <w:r>
              <w:rPr>
                <w:rFonts w:ascii="方正黑体_GBK" w:hAnsi="方正黑体_GBK" w:cs="宋体" w:eastAsia="方正黑体_GBK"/>
                <w:sz w:val="18"/>
                <w:szCs w:val="18"/>
              </w:rPr>
              <w:t>Q1份额：业绩比较基准为年化2.53%-2.78%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C份额，L份额，G2份额：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F份额，A2份额，F2份额：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本理财产品一次性收取年化0.2%的销售费，按日摊销。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Q份额：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Q1份额：</w:t>
            </w:r>
          </w:p>
          <w:p>
            <w:pPr>
              <w:pStyle w:val="null10"/>
              <w:spacing w:lineRule="exact" w:line="200"/>
            </w:pPr>
            <w:r>
              <w:rPr>
                <w:rFonts w:ascii="方正黑体_GBK" w:hAnsi="方正黑体_GBK" w:cs="宋体" w:eastAsia="方正黑体_GBK"/>
                <w:sz w:val="18"/>
                <w:b/>
                <w:szCs w:val="18"/>
              </w:rPr>
              <w:t>本理财产品按前一日理财产品资产净值收取年化0.17%的销售费，按日计提。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F份额：固定管理费年化0.15%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A2份额：固定管理费年化0.2%</w:t>
            </w:r>
          </w:p>
          <w:p>
            <w:pPr>
              <w:pStyle w:val="null10"/>
              <w:spacing w:lineRule="exact" w:line="200"/>
            </w:pPr>
            <w:r>
              <w:rPr>
                <w:rFonts w:ascii="方正黑体_GBK" w:hAnsi="方正黑体_GBK" w:cs="宋体" w:eastAsia="方正黑体_GBK"/>
                <w:sz w:val="18"/>
                <w:b/>
                <w:szCs w:val="18"/>
              </w:rPr>
              <w:t>F2份额：固定管理费年化0.1%</w:t>
            </w:r>
          </w:p>
          <w:p>
            <w:pPr>
              <w:pStyle w:val="null10"/>
              <w:spacing w:lineRule="exact" w:line="200"/>
            </w:pPr>
            <w:r>
              <w:rPr>
                <w:rFonts w:ascii="方正黑体_GBK" w:hAnsi="方正黑体_GBK" w:cs="宋体" w:eastAsia="方正黑体_GBK"/>
                <w:sz w:val="18"/>
                <w:b/>
                <w:szCs w:val="18"/>
              </w:rPr>
              <w:t>G2份额：固定管理费年化0.15%</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F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G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海南农村商业银行股份有限公司、湖州银行股份有限公司、江苏灌云农村商业银行股份有限公司、广州农村商业银行股份有限公司、江苏泰州农村商业银行股份有限公司、朝阳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国寿投资保险资产管理有限公司成立于1994年06月01日，注册资本金 370000万元。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中诚信托有限责任公司成立于1995年11月20日，注册资本金48.5亿元。</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abe6fd10"/>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110b09e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110b09e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110b09e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110b09e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110b09e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110b09e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110b09e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110b09e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南银理财珠联璧合鑫逸稳一年287期封闭式公募人民币理财产品</w:t>
      </w:r>
      <w:r>
        <w:rPr>
          <w:rFonts w:ascii="方正黑体_GBK" w:eastAsia="方正黑体_GBK" w:hint="eastAsia" w:hAnsi="方正黑体_GBK"/>
          <w:vanish w:val="0"/>
          <w:color w:val="3D3D3D"/>
          <w:kern w:val="0"/>
          <w:sz w:val="15"/>
          <w:szCs w:val="15"/>
        </w:rPr>
        <w:t>。</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110b09e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110b09e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110b09e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110b09e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7a0f204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7a0f204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7a0f204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7a0f204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7a0f204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7a0f204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110b09e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110b09e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110b09e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abe6fd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abe6fd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7a0f204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abe6fd10"/>
        <w:keepNext w:val="0"/>
        <w:keepLines w:val="0"/>
        <w:pageBreakBefore w:val="0"/>
        <w:widowControl/>
        <w:suppressLineNumbers w:val="0"/>
        <w:suppressAutoHyphens w:val="0"/>
        <w:spacing w:line="200" w:lineRule="exact"/>
        <w:ind w:firstLineChars="200" w:firstLine="300"/>
        <w:rPr>
          <w:rStyle w:val="7a0f204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abe6fd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abe6fd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abe6fd1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abe6fd1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abe6fd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abe6fd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abe6fd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abe6fd1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abe6fd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abe6fd1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abe6fd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abe6fd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abe6fd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abe6fd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abe6fd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abe6fd1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abe6fd10"/>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2"/>
  </w:num>
  <w:num w:numId="2">
    <w:abstractNumId w:val="1"/>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fc561e6">
    <w:name w:val="Normal2fc561e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ce0d913">
    <w:name w:val="heading 12ce0d913"/>
    <w:basedOn w:val="2fc561e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461e32c">
    <w:name w:val="heading 29461e32c"/>
    <w:basedOn w:val="2fc561e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b7acf5d">
    <w:name w:val="heading 33b7acf5d"/>
    <w:basedOn w:val="2fc561e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c133002">
    <w:name w:val="Default Paragraph Font2c133002"/>
  </w:style>
  <w:style xmlns:r="http://schemas.openxmlformats.org/officeDocument/2006/relationships" w:type="paragraph" w:styleId="13e82e69">
    <w:name w:val="toc 113e82e69"/>
    <w:basedOn w:val="2fc561e6"/>
    <w:autoRedefine/>
    <w:next w:val="0"/>
  </w:style>
  <w:style xmlns:r="http://schemas.openxmlformats.org/officeDocument/2006/relationships" w:type="paragraph" w:styleId="79d6a676">
    <w:name w:val="toc 279d6a676"/>
    <w:basedOn w:val="2fc561e6"/>
    <w:autoRedefine/>
    <w:next w:val="0"/>
    <w:pPr>
      <w:ind w:left="420"/>
    </w:pPr>
  </w:style>
  <w:style xmlns:r="http://schemas.openxmlformats.org/officeDocument/2006/relationships" w:type="paragraph" w:styleId="6ffd760e">
    <w:name w:val="toc 36ffd760e"/>
    <w:basedOn w:val="2fc561e6"/>
    <w:autoRedefine/>
    <w:next w:val="0"/>
    <w:pPr>
      <w:ind w:left="840"/>
    </w:pPr>
  </w:style>
  <w:style xmlns:r="http://schemas.openxmlformats.org/officeDocument/2006/relationships" w:type="paragraph" w:styleId="9ed0ee2c">
    <w:name w:val="toc 49ed0ee2c"/>
    <w:basedOn w:val="2fc561e6"/>
    <w:autoRedefine/>
    <w:next w:val="0"/>
    <w:pPr>
      <w:ind w:left="1260"/>
    </w:pPr>
  </w:style>
  <w:style xmlns:r="http://schemas.openxmlformats.org/officeDocument/2006/relationships" w:type="paragraph" w:styleId="3506f700">
    <w:name w:val="toc 53506f700"/>
    <w:basedOn w:val="2fc561e6"/>
    <w:autoRedefine/>
    <w:next w:val="0"/>
    <w:pPr>
      <w:ind w:left="1680"/>
    </w:pPr>
  </w:style>
  <w:style xmlns:r="http://schemas.openxmlformats.org/officeDocument/2006/relationships" w:type="paragraph" w:styleId="2a0ec4f3">
    <w:name w:val="header2a0ec4f3"/>
    <w:basedOn w:val="2fc561e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051f53b">
    <w:name w:val="footerf051f53b"/>
    <w:basedOn w:val="2fc561e6"/>
    <w:pPr>
      <w:tabs>
        <w:tab w:val="center" w:pos="4153"/>
        <w:tab w:val="right" w:pos="8307"/>
      </w:tabs>
      <w:adjustRightInd/>
      <w:snapToGrid w:val="0"/>
      <w:contextualSpacing w:val="0"/>
      <w:jc w:val="left"/>
    </w:pPr>
    <w:rPr>
      <w:sz w:val="18"/>
    </w:rPr>
  </w:style>
  <w:style xmlns:r="http://schemas.openxmlformats.org/officeDocument/2006/relationships" w:type="character" w:styleId="a7932adf">
    <w:name w:val="Stronga7932adf"/>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be6fd10">
    <w:name w:val="Normalabe6fd1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c7006e9">
    <w:name w:val="heading 11c7006e9"/>
    <w:basedOn w:val="abe6fd1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48de74c">
    <w:name w:val="heading 2048de74c"/>
    <w:basedOn w:val="abe6fd1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366b773">
    <w:name w:val="heading 34366b773"/>
    <w:basedOn w:val="abe6fd1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463f35a">
    <w:name w:val="Default Paragraph Font5463f35a"/>
  </w:style>
  <w:style xmlns:r="http://schemas.openxmlformats.org/officeDocument/2006/relationships" w:type="paragraph" w:styleId="4d263664">
    <w:name w:val="Normal Indent4d263664"/>
    <w:basedOn w:val="abe6fd10"/>
    <w:pPr>
      <w:ind w:firstLineChars="200" w:firstLine="200"/>
    </w:pPr>
  </w:style>
  <w:style xmlns:r="http://schemas.openxmlformats.org/officeDocument/2006/relationships" w:type="paragraph" w:styleId="a3b71a6d">
    <w:name w:val="toc 5a3b71a6d"/>
    <w:basedOn w:val="abe6fd10"/>
    <w:next w:val="0"/>
    <w:pPr>
      <w:ind w:left="1680"/>
    </w:pPr>
  </w:style>
  <w:style xmlns:r="http://schemas.openxmlformats.org/officeDocument/2006/relationships" w:type="paragraph" w:styleId="f30e8589">
    <w:name w:val="toc 3f30e8589"/>
    <w:basedOn w:val="abe6fd10"/>
    <w:next w:val="0"/>
    <w:pPr>
      <w:ind w:left="840"/>
    </w:pPr>
  </w:style>
  <w:style xmlns:r="http://schemas.openxmlformats.org/officeDocument/2006/relationships" w:type="paragraph" w:styleId="85839a37">
    <w:name w:val="footer85839a37"/>
    <w:basedOn w:val="abe6fd10"/>
    <w:pPr>
      <w:tabs>
        <w:tab w:val="center" w:pos="4153"/>
        <w:tab w:val="right" w:pos="8307"/>
      </w:tabs>
      <w:adjustRightInd/>
      <w:snapToGrid w:val="0"/>
      <w:contextualSpacing w:val="0"/>
      <w:jc w:val="left"/>
    </w:pPr>
    <w:rPr>
      <w:sz w:val="18"/>
    </w:rPr>
  </w:style>
  <w:style xmlns:r="http://schemas.openxmlformats.org/officeDocument/2006/relationships" w:type="paragraph" w:styleId="572199c6">
    <w:name w:val="header572199c6"/>
    <w:basedOn w:val="abe6fd1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fbe649e">
    <w:name w:val="toc 1bfbe649e"/>
    <w:basedOn w:val="abe6fd10"/>
    <w:next w:val="0"/>
  </w:style>
  <w:style xmlns:r="http://schemas.openxmlformats.org/officeDocument/2006/relationships" w:type="paragraph" w:styleId="595c02ab">
    <w:name w:val="toc 4595c02ab"/>
    <w:basedOn w:val="abe6fd10"/>
    <w:next w:val="0"/>
    <w:pPr>
      <w:ind w:left="1260"/>
    </w:pPr>
  </w:style>
  <w:style xmlns:r="http://schemas.openxmlformats.org/officeDocument/2006/relationships" w:type="paragraph" w:styleId="a422b4c4">
    <w:name w:val="toc 2a422b4c4"/>
    <w:basedOn w:val="abe6fd10"/>
    <w:next w:val="0"/>
    <w:pPr>
      <w:ind w:left="420"/>
    </w:pPr>
  </w:style>
  <w:style xmlns:r="http://schemas.openxmlformats.org/officeDocument/2006/relationships" w:type="paragraph" w:styleId="e67a24e9">
    <w:name w:val="Normal (Web)e67a24e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10b09e1">
    <w:name w:val="Normal110b09e1110b09e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c39a378">
    <w:name w:val="heading 17c39a3787c39a378"/>
    <w:basedOn w:val="110b09e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6f953d3">
    <w:name w:val="heading 226f953d326f953d3"/>
    <w:basedOn w:val="110b09e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b17e932">
    <w:name w:val="heading 36b17e9326b17e932"/>
    <w:basedOn w:val="110b09e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1cfbc19">
    <w:name w:val="Default Paragraph Font51cfbc1951cfbc19"/>
  </w:style>
  <w:style xmlns:r="http://schemas.openxmlformats.org/officeDocument/2006/relationships" w:type="paragraph" w:customStyle="1" w:styleId="9ad601f2">
    <w:name w:val="引文目录19ad601f29ad601f2"/>
    <w:basedOn w:val="110b09e1"/>
    <w:next w:val="0"/>
    <w:pPr>
      <w:ind w:leftChars="200" w:left="200"/>
    </w:pPr>
  </w:style>
  <w:style xmlns:r="http://schemas.openxmlformats.org/officeDocument/2006/relationships" w:type="paragraph" w:styleId="c6ccf5a9">
    <w:name w:val="toc 5c6ccf5a9c6ccf5a9"/>
    <w:basedOn w:val="110b09e1"/>
    <w:next w:val="0"/>
    <w:pPr>
      <w:ind w:left="1680"/>
    </w:pPr>
  </w:style>
  <w:style xmlns:r="http://schemas.openxmlformats.org/officeDocument/2006/relationships" w:type="paragraph" w:styleId="58fe0e93">
    <w:name w:val="toc 358fe0e9358fe0e93"/>
    <w:basedOn w:val="110b09e1"/>
    <w:next w:val="0"/>
    <w:pPr>
      <w:ind w:left="840"/>
    </w:pPr>
  </w:style>
  <w:style xmlns:r="http://schemas.openxmlformats.org/officeDocument/2006/relationships" w:type="paragraph" w:styleId="e92d5672">
    <w:name w:val="footere92d5672e92d5672"/>
    <w:basedOn w:val="110b09e1"/>
    <w:pPr>
      <w:tabs>
        <w:tab w:val="center" w:pos="4153"/>
        <w:tab w:val="right" w:pos="8307"/>
      </w:tabs>
      <w:adjustRightInd/>
      <w:snapToGrid w:val="0"/>
      <w:contextualSpacing w:val="0"/>
      <w:jc w:val="left"/>
    </w:pPr>
    <w:rPr>
      <w:sz w:val="18"/>
    </w:rPr>
  </w:style>
  <w:style xmlns:r="http://schemas.openxmlformats.org/officeDocument/2006/relationships" w:type="paragraph" w:styleId="c96b8301">
    <w:name w:val="headerc96b8301c96b8301"/>
    <w:basedOn w:val="110b09e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871e61f">
    <w:name w:val="toc 1f871e61ff871e61f"/>
    <w:basedOn w:val="110b09e1"/>
    <w:next w:val="0"/>
  </w:style>
  <w:style xmlns:r="http://schemas.openxmlformats.org/officeDocument/2006/relationships" w:type="paragraph" w:styleId="a0fcb344">
    <w:name w:val="toc 4a0fcb344a0fcb344"/>
    <w:basedOn w:val="110b09e1"/>
    <w:next w:val="0"/>
    <w:pPr>
      <w:ind w:left="1260"/>
    </w:pPr>
  </w:style>
  <w:style xmlns:r="http://schemas.openxmlformats.org/officeDocument/2006/relationships" w:type="paragraph" w:styleId="4860c475">
    <w:name w:val="toc 24860c4754860c475"/>
    <w:basedOn w:val="110b09e1"/>
    <w:next w:val="0"/>
    <w:pPr>
      <w:ind w:left="420"/>
    </w:pPr>
  </w:style>
  <w:style xmlns:r="http://schemas.openxmlformats.org/officeDocument/2006/relationships" w:type="paragraph" w:customStyle="1" w:styleId="7a0f2046">
    <w:name w:val="列出段落17a0f20467a0f204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