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45215">
      <w:pPr>
        <w:jc w:val="center"/>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关于调整南银理财鼎瑞安稳一年定开2025第</w:t>
      </w:r>
      <w:r>
        <w:rPr>
          <w:rFonts w:hint="eastAsia" w:ascii="方正黑体_GBK" w:hAnsi="方正黑体_GBK" w:eastAsia="方正黑体_GBK" w:cs="方正黑体_GBK"/>
          <w:b/>
          <w:bCs/>
          <w:sz w:val="32"/>
          <w:szCs w:val="32"/>
          <w:lang w:val="en-US" w:eastAsia="zh-CN"/>
        </w:rPr>
        <w:t>13</w:t>
      </w:r>
      <w:r>
        <w:rPr>
          <w:rFonts w:hint="eastAsia" w:ascii="方正黑体_GBK" w:hAnsi="方正黑体_GBK" w:eastAsia="方正黑体_GBK" w:cs="方正黑体_GBK"/>
          <w:b/>
          <w:bCs/>
          <w:sz w:val="32"/>
          <w:szCs w:val="32"/>
        </w:rPr>
        <w:t>期公募人民币理财产品</w:t>
      </w:r>
      <w:r>
        <w:rPr>
          <w:rFonts w:hint="eastAsia" w:ascii="方正黑体_GBK" w:hAnsi="方正黑体_GBK" w:eastAsia="方正黑体_GBK" w:cs="方正黑体_GBK"/>
          <w:b/>
          <w:bCs/>
          <w:sz w:val="32"/>
          <w:szCs w:val="32"/>
          <w:lang w:eastAsia="zh-CN"/>
        </w:rPr>
        <w:t>相关要素</w:t>
      </w:r>
      <w:r>
        <w:rPr>
          <w:rFonts w:hint="eastAsia" w:ascii="方正黑体_GBK" w:hAnsi="方正黑体_GBK" w:eastAsia="方正黑体_GBK" w:cs="方正黑体_GBK"/>
          <w:b/>
          <w:bCs/>
          <w:sz w:val="32"/>
          <w:szCs w:val="32"/>
        </w:rPr>
        <w:t>的公告</w:t>
      </w:r>
    </w:p>
    <w:p w14:paraId="151EF224">
      <w:pP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尊敬的投资者：</w:t>
      </w:r>
    </w:p>
    <w:p w14:paraId="2F9A0ACF">
      <w:pPr>
        <w:spacing w:after="240"/>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szCs w:val="24"/>
        </w:rPr>
        <w:t>根据产品实际投资运作及市场变化情况，并结合产品说明书的相关约定，</w:t>
      </w:r>
      <w:r>
        <w:rPr>
          <w:rFonts w:hint="eastAsia" w:ascii="方正黑体_GBK" w:hAnsi="方正黑体_GBK" w:eastAsia="方正黑体_GBK" w:cs="方正黑体_GBK"/>
          <w:sz w:val="24"/>
        </w:rPr>
        <w:t>本公司将</w:t>
      </w:r>
      <w:r>
        <w:rPr>
          <w:rFonts w:hint="eastAsia" w:ascii="方正黑体_GBK" w:hAnsi="方正黑体_GBK" w:eastAsia="方正黑体_GBK" w:cs="方正黑体_GBK"/>
          <w:sz w:val="24"/>
          <w:lang w:val="en-US" w:eastAsia="zh-CN"/>
        </w:rPr>
        <w:t>自2026年7月23日（含）起</w:t>
      </w:r>
      <w:r>
        <w:rPr>
          <w:rFonts w:hint="eastAsia" w:ascii="方正黑体_GBK" w:hAnsi="方正黑体_GBK" w:eastAsia="方正黑体_GBK" w:cs="方正黑体_GBK"/>
          <w:sz w:val="24"/>
        </w:rPr>
        <w:t>对南银理财鼎瑞安稳一年定开2025第</w:t>
      </w:r>
      <w:r>
        <w:rPr>
          <w:rFonts w:hint="eastAsia" w:ascii="方正黑体_GBK" w:hAnsi="方正黑体_GBK" w:eastAsia="方正黑体_GBK" w:cs="方正黑体_GBK"/>
          <w:sz w:val="24"/>
          <w:lang w:val="en-US" w:eastAsia="zh-CN"/>
        </w:rPr>
        <w:t>13</w:t>
      </w:r>
      <w:r>
        <w:rPr>
          <w:rFonts w:hint="eastAsia" w:ascii="方正黑体_GBK" w:hAnsi="方正黑体_GBK" w:eastAsia="方正黑体_GBK" w:cs="方正黑体_GBK"/>
          <w:sz w:val="24"/>
        </w:rPr>
        <w:t>期公募人民币理财产品（产品登记编码：Z7003225000196）的</w:t>
      </w:r>
      <w:r>
        <w:rPr>
          <w:rFonts w:hint="eastAsia" w:ascii="方正黑体_GBK" w:hAnsi="方正黑体_GBK" w:eastAsia="方正黑体_GBK" w:cs="方正黑体_GBK"/>
          <w:sz w:val="24"/>
          <w:lang w:eastAsia="zh-CN"/>
        </w:rPr>
        <w:t>相关要素</w:t>
      </w:r>
      <w:r>
        <w:rPr>
          <w:rFonts w:hint="eastAsia" w:ascii="方正黑体_GBK" w:hAnsi="方正黑体_GBK" w:eastAsia="方正黑体_GBK" w:cs="方正黑体_GBK"/>
          <w:sz w:val="24"/>
        </w:rPr>
        <w:t>进行调整，具体如下：</w:t>
      </w:r>
      <w:bookmarkStart w:id="0" w:name="_GoBack"/>
      <w:bookmarkEnd w:id="0"/>
    </w:p>
    <w:tbl>
      <w:tblPr>
        <w:tblStyle w:val="8"/>
        <w:tblW w:w="10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943"/>
        <w:gridCol w:w="4154"/>
        <w:gridCol w:w="4486"/>
      </w:tblGrid>
      <w:tr w14:paraId="4A3D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Align w:val="center"/>
          </w:tcPr>
          <w:p w14:paraId="0F92D6E3">
            <w:pPr>
              <w:jc w:val="both"/>
              <w:rPr>
                <w:rFonts w:hint="eastAsia" w:ascii="方正黑体_GBK" w:hAnsi="方正黑体_GBK" w:eastAsia="方正黑体_GBK" w:cs="方正黑体_GBK"/>
                <w:b/>
                <w:bCs/>
                <w:sz w:val="18"/>
                <w:szCs w:val="18"/>
                <w:lang w:val="en-US" w:eastAsia="zh-CN"/>
              </w:rPr>
            </w:pPr>
            <w:r>
              <w:rPr>
                <w:rFonts w:hint="eastAsia" w:ascii="方正黑体_GBK" w:hAnsi="方正黑体_GBK" w:eastAsia="方正黑体_GBK" w:cs="方正黑体_GBK"/>
                <w:b/>
                <w:bCs/>
                <w:sz w:val="18"/>
                <w:szCs w:val="18"/>
                <w:lang w:val="en-US" w:eastAsia="zh-CN"/>
              </w:rPr>
              <w:t>内部销售代码</w:t>
            </w:r>
          </w:p>
        </w:tc>
        <w:tc>
          <w:tcPr>
            <w:tcW w:w="943" w:type="dxa"/>
            <w:vAlign w:val="center"/>
          </w:tcPr>
          <w:p w14:paraId="2DF3FC85">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调整要素</w:t>
            </w:r>
          </w:p>
        </w:tc>
        <w:tc>
          <w:tcPr>
            <w:tcW w:w="4154" w:type="dxa"/>
            <w:vAlign w:val="center"/>
          </w:tcPr>
          <w:p w14:paraId="59DF9CCC">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调整前</w:t>
            </w:r>
          </w:p>
        </w:tc>
        <w:tc>
          <w:tcPr>
            <w:tcW w:w="4486" w:type="dxa"/>
            <w:vAlign w:val="center"/>
          </w:tcPr>
          <w:p w14:paraId="4A5BFE39">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调整后</w:t>
            </w:r>
          </w:p>
        </w:tc>
      </w:tr>
      <w:tr w14:paraId="51B6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restart"/>
            <w:vAlign w:val="center"/>
          </w:tcPr>
          <w:p w14:paraId="2AD405F8">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both"/>
              <w:outlineLvl w:val="9"/>
              <w:rPr>
                <w:rFonts w:hint="eastAsia" w:ascii="方正黑体_GBK" w:hAnsi="方正黑体_GBK" w:eastAsia="方正黑体_GBK" w:cs="方正黑体_GBK"/>
              </w:rPr>
            </w:pPr>
            <w:r>
              <w:rPr>
                <w:rFonts w:hint="eastAsia" w:ascii="方正黑体_GBK" w:hAnsi="方正黑体_GBK" w:eastAsia="方正黑体_GBK" w:cs="方正黑体_GBK"/>
                <w:b w:val="0"/>
                <w:bCs w:val="0"/>
                <w:caps w:val="0"/>
                <w:color w:val="auto"/>
                <w:kern w:val="2"/>
                <w:sz w:val="18"/>
                <w:szCs w:val="18"/>
                <w:vertAlign w:val="baseline"/>
                <w:lang w:val="en-US" w:eastAsia="zh-CN" w:bidi="ar"/>
              </w:rPr>
              <w:t>Z30023</w:t>
            </w:r>
          </w:p>
          <w:p w14:paraId="15AD64C8">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6A02A092">
            <w:pPr>
              <w:spacing w:line="390" w:lineRule="exact"/>
              <w:jc w:val="both"/>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业绩比较基准</w:t>
            </w:r>
          </w:p>
        </w:tc>
        <w:tc>
          <w:tcPr>
            <w:tcW w:w="4154" w:type="dxa"/>
            <w:vAlign w:val="center"/>
          </w:tcPr>
          <w:p w14:paraId="264DA790">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both"/>
              <w:outlineLvl w:val="9"/>
              <w:rPr>
                <w:rFonts w:hint="eastAsia" w:ascii="方正黑体_GBK" w:hAnsi="方正黑体_GBK" w:eastAsia="方正黑体_GBK" w:cs="方正黑体_GBK"/>
              </w:rPr>
            </w:pPr>
            <w:r>
              <w:rPr>
                <w:rFonts w:hint="eastAsia" w:ascii="方正黑体_GBK" w:hAnsi="方正黑体_GBK" w:eastAsia="方正黑体_GBK" w:cs="方正黑体_GBK"/>
                <w:b w:val="0"/>
                <w:bCs w:val="0"/>
                <w:caps w:val="0"/>
                <w:color w:val="auto"/>
                <w:kern w:val="2"/>
                <w:sz w:val="18"/>
                <w:szCs w:val="18"/>
                <w:vertAlign w:val="baseline"/>
                <w:lang w:val="en-US" w:eastAsia="zh-CN" w:bidi="ar"/>
              </w:rPr>
              <w:t>A份额：业绩比较基准为年化2.7%-3% 。</w:t>
            </w:r>
          </w:p>
          <w:p w14:paraId="2FDDBFD7">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left"/>
              <w:outlineLvl w:val="9"/>
              <w:rPr>
                <w:rFonts w:hint="eastAsia" w:ascii="方正黑体_GBK" w:hAnsi="方正黑体_GBK" w:eastAsia="方正黑体_GBK" w:cs="方正黑体_GBK"/>
              </w:rPr>
            </w:pPr>
            <w:r>
              <w:rPr>
                <w:rFonts w:hint="eastAsia" w:ascii="方正黑体_GBK" w:hAnsi="方正黑体_GBK" w:eastAsia="方正黑体_GBK" w:cs="方正黑体_GBK"/>
                <w:b w:val="0"/>
                <w:bCs w:val="0"/>
                <w:caps w:val="0"/>
                <w:color w:val="auto"/>
                <w:kern w:val="2"/>
                <w:sz w:val="18"/>
                <w:szCs w:val="18"/>
                <w:vertAlign w:val="baseline"/>
                <w:lang w:val="en-US" w:eastAsia="zh-CN" w:bidi="ar"/>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2CCC317C">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left"/>
              <w:outlineLvl w:val="9"/>
              <w:rPr>
                <w:rFonts w:hint="eastAsia" w:ascii="方正黑体_GBK" w:hAnsi="方正黑体_GBK" w:eastAsia="方正黑体_GBK" w:cs="方正黑体_GBK"/>
              </w:rPr>
            </w:pPr>
            <w:r>
              <w:rPr>
                <w:rFonts w:hint="eastAsia" w:ascii="方正黑体_GBK" w:hAnsi="方正黑体_GBK" w:eastAsia="方正黑体_GBK" w:cs="方正黑体_GBK"/>
                <w:b w:val="0"/>
                <w:bCs w:val="0"/>
                <w:caps w:val="0"/>
                <w:color w:val="auto"/>
                <w:kern w:val="2"/>
                <w:sz w:val="18"/>
                <w:szCs w:val="18"/>
                <w:vertAlign w:val="baseline"/>
                <w:lang w:val="en-US" w:eastAsia="zh-CN" w:bidi="ar"/>
              </w:rPr>
              <w:t>注：管理人可根据市场情况对业绩比较基准进行适当调整，如有调整，将至少于调整前3个工作日公布调整方案。</w:t>
            </w:r>
          </w:p>
          <w:p w14:paraId="4ACD9131">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both"/>
              <w:outlineLvl w:val="9"/>
              <w:rPr>
                <w:rFonts w:hint="eastAsia" w:ascii="方正黑体_GBK" w:hAnsi="方正黑体_GBK" w:eastAsia="方正黑体_GBK" w:cs="方正黑体_GBK"/>
              </w:rPr>
            </w:pPr>
            <w:r>
              <w:rPr>
                <w:rFonts w:hint="eastAsia" w:ascii="方正黑体_GBK" w:hAnsi="方正黑体_GBK" w:eastAsia="方正黑体_GBK" w:cs="方正黑体_GBK"/>
                <w:b/>
                <w:bCs/>
                <w:caps w:val="0"/>
                <w:color w:val="auto"/>
                <w:kern w:val="2"/>
                <w:sz w:val="18"/>
                <w:szCs w:val="18"/>
                <w:vertAlign w:val="baseline"/>
                <w:lang w:val="en-US" w:eastAsia="zh-CN" w:bidi="ar"/>
              </w:rPr>
              <w:t>本理财产品为净值型理财产品，业绩比较基准不是预期收益率，不代表产品的未来表现和实际收益，不构成对产品收益的承诺。</w:t>
            </w:r>
          </w:p>
          <w:p w14:paraId="6EA69A1A">
            <w:pPr>
              <w:widowControl/>
              <w:spacing w:line="200" w:lineRule="exact"/>
              <w:ind w:firstLine="0" w:firstLineChars="0"/>
              <w:jc w:val="both"/>
              <w:rPr>
                <w:rFonts w:hint="eastAsia" w:ascii="方正黑体_GBK" w:hAnsi="方正黑体_GBK" w:eastAsia="方正黑体_GBK" w:cs="方正黑体_GBK"/>
                <w:b w:val="0"/>
                <w:bCs w:val="0"/>
                <w:sz w:val="18"/>
                <w:szCs w:val="18"/>
              </w:rPr>
            </w:pPr>
          </w:p>
        </w:tc>
        <w:tc>
          <w:tcPr>
            <w:tcW w:w="4486" w:type="dxa"/>
            <w:vAlign w:val="center"/>
          </w:tcPr>
          <w:p w14:paraId="2561D1C5">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both"/>
              <w:outlineLvl w:val="9"/>
              <w:rPr>
                <w:rFonts w:hint="eastAsia" w:ascii="方正黑体_GBK" w:hAnsi="方正黑体_GBK" w:eastAsia="方正黑体_GBK" w:cs="方正黑体_GBK"/>
              </w:rPr>
            </w:pPr>
            <w:r>
              <w:rPr>
                <w:rFonts w:hint="eastAsia" w:ascii="方正黑体_GBK" w:hAnsi="方正黑体_GBK" w:eastAsia="方正黑体_GBK" w:cs="方正黑体_GBK"/>
                <w:b w:val="0"/>
                <w:bCs w:val="0"/>
                <w:caps w:val="0"/>
                <w:color w:val="auto"/>
                <w:kern w:val="2"/>
                <w:sz w:val="18"/>
                <w:szCs w:val="18"/>
                <w:vertAlign w:val="baseline"/>
                <w:lang w:val="en-US" w:eastAsia="zh-CN" w:bidi="ar"/>
              </w:rPr>
              <w:t>A份额：业绩比较基准为年化2.45%-2.7% 。</w:t>
            </w:r>
          </w:p>
          <w:p w14:paraId="20197FE3">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left"/>
              <w:outlineLvl w:val="9"/>
              <w:rPr>
                <w:rFonts w:hint="eastAsia" w:ascii="方正黑体_GBK" w:hAnsi="方正黑体_GBK" w:eastAsia="方正黑体_GBK" w:cs="方正黑体_GBK"/>
              </w:rPr>
            </w:pPr>
            <w:r>
              <w:rPr>
                <w:rFonts w:hint="eastAsia" w:ascii="方正黑体_GBK" w:hAnsi="方正黑体_GBK" w:eastAsia="方正黑体_GBK" w:cs="方正黑体_GBK"/>
                <w:b w:val="0"/>
                <w:bCs w:val="0"/>
                <w:caps w:val="0"/>
                <w:color w:val="auto"/>
                <w:kern w:val="2"/>
                <w:sz w:val="18"/>
                <w:szCs w:val="18"/>
                <w:vertAlign w:val="baseline"/>
                <w:lang w:val="en-US" w:eastAsia="zh-CN" w:bidi="ar"/>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3D377492">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left"/>
              <w:outlineLvl w:val="9"/>
              <w:rPr>
                <w:rFonts w:hint="eastAsia" w:ascii="方正黑体_GBK" w:hAnsi="方正黑体_GBK" w:eastAsia="方正黑体_GBK" w:cs="方正黑体_GBK"/>
              </w:rPr>
            </w:pPr>
            <w:r>
              <w:rPr>
                <w:rFonts w:hint="eastAsia" w:ascii="方正黑体_GBK" w:hAnsi="方正黑体_GBK" w:eastAsia="方正黑体_GBK" w:cs="方正黑体_GBK"/>
                <w:b w:val="0"/>
                <w:bCs w:val="0"/>
                <w:caps w:val="0"/>
                <w:color w:val="auto"/>
                <w:kern w:val="2"/>
                <w:sz w:val="18"/>
                <w:szCs w:val="18"/>
                <w:vertAlign w:val="baseline"/>
                <w:lang w:val="en-US" w:eastAsia="zh-CN" w:bidi="ar"/>
              </w:rPr>
              <w:t>注：管理人可根据市场情况对业绩比较基准进行适当调整，如有调整，将至少于调整前3个工作日公布调整方案。</w:t>
            </w:r>
          </w:p>
          <w:p w14:paraId="46177ACA">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both"/>
              <w:outlineLvl w:val="9"/>
              <w:rPr>
                <w:rFonts w:hint="eastAsia" w:ascii="方正黑体_GBK" w:hAnsi="方正黑体_GBK" w:eastAsia="方正黑体_GBK" w:cs="方正黑体_GBK"/>
              </w:rPr>
            </w:pPr>
            <w:r>
              <w:rPr>
                <w:rFonts w:hint="eastAsia" w:ascii="方正黑体_GBK" w:hAnsi="方正黑体_GBK" w:eastAsia="方正黑体_GBK" w:cs="方正黑体_GBK"/>
                <w:b/>
                <w:bCs/>
                <w:caps w:val="0"/>
                <w:color w:val="auto"/>
                <w:kern w:val="2"/>
                <w:sz w:val="18"/>
                <w:szCs w:val="18"/>
                <w:vertAlign w:val="baseline"/>
                <w:lang w:val="en-US" w:eastAsia="zh-CN" w:bidi="ar"/>
              </w:rPr>
              <w:t>本理财产品为净值型理财产品，业绩比较基准不是预期收益率，不代表产品的未来表现和实际收益，不构成对产品收益的承诺。</w:t>
            </w:r>
          </w:p>
          <w:p w14:paraId="43E3472D">
            <w:pPr>
              <w:spacing w:line="200" w:lineRule="exact"/>
              <w:jc w:val="both"/>
              <w:rPr>
                <w:rFonts w:hint="eastAsia" w:ascii="方正黑体_GBK" w:hAnsi="方正黑体_GBK" w:eastAsia="方正黑体_GBK" w:cs="方正黑体_GBK"/>
                <w:b w:val="0"/>
                <w:bCs w:val="0"/>
                <w:sz w:val="18"/>
                <w:szCs w:val="18"/>
              </w:rPr>
            </w:pPr>
          </w:p>
        </w:tc>
      </w:tr>
      <w:tr w14:paraId="4C91C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continue"/>
            <w:vAlign w:val="center"/>
          </w:tcPr>
          <w:p w14:paraId="38FDC746">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41885A36">
            <w:pPr>
              <w:spacing w:line="390" w:lineRule="exact"/>
              <w:jc w:val="both"/>
              <w:rPr>
                <w:rFonts w:hint="default" w:ascii="方正黑体_GBK" w:hAnsi="方正黑体_GBK" w:eastAsia="方正黑体_GBK" w:cs="方正黑体_GBK"/>
                <w:i w:val="0"/>
                <w:iCs w:val="0"/>
                <w:caps w:val="0"/>
                <w:color w:val="000000"/>
                <w:spacing w:val="0"/>
                <w:sz w:val="18"/>
                <w:szCs w:val="18"/>
                <w:lang w:val="en-US" w:eastAsia="zh-CN"/>
              </w:rPr>
            </w:pPr>
            <w:r>
              <w:rPr>
                <w:rFonts w:hint="eastAsia" w:ascii="方正黑体_GBK" w:hAnsi="方正黑体_GBK" w:eastAsia="方正黑体_GBK" w:cs="方正黑体_GBK"/>
                <w:caps w:val="0"/>
                <w:smallCaps w:val="0"/>
                <w:snapToGrid/>
                <w:vanish w:val="0"/>
                <w:color w:val="auto"/>
                <w:kern w:val="0"/>
                <w:sz w:val="18"/>
                <w:szCs w:val="18"/>
                <w:vertAlign w:val="baseline"/>
                <w:lang w:val="en-US" w:eastAsia="zh-CN"/>
              </w:rPr>
              <w:t>固定管理费</w:t>
            </w:r>
          </w:p>
        </w:tc>
        <w:tc>
          <w:tcPr>
            <w:tcW w:w="4154" w:type="dxa"/>
            <w:vAlign w:val="center"/>
          </w:tcPr>
          <w:p w14:paraId="55E068D2">
            <w:pPr>
              <w:spacing w:line="200" w:lineRule="exact"/>
              <w:jc w:val="left"/>
              <w:rPr>
                <w:rFonts w:hint="eastAsia" w:ascii="方正黑体_GBK" w:hAnsi="方正黑体_GBK" w:eastAsia="方正黑体_GBK" w:cs="方正黑体_GBK"/>
                <w:b w:val="0"/>
                <w:bCs/>
                <w:sz w:val="18"/>
                <w:szCs w:val="18"/>
              </w:rPr>
            </w:pPr>
            <w:r>
              <w:rPr>
                <w:rFonts w:hint="eastAsia" w:ascii="方正黑体_GBK" w:hAnsi="方正黑体_GBK" w:eastAsia="方正黑体_GBK" w:cs="方正黑体_GBK"/>
                <w:b w:val="0"/>
                <w:bCs/>
                <w:sz w:val="18"/>
                <w:szCs w:val="18"/>
                <w:lang w:val="en-US" w:eastAsia="zh-CN"/>
              </w:rPr>
              <w:t>A份额：</w:t>
            </w:r>
            <w:r>
              <w:rPr>
                <w:rFonts w:hint="eastAsia" w:ascii="方正黑体_GBK" w:hAnsi="方正黑体_GBK" w:eastAsia="方正黑体_GBK" w:cs="方正黑体_GBK"/>
                <w:b w:val="0"/>
                <w:bCs/>
                <w:sz w:val="18"/>
                <w:szCs w:val="18"/>
              </w:rPr>
              <w:t>固定管理费年化0.</w:t>
            </w:r>
            <w:r>
              <w:rPr>
                <w:rFonts w:hint="eastAsia" w:ascii="方正黑体_GBK" w:hAnsi="方正黑体_GBK" w:eastAsia="方正黑体_GBK" w:cs="方正黑体_GBK"/>
                <w:b w:val="0"/>
                <w:bCs/>
                <w:sz w:val="18"/>
                <w:szCs w:val="18"/>
                <w:lang w:val="en-US" w:eastAsia="zh-CN"/>
              </w:rPr>
              <w:t>4</w:t>
            </w:r>
            <w:r>
              <w:rPr>
                <w:rFonts w:hint="eastAsia" w:ascii="方正黑体_GBK" w:hAnsi="方正黑体_GBK" w:eastAsia="方正黑体_GBK" w:cs="方正黑体_GBK"/>
                <w:b w:val="0"/>
                <w:bCs/>
                <w:sz w:val="18"/>
                <w:szCs w:val="18"/>
              </w:rPr>
              <w:t>%</w:t>
            </w:r>
          </w:p>
        </w:tc>
        <w:tc>
          <w:tcPr>
            <w:tcW w:w="4486" w:type="dxa"/>
            <w:shd w:val="clear" w:color="auto" w:fill="auto"/>
            <w:vAlign w:val="center"/>
          </w:tcPr>
          <w:p w14:paraId="7F0F3138">
            <w:pPr>
              <w:spacing w:line="200" w:lineRule="exact"/>
              <w:jc w:val="left"/>
              <w:rPr>
                <w:rFonts w:hint="eastAsia" w:ascii="方正黑体_GBK" w:hAnsi="方正黑体_GBK" w:eastAsia="方正黑体_GBK" w:cs="方正黑体_GBK"/>
                <w:b w:val="0"/>
                <w:bCs/>
                <w:sz w:val="18"/>
                <w:szCs w:val="18"/>
              </w:rPr>
            </w:pPr>
            <w:r>
              <w:rPr>
                <w:rFonts w:hint="eastAsia" w:ascii="方正黑体_GBK" w:hAnsi="方正黑体_GBK" w:eastAsia="方正黑体_GBK" w:cs="方正黑体_GBK"/>
                <w:b w:val="0"/>
                <w:bCs/>
                <w:sz w:val="18"/>
                <w:szCs w:val="18"/>
                <w:lang w:val="en-US" w:eastAsia="zh-CN"/>
              </w:rPr>
              <w:t>A份额：</w:t>
            </w:r>
            <w:r>
              <w:rPr>
                <w:rFonts w:hint="eastAsia" w:ascii="方正黑体_GBK" w:hAnsi="方正黑体_GBK" w:eastAsia="方正黑体_GBK" w:cs="方正黑体_GBK"/>
                <w:b w:val="0"/>
                <w:bCs/>
                <w:sz w:val="18"/>
                <w:szCs w:val="18"/>
              </w:rPr>
              <w:t>固定管理费年化0.</w:t>
            </w:r>
            <w:r>
              <w:rPr>
                <w:rFonts w:hint="eastAsia" w:ascii="方正黑体_GBK" w:hAnsi="方正黑体_GBK" w:eastAsia="方正黑体_GBK" w:cs="方正黑体_GBK"/>
                <w:b w:val="0"/>
                <w:bCs/>
                <w:sz w:val="18"/>
                <w:szCs w:val="18"/>
                <w:lang w:val="en-US" w:eastAsia="zh-CN"/>
              </w:rPr>
              <w:t>2</w:t>
            </w:r>
            <w:r>
              <w:rPr>
                <w:rFonts w:hint="eastAsia" w:ascii="方正黑体_GBK" w:hAnsi="方正黑体_GBK" w:eastAsia="方正黑体_GBK" w:cs="方正黑体_GBK"/>
                <w:b w:val="0"/>
                <w:bCs/>
                <w:sz w:val="18"/>
                <w:szCs w:val="18"/>
              </w:rPr>
              <w:t>%</w:t>
            </w:r>
          </w:p>
        </w:tc>
      </w:tr>
      <w:tr w14:paraId="3E50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continue"/>
            <w:vAlign w:val="center"/>
          </w:tcPr>
          <w:p w14:paraId="3690F50A">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1AC0BD08">
            <w:pPr>
              <w:spacing w:line="390" w:lineRule="exact"/>
              <w:jc w:val="both"/>
              <w:rPr>
                <w:rFonts w:hint="default" w:ascii="方正黑体_GBK" w:hAnsi="方正黑体_GBK" w:eastAsia="方正黑体_GBK" w:cs="方正黑体_GBK"/>
                <w:sz w:val="18"/>
                <w:szCs w:val="18"/>
                <w:lang w:val="en-US" w:eastAsia="zh-CN"/>
              </w:rPr>
            </w:pPr>
            <w:r>
              <w:rPr>
                <w:rFonts w:hint="eastAsia" w:ascii="方正黑体_GBK" w:hAnsi="方正黑体_GBK" w:eastAsia="方正黑体_GBK" w:cs="方正黑体_GBK"/>
                <w:i w:val="0"/>
                <w:iCs w:val="0"/>
                <w:caps w:val="0"/>
                <w:color w:val="000000"/>
                <w:spacing w:val="0"/>
                <w:sz w:val="18"/>
                <w:szCs w:val="18"/>
                <w:lang w:val="en-US" w:eastAsia="zh-CN"/>
              </w:rPr>
              <w:t>业绩报酬</w:t>
            </w:r>
          </w:p>
        </w:tc>
        <w:tc>
          <w:tcPr>
            <w:tcW w:w="4154" w:type="dxa"/>
            <w:vAlign w:val="center"/>
          </w:tcPr>
          <w:p w14:paraId="09285F15">
            <w:pPr>
              <w:suppressAutoHyphens w:val="0"/>
              <w:autoSpaceDN w:val="0"/>
              <w:spacing w:line="200" w:lineRule="exact"/>
              <w:jc w:val="both"/>
              <w:outlineLvl w:val="9"/>
              <w:rPr>
                <w:rFonts w:hint="eastAsia" w:ascii="方正黑体_GBK" w:hAnsi="方正黑体_GBK" w:eastAsia="方正黑体_GBK" w:cs="方正黑体_GBK"/>
                <w:b w:val="0"/>
                <w:bCs/>
                <w:sz w:val="18"/>
                <w:szCs w:val="18"/>
                <w:u w:val="none"/>
              </w:rPr>
            </w:pPr>
            <w:r>
              <w:rPr>
                <w:rFonts w:hint="eastAsia" w:ascii="方正黑体_GBK" w:hAnsi="方正黑体_GBK" w:eastAsia="方正黑体_GBK" w:cs="方正黑体_GBK"/>
                <w:b w:val="0"/>
                <w:bCs/>
                <w:caps w:val="0"/>
                <w:color w:val="auto"/>
                <w:kern w:val="2"/>
                <w:sz w:val="18"/>
                <w:szCs w:val="18"/>
                <w:vertAlign w:val="baseline"/>
                <w:lang w:val="en-US" w:eastAsia="zh-CN" w:bidi="ar"/>
              </w:rPr>
              <w:t>A份额：申购/赎回确认日和产品实际到期时，当期产品投资的实际资产组合收益（扣除销售费、固定管理费、托管费等相关费用）超过3%（年化，即产品该份额对应的业绩报酬计提基准）时，超过部分管理人将按60%收取业绩报酬。</w:t>
            </w:r>
          </w:p>
        </w:tc>
        <w:tc>
          <w:tcPr>
            <w:tcW w:w="4486" w:type="dxa"/>
            <w:shd w:val="clear" w:color="auto" w:fill="auto"/>
            <w:vAlign w:val="center"/>
          </w:tcPr>
          <w:p w14:paraId="71F80372">
            <w:pPr>
              <w:suppressAutoHyphens w:val="0"/>
              <w:autoSpaceDN w:val="0"/>
              <w:spacing w:line="200" w:lineRule="exact"/>
              <w:jc w:val="both"/>
              <w:outlineLvl w:val="9"/>
              <w:rPr>
                <w:rFonts w:hint="eastAsia" w:ascii="方正黑体_GBK" w:hAnsi="方正黑体_GBK" w:eastAsia="方正黑体_GBK" w:cs="方正黑体_GBK"/>
                <w:b w:val="0"/>
                <w:bCs/>
                <w:kern w:val="2"/>
                <w:sz w:val="21"/>
                <w:szCs w:val="24"/>
                <w:lang w:val="en-US" w:eastAsia="zh-CN" w:bidi="ar-SA"/>
              </w:rPr>
            </w:pPr>
            <w:r>
              <w:rPr>
                <w:rFonts w:hint="eastAsia" w:ascii="方正黑体_GBK" w:hAnsi="方正黑体_GBK" w:eastAsia="方正黑体_GBK" w:cs="方正黑体_GBK"/>
                <w:b w:val="0"/>
                <w:bCs/>
                <w:caps w:val="0"/>
                <w:color w:val="auto"/>
                <w:kern w:val="2"/>
                <w:sz w:val="18"/>
                <w:szCs w:val="18"/>
                <w:vertAlign w:val="baseline"/>
                <w:lang w:val="en-US" w:eastAsia="zh-CN" w:bidi="ar"/>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tc>
      </w:tr>
    </w:tbl>
    <w:p w14:paraId="77C96D2F">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产品存续期内管理人可根据业务情况对产品费用进行优惠，实际收取费率以管理人公告为准。</w:t>
      </w:r>
    </w:p>
    <w:p w14:paraId="3E83AA11">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同时，管理人将对上述理财产品销售文件进行更新，更新后的理财产品销售文件详见信息披露。</w:t>
      </w:r>
    </w:p>
    <w:p w14:paraId="367866CE">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上述调整将于</w:t>
      </w:r>
      <w:r>
        <w:rPr>
          <w:rFonts w:hint="eastAsia" w:ascii="方正黑体_GBK" w:hAnsi="方正黑体_GBK" w:eastAsia="方正黑体_GBK" w:cs="方正黑体_GBK"/>
          <w:b w:val="0"/>
          <w:bCs w:val="0"/>
          <w:sz w:val="24"/>
        </w:rPr>
        <w:t>202</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年</w:t>
      </w:r>
      <w:r>
        <w:rPr>
          <w:rFonts w:hint="eastAsia" w:ascii="方正黑体_GBK" w:hAnsi="方正黑体_GBK" w:eastAsia="方正黑体_GBK" w:cs="方正黑体_GBK"/>
          <w:b w:val="0"/>
          <w:bCs w:val="0"/>
          <w:sz w:val="24"/>
          <w:lang w:val="en-US" w:eastAsia="zh-CN"/>
        </w:rPr>
        <w:t>7</w:t>
      </w:r>
      <w:r>
        <w:rPr>
          <w:rFonts w:hint="eastAsia" w:ascii="方正黑体_GBK" w:hAnsi="方正黑体_GBK" w:eastAsia="方正黑体_GBK" w:cs="方正黑体_GBK"/>
          <w:b w:val="0"/>
          <w:bCs w:val="0"/>
          <w:sz w:val="24"/>
        </w:rPr>
        <w:t>月</w:t>
      </w:r>
      <w:r>
        <w:rPr>
          <w:rFonts w:hint="eastAsia" w:ascii="方正黑体_GBK" w:hAnsi="方正黑体_GBK" w:eastAsia="方正黑体_GBK" w:cs="方正黑体_GBK"/>
          <w:b w:val="0"/>
          <w:bCs w:val="0"/>
          <w:sz w:val="24"/>
          <w:lang w:val="en-US" w:eastAsia="zh-CN"/>
        </w:rPr>
        <w:t>23</w:t>
      </w:r>
      <w:r>
        <w:rPr>
          <w:rFonts w:hint="eastAsia" w:ascii="方正黑体_GBK" w:hAnsi="方正黑体_GBK" w:eastAsia="方正黑体_GBK" w:cs="方正黑体_GBK"/>
          <w:b w:val="0"/>
          <w:bCs w:val="0"/>
          <w:sz w:val="24"/>
        </w:rPr>
        <w:t>日</w:t>
      </w:r>
      <w:r>
        <w:rPr>
          <w:rFonts w:hint="eastAsia" w:ascii="方正黑体_GBK" w:hAnsi="方正黑体_GBK" w:eastAsia="方正黑体_GBK" w:cs="方正黑体_GBK"/>
          <w:sz w:val="24"/>
          <w:szCs w:val="24"/>
        </w:rPr>
        <w:t>生效，如您不接受调整后的产品要素，可在</w:t>
      </w:r>
      <w:r>
        <w:rPr>
          <w:rFonts w:hint="eastAsia" w:ascii="方正黑体_GBK" w:hAnsi="方正黑体_GBK" w:eastAsia="方正黑体_GBK" w:cs="方正黑体_GBK"/>
          <w:b w:val="0"/>
          <w:bCs w:val="0"/>
          <w:sz w:val="24"/>
        </w:rPr>
        <w:t>202</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年</w:t>
      </w:r>
      <w:r>
        <w:rPr>
          <w:rFonts w:hint="eastAsia" w:ascii="方正黑体_GBK" w:hAnsi="方正黑体_GBK" w:eastAsia="方正黑体_GBK" w:cs="方正黑体_GBK"/>
          <w:b w:val="0"/>
          <w:bCs w:val="0"/>
          <w:sz w:val="24"/>
          <w:lang w:val="en-US" w:eastAsia="zh-CN"/>
        </w:rPr>
        <w:t>7</w:t>
      </w:r>
      <w:r>
        <w:rPr>
          <w:rFonts w:hint="eastAsia" w:ascii="方正黑体_GBK" w:hAnsi="方正黑体_GBK" w:eastAsia="方正黑体_GBK" w:cs="方正黑体_GBK"/>
          <w:b w:val="0"/>
          <w:bCs w:val="0"/>
          <w:sz w:val="24"/>
        </w:rPr>
        <w:t>月</w:t>
      </w:r>
      <w:r>
        <w:rPr>
          <w:rFonts w:hint="eastAsia" w:ascii="方正黑体_GBK" w:hAnsi="方正黑体_GBK" w:eastAsia="方正黑体_GBK" w:cs="方正黑体_GBK"/>
          <w:b w:val="0"/>
          <w:bCs w:val="0"/>
          <w:sz w:val="24"/>
          <w:lang w:val="en-US" w:eastAsia="zh-CN"/>
        </w:rPr>
        <w:t>16</w:t>
      </w:r>
      <w:r>
        <w:rPr>
          <w:rFonts w:hint="eastAsia" w:ascii="方正黑体_GBK" w:hAnsi="方正黑体_GBK" w:eastAsia="方正黑体_GBK" w:cs="方正黑体_GBK"/>
          <w:b w:val="0"/>
          <w:bCs w:val="0"/>
          <w:sz w:val="24"/>
        </w:rPr>
        <w:t>日至202</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年</w:t>
      </w:r>
      <w:r>
        <w:rPr>
          <w:rFonts w:hint="eastAsia" w:ascii="方正黑体_GBK" w:hAnsi="方正黑体_GBK" w:eastAsia="方正黑体_GBK" w:cs="方正黑体_GBK"/>
          <w:b w:val="0"/>
          <w:bCs w:val="0"/>
          <w:sz w:val="24"/>
          <w:lang w:val="en-US" w:eastAsia="zh-CN"/>
        </w:rPr>
        <w:t>7</w:t>
      </w:r>
      <w:r>
        <w:rPr>
          <w:rFonts w:hint="eastAsia" w:ascii="方正黑体_GBK" w:hAnsi="方正黑体_GBK" w:eastAsia="方正黑体_GBK" w:cs="方正黑体_GBK"/>
          <w:b w:val="0"/>
          <w:bCs w:val="0"/>
          <w:sz w:val="24"/>
        </w:rPr>
        <w:t>月</w:t>
      </w:r>
      <w:r>
        <w:rPr>
          <w:rFonts w:hint="eastAsia" w:ascii="方正黑体_GBK" w:hAnsi="方正黑体_GBK" w:eastAsia="方正黑体_GBK" w:cs="方正黑体_GBK"/>
          <w:b w:val="0"/>
          <w:bCs w:val="0"/>
          <w:sz w:val="24"/>
          <w:lang w:val="en-US" w:eastAsia="zh-CN"/>
        </w:rPr>
        <w:t>22</w:t>
      </w:r>
      <w:r>
        <w:rPr>
          <w:rFonts w:hint="eastAsia" w:ascii="方正黑体_GBK" w:hAnsi="方正黑体_GBK" w:eastAsia="方正黑体_GBK" w:cs="方正黑体_GBK"/>
          <w:b w:val="0"/>
          <w:bCs w:val="0"/>
          <w:sz w:val="24"/>
        </w:rPr>
        <w:t>日</w:t>
      </w:r>
      <w:r>
        <w:rPr>
          <w:rFonts w:hint="eastAsia" w:ascii="方正黑体_GBK" w:hAnsi="方正黑体_GBK" w:eastAsia="方正黑体_GBK" w:cs="方正黑体_GBK"/>
          <w:sz w:val="24"/>
          <w:szCs w:val="24"/>
        </w:rPr>
        <w:t>的产品开放期内提出赎回申请。</w:t>
      </w:r>
    </w:p>
    <w:p w14:paraId="1409EF1F">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如您对本公告有任何疑问，可联系本理财产品代销机构或本公司，代销机构及本公司将竭诚为您服务。</w:t>
      </w:r>
    </w:p>
    <w:p w14:paraId="68C3BEC7">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感谢您一直以来的支持与信赖！</w:t>
      </w:r>
    </w:p>
    <w:p w14:paraId="0A0A2535">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特此公告。</w:t>
      </w:r>
    </w:p>
    <w:p w14:paraId="08DBD7D4">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南银理财有限责任公司</w:t>
      </w:r>
    </w:p>
    <w:p w14:paraId="6332D896">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202</w:t>
      </w:r>
      <w:r>
        <w:rPr>
          <w:rFonts w:hint="eastAsia" w:ascii="方正黑体_GBK" w:hAnsi="方正黑体_GBK" w:eastAsia="方正黑体_GBK" w:cs="方正黑体_GBK"/>
          <w:sz w:val="24"/>
          <w:lang w:val="en-US" w:eastAsia="zh-CN"/>
        </w:rPr>
        <w:t>6</w:t>
      </w:r>
      <w:r>
        <w:rPr>
          <w:rFonts w:hint="eastAsia" w:ascii="方正黑体_GBK" w:hAnsi="方正黑体_GBK" w:eastAsia="方正黑体_GBK" w:cs="方正黑体_GBK"/>
          <w:sz w:val="24"/>
        </w:rPr>
        <w:t>年</w:t>
      </w:r>
      <w:r>
        <w:rPr>
          <w:rFonts w:hint="eastAsia" w:ascii="方正黑体_GBK" w:hAnsi="方正黑体_GBK" w:eastAsia="方正黑体_GBK" w:cs="方正黑体_GBK"/>
          <w:sz w:val="24"/>
          <w:lang w:val="en-US" w:eastAsia="zh-CN"/>
        </w:rPr>
        <w:t>7</w:t>
      </w:r>
      <w:r>
        <w:rPr>
          <w:rFonts w:hint="eastAsia" w:ascii="方正黑体_GBK" w:hAnsi="方正黑体_GBK" w:eastAsia="方正黑体_GBK" w:cs="方正黑体_GBK"/>
          <w:sz w:val="24"/>
        </w:rPr>
        <w:t>月</w:t>
      </w:r>
      <w:r>
        <w:rPr>
          <w:rFonts w:hint="eastAsia" w:ascii="方正黑体_GBK" w:hAnsi="方正黑体_GBK" w:eastAsia="方正黑体_GBK" w:cs="方正黑体_GBK"/>
          <w:sz w:val="24"/>
          <w:lang w:val="en-US" w:eastAsia="zh-CN"/>
        </w:rPr>
        <w:t>10</w:t>
      </w:r>
      <w:r>
        <w:rPr>
          <w:rFonts w:hint="eastAsia" w:ascii="方正黑体_GBK" w:hAnsi="方正黑体_GBK" w:eastAsia="方正黑体_GBK" w:cs="方正黑体_GBK"/>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1ZGZjZGI0NDAxNWRlYTU1MDQzODcxYWQzMWNkMWYifQ=="/>
  </w:docVars>
  <w:rsids>
    <w:rsidRoot w:val="00172A27"/>
    <w:rsid w:val="000B116D"/>
    <w:rsid w:val="000D47C0"/>
    <w:rsid w:val="0010350A"/>
    <w:rsid w:val="00141B77"/>
    <w:rsid w:val="00143E93"/>
    <w:rsid w:val="002E06B8"/>
    <w:rsid w:val="00345495"/>
    <w:rsid w:val="004E61C2"/>
    <w:rsid w:val="00520B4F"/>
    <w:rsid w:val="00540312"/>
    <w:rsid w:val="005B2E63"/>
    <w:rsid w:val="00614091"/>
    <w:rsid w:val="00693870"/>
    <w:rsid w:val="006956DE"/>
    <w:rsid w:val="006D29FD"/>
    <w:rsid w:val="00716EE2"/>
    <w:rsid w:val="007A3BC2"/>
    <w:rsid w:val="007C15E8"/>
    <w:rsid w:val="00815684"/>
    <w:rsid w:val="00817A74"/>
    <w:rsid w:val="008255F5"/>
    <w:rsid w:val="0084156F"/>
    <w:rsid w:val="00914515"/>
    <w:rsid w:val="009C5DC2"/>
    <w:rsid w:val="009E1FBB"/>
    <w:rsid w:val="00AE5399"/>
    <w:rsid w:val="00B25C46"/>
    <w:rsid w:val="00B45E07"/>
    <w:rsid w:val="00C032B8"/>
    <w:rsid w:val="00C63875"/>
    <w:rsid w:val="00CE22FD"/>
    <w:rsid w:val="00CE5832"/>
    <w:rsid w:val="00CF6344"/>
    <w:rsid w:val="00D46835"/>
    <w:rsid w:val="00D920FD"/>
    <w:rsid w:val="00DA7481"/>
    <w:rsid w:val="00E22FB5"/>
    <w:rsid w:val="00E25963"/>
    <w:rsid w:val="00E305D5"/>
    <w:rsid w:val="00E63108"/>
    <w:rsid w:val="00EB61C7"/>
    <w:rsid w:val="00F5371B"/>
    <w:rsid w:val="035B6E9D"/>
    <w:rsid w:val="03CC00C8"/>
    <w:rsid w:val="052D1748"/>
    <w:rsid w:val="05482502"/>
    <w:rsid w:val="05E203B8"/>
    <w:rsid w:val="060F0BDE"/>
    <w:rsid w:val="06424EFE"/>
    <w:rsid w:val="065344DE"/>
    <w:rsid w:val="06BC02D5"/>
    <w:rsid w:val="08495703"/>
    <w:rsid w:val="09511669"/>
    <w:rsid w:val="09815806"/>
    <w:rsid w:val="0A1151B4"/>
    <w:rsid w:val="0B4F505C"/>
    <w:rsid w:val="0D244E26"/>
    <w:rsid w:val="0D8B2109"/>
    <w:rsid w:val="0E8D7052"/>
    <w:rsid w:val="0E8E4992"/>
    <w:rsid w:val="0ED0462F"/>
    <w:rsid w:val="0F5F257E"/>
    <w:rsid w:val="0F7365E1"/>
    <w:rsid w:val="0F781A66"/>
    <w:rsid w:val="11185866"/>
    <w:rsid w:val="11195352"/>
    <w:rsid w:val="11225CBB"/>
    <w:rsid w:val="12950F19"/>
    <w:rsid w:val="12C644CE"/>
    <w:rsid w:val="12ED368B"/>
    <w:rsid w:val="12FA4589"/>
    <w:rsid w:val="14400082"/>
    <w:rsid w:val="14B956E3"/>
    <w:rsid w:val="14DF3057"/>
    <w:rsid w:val="151D2EB9"/>
    <w:rsid w:val="16AD23B3"/>
    <w:rsid w:val="185B0B3B"/>
    <w:rsid w:val="18813447"/>
    <w:rsid w:val="197113F3"/>
    <w:rsid w:val="1B2672F4"/>
    <w:rsid w:val="1B723200"/>
    <w:rsid w:val="1C9E0F0F"/>
    <w:rsid w:val="1CE329C9"/>
    <w:rsid w:val="1F5E41C7"/>
    <w:rsid w:val="1FA55D69"/>
    <w:rsid w:val="20390790"/>
    <w:rsid w:val="2077191A"/>
    <w:rsid w:val="217660FF"/>
    <w:rsid w:val="22155872"/>
    <w:rsid w:val="22743D02"/>
    <w:rsid w:val="237C6A67"/>
    <w:rsid w:val="239E214F"/>
    <w:rsid w:val="23BD7B4B"/>
    <w:rsid w:val="244D5031"/>
    <w:rsid w:val="249D7540"/>
    <w:rsid w:val="259A3662"/>
    <w:rsid w:val="26217445"/>
    <w:rsid w:val="26404A45"/>
    <w:rsid w:val="269D79D3"/>
    <w:rsid w:val="288A56D2"/>
    <w:rsid w:val="294A50A1"/>
    <w:rsid w:val="2AC82E3D"/>
    <w:rsid w:val="2AF819D9"/>
    <w:rsid w:val="2B0943F8"/>
    <w:rsid w:val="2B2C5E79"/>
    <w:rsid w:val="2B6568DD"/>
    <w:rsid w:val="2BC35330"/>
    <w:rsid w:val="2C293467"/>
    <w:rsid w:val="2CE37ABA"/>
    <w:rsid w:val="2D74105A"/>
    <w:rsid w:val="2E654FDE"/>
    <w:rsid w:val="2E7472D1"/>
    <w:rsid w:val="2F394997"/>
    <w:rsid w:val="307B1078"/>
    <w:rsid w:val="30C50F92"/>
    <w:rsid w:val="31EC60C4"/>
    <w:rsid w:val="3213175B"/>
    <w:rsid w:val="342C5ABD"/>
    <w:rsid w:val="350D601C"/>
    <w:rsid w:val="360F7DFC"/>
    <w:rsid w:val="363E586D"/>
    <w:rsid w:val="37726E1F"/>
    <w:rsid w:val="395A49DF"/>
    <w:rsid w:val="39B1266A"/>
    <w:rsid w:val="3A2B2EAE"/>
    <w:rsid w:val="3AEE0438"/>
    <w:rsid w:val="3AFF6A34"/>
    <w:rsid w:val="3B276116"/>
    <w:rsid w:val="3B414078"/>
    <w:rsid w:val="3B516152"/>
    <w:rsid w:val="3C273882"/>
    <w:rsid w:val="3C281CA8"/>
    <w:rsid w:val="3C5D1AF8"/>
    <w:rsid w:val="3CB52A9E"/>
    <w:rsid w:val="3D1E0D1A"/>
    <w:rsid w:val="3D7967DF"/>
    <w:rsid w:val="3F0E0C7B"/>
    <w:rsid w:val="3F1D378B"/>
    <w:rsid w:val="405A1CAC"/>
    <w:rsid w:val="4069216E"/>
    <w:rsid w:val="40B97058"/>
    <w:rsid w:val="40DA6E4C"/>
    <w:rsid w:val="410C0110"/>
    <w:rsid w:val="42C13FA2"/>
    <w:rsid w:val="438E2EF2"/>
    <w:rsid w:val="44511A9E"/>
    <w:rsid w:val="445913F0"/>
    <w:rsid w:val="452D6470"/>
    <w:rsid w:val="4552760B"/>
    <w:rsid w:val="465855EA"/>
    <w:rsid w:val="466900D1"/>
    <w:rsid w:val="46BD5FFF"/>
    <w:rsid w:val="46F53F15"/>
    <w:rsid w:val="48F74786"/>
    <w:rsid w:val="491164B3"/>
    <w:rsid w:val="4A1A0AFD"/>
    <w:rsid w:val="4A326ABC"/>
    <w:rsid w:val="4A424182"/>
    <w:rsid w:val="4ACD4267"/>
    <w:rsid w:val="4AE6615C"/>
    <w:rsid w:val="4AFF6B0F"/>
    <w:rsid w:val="4B226EFD"/>
    <w:rsid w:val="4B385C6F"/>
    <w:rsid w:val="4B687CD6"/>
    <w:rsid w:val="4C11776F"/>
    <w:rsid w:val="4CB701C3"/>
    <w:rsid w:val="4D4D5B4E"/>
    <w:rsid w:val="4E15569D"/>
    <w:rsid w:val="4F0673A2"/>
    <w:rsid w:val="514800FA"/>
    <w:rsid w:val="527033B8"/>
    <w:rsid w:val="531D1627"/>
    <w:rsid w:val="53430A03"/>
    <w:rsid w:val="534B14A5"/>
    <w:rsid w:val="56AF6ADB"/>
    <w:rsid w:val="58553476"/>
    <w:rsid w:val="58FF407B"/>
    <w:rsid w:val="5A0B433F"/>
    <w:rsid w:val="5B063EB2"/>
    <w:rsid w:val="5B1E7D3C"/>
    <w:rsid w:val="5BB35481"/>
    <w:rsid w:val="5BCE7A03"/>
    <w:rsid w:val="5C734107"/>
    <w:rsid w:val="5C9E3FB1"/>
    <w:rsid w:val="5CA644DC"/>
    <w:rsid w:val="5D107103"/>
    <w:rsid w:val="5D2D762B"/>
    <w:rsid w:val="5D7A33E9"/>
    <w:rsid w:val="5DAA7FFC"/>
    <w:rsid w:val="5DC626DF"/>
    <w:rsid w:val="5DFB460D"/>
    <w:rsid w:val="5E575A76"/>
    <w:rsid w:val="5E791A8D"/>
    <w:rsid w:val="5F225754"/>
    <w:rsid w:val="60065292"/>
    <w:rsid w:val="611F7D37"/>
    <w:rsid w:val="61655731"/>
    <w:rsid w:val="62213976"/>
    <w:rsid w:val="63A05FEA"/>
    <w:rsid w:val="64C913FB"/>
    <w:rsid w:val="66B95B6F"/>
    <w:rsid w:val="66F86621"/>
    <w:rsid w:val="683926A8"/>
    <w:rsid w:val="69B93A27"/>
    <w:rsid w:val="69E06836"/>
    <w:rsid w:val="6B4060BF"/>
    <w:rsid w:val="6B7658B3"/>
    <w:rsid w:val="6BCB670E"/>
    <w:rsid w:val="6BF07522"/>
    <w:rsid w:val="6C055395"/>
    <w:rsid w:val="6C871F2E"/>
    <w:rsid w:val="6CB121FC"/>
    <w:rsid w:val="6DF224AA"/>
    <w:rsid w:val="6F2C6FDD"/>
    <w:rsid w:val="6F4D4C8B"/>
    <w:rsid w:val="6FE11AF9"/>
    <w:rsid w:val="6FF11ABB"/>
    <w:rsid w:val="712D3F3C"/>
    <w:rsid w:val="718C1A9B"/>
    <w:rsid w:val="71D33052"/>
    <w:rsid w:val="727E02EB"/>
    <w:rsid w:val="73D74382"/>
    <w:rsid w:val="73FD3121"/>
    <w:rsid w:val="746460B5"/>
    <w:rsid w:val="746E50FE"/>
    <w:rsid w:val="74D3178F"/>
    <w:rsid w:val="75231B84"/>
    <w:rsid w:val="759538FB"/>
    <w:rsid w:val="771542E1"/>
    <w:rsid w:val="774150D6"/>
    <w:rsid w:val="774955FA"/>
    <w:rsid w:val="776E7761"/>
    <w:rsid w:val="786100F9"/>
    <w:rsid w:val="79147CC5"/>
    <w:rsid w:val="79E731AE"/>
    <w:rsid w:val="7A8C6CF1"/>
    <w:rsid w:val="7AAB2866"/>
    <w:rsid w:val="7B1B79EC"/>
    <w:rsid w:val="7B664A27"/>
    <w:rsid w:val="7C58393C"/>
    <w:rsid w:val="7C916D1B"/>
    <w:rsid w:val="7D1F2D8B"/>
    <w:rsid w:val="7D3C0B33"/>
    <w:rsid w:val="7D96253E"/>
    <w:rsid w:val="7E7323DB"/>
    <w:rsid w:val="7ECE1F2B"/>
    <w:rsid w:val="7EE8052D"/>
    <w:rsid w:val="7F8411E4"/>
    <w:rsid w:val="7F8A34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alloon Text"/>
    <w:basedOn w:val="1"/>
    <w:link w:val="13"/>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2" w:beforeLines="0" w:after="102" w:afterLines="0" w:line="1099" w:lineRule="atLeast"/>
      <w:ind w:firstLine="419"/>
      <w:jc w:val="left"/>
      <w:textAlignment w:val="baseline"/>
    </w:pPr>
    <w:rPr>
      <w:color w:val="000000"/>
      <w:kern w:val="0"/>
      <w:sz w:val="24"/>
      <w:u w:val="none" w:color="00000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0"/>
    <w:rPr>
      <w:kern w:val="2"/>
      <w:sz w:val="18"/>
      <w:szCs w:val="18"/>
    </w:rPr>
  </w:style>
  <w:style w:type="character" w:customStyle="1" w:styleId="13">
    <w:name w:val="批注框文本 Char"/>
    <w:basedOn w:val="9"/>
    <w:link w:val="3"/>
    <w:qFormat/>
    <w:uiPriority w:val="0"/>
    <w:rPr>
      <w:kern w:val="2"/>
      <w:sz w:val="18"/>
      <w:szCs w:val="18"/>
    </w:rPr>
  </w:style>
  <w:style w:type="paragraph" w:customStyle="1" w:styleId="14">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5">
    <w:name w:val="Default Paragraph Fontc97ab31fc97ab31f"/>
    <w:basedOn w:val="9"/>
    <w:qFormat/>
    <w:uiPriority w:val="0"/>
  </w:style>
  <w:style w:type="character" w:customStyle="1" w:styleId="16">
    <w:name w:val="Default Paragraph Font60be2c1060be2c10"/>
    <w:basedOn w:val="9"/>
    <w:qFormat/>
    <w:uiPriority w:val="0"/>
  </w:style>
  <w:style w:type="character" w:customStyle="1" w:styleId="17">
    <w:name w:val="Default Paragraph Fontd0540e56d0540e56"/>
    <w:basedOn w:val="9"/>
    <w:qFormat/>
    <w:uiPriority w:val="0"/>
  </w:style>
  <w:style w:type="character" w:customStyle="1" w:styleId="18">
    <w:name w:val="Default Paragraph Font51c6494e51c6494e"/>
    <w:basedOn w:val="9"/>
    <w:uiPriority w:val="0"/>
  </w:style>
  <w:style w:type="character" w:customStyle="1" w:styleId="19">
    <w:name w:val="Default Paragraph Fontc2ee558cc2ee558c"/>
    <w:basedOn w:val="9"/>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5738</Words>
  <Characters>6456</Characters>
  <Lines>16</Lines>
  <Paragraphs>4</Paragraphs>
  <TotalTime>1</TotalTime>
  <ScaleCrop>false</ScaleCrop>
  <LinksUpToDate>false</LinksUpToDate>
  <CharactersWithSpaces>6473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2022-06-13T10:07:00Z</dcterms:created>
  <dc:creator>钱哲贤</dc:creator>
  <cp:lastModifiedBy>PC</cp:lastModifiedBy>
  <cp:lastPrinted>2022-07-06T07:45:00Z</cp:lastPrinted>
  <dcterms:modified xsi:type="dcterms:W3CDTF">2026-07-10T05:19:01Z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74706A12816C4CEC834E0B9010105107_13</vt:lpwstr>
  </property>
</Properties>
</file>