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2666" w:rsidRDefault="006708C3">
      <w:pPr>
        <w:spacing w:line="0" w:lineRule="atLeast"/>
        <w:jc w:val="center"/>
        <w:rPr>
          <w:b/>
          <w:bCs/>
          <w:kern w:val="0"/>
          <w:sz w:val="24"/>
          <w:szCs w:val="24"/>
        </w:rPr>
      </w:pPr>
      <w:bookmarkStart w:id="0" w:name="_GoBack"/>
      <w:bookmarkEnd w:id="0"/>
      <w:r>
        <w:rPr>
          <w:rFonts w:hint="eastAsia"/>
          <w:b/>
          <w:bCs/>
          <w:kern w:val="0"/>
          <w:sz w:val="24"/>
          <w:szCs w:val="24"/>
        </w:rPr>
        <w:t>理财产品风险揭示书</w:t>
      </w:r>
    </w:p>
    <w:p w:rsidR="007C2666" w:rsidRDefault="006708C3">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rsidR="007C2666" w:rsidRDefault="006708C3">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全部或部分损失，在您选择购买本理财产品前，您应仔细阅读对应期次的《理财产品风险揭示书》《理财产品说明书》《投资者权益须知》《理财产品销售协议书》和《理财产品投资协议书》（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），了解本理财产品信息及详细条款。</w:t>
      </w:r>
    </w:p>
    <w:p w:rsidR="007C2666" w:rsidRDefault="006708C3">
      <w:pPr>
        <w:widowControl/>
        <w:spacing w:line="200" w:lineRule="exact"/>
        <w:ind w:firstLineChars="200" w:firstLine="261"/>
        <w:rPr>
          <w:b/>
          <w:color w:val="3D3D3D"/>
          <w:kern w:val="0"/>
          <w:sz w:val="13"/>
          <w:szCs w:val="13"/>
        </w:rPr>
      </w:pPr>
      <w:r>
        <w:rPr>
          <w:rFonts w:hint="eastAsia"/>
          <w:b/>
          <w:color w:val="3D3D3D"/>
          <w:kern w:val="0"/>
          <w:sz w:val="13"/>
          <w:szCs w:val="13"/>
        </w:rPr>
        <w:t>重要提示：南银理财有限责任公司（以下简称为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作为本理财产品管理人将为投资者利益以诚实信用、勤勉尽职的原则管理和运用理财产品资金，但不保证理财产品本金和收益，您可能因市场变动或多种风险因素而损失全部本金且无法取得任何收益。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自主决定将合法所有的自有资金用于购买本理财产品。理财产品过往业绩不代表其未来表现，不等于理财产品实际收益，不构成管理人对理财产品业绩表现的保证，投资须谨慎！在购买本理财产品后，您应随时关注产品的信息披露情况，及时获取相关信息。</w:t>
      </w:r>
    </w:p>
    <w:p w:rsidR="007C2666" w:rsidRDefault="006708C3">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rsidR="007C2666" w:rsidRDefault="006708C3">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一）政策风险：本理财产品是根据当前相关法律法规、监管规定和政策设计的。理财产品在实际运作过程中，如遇到国家宏观政策和相关法律法规、监管规定发生变化，影响理财产品的发行、管理、投资运作和清算分配等业务的正常进行，可能导致理财产品的收益降低或无法取得任何收益甚至本理财产品的本金遭受部分或全部损失，也可能导致本理财产品违反国家法律、法规或者其他合同的有关规定，进而导致本理财产品被宣告无效、撤销、解除或提前终止等。</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二）信用风险：本理财产品收益来源于理财产品项下投资对象的回报。本理财产品所投资的资产，可能因债务人违约或者其他原因在投资期限届满时不能足额变现，由此可能导致本理财产品的本金及收益遭受损失。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（三）市场风险：理财产品面临的市场风险主要指因市场各种风险因子变动，使得理财产品配置资产的价格发生波动，导致理财产品本金或收益蒙受损失的风险。</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理财产品投资商品及金融衍生品类产品可能面临衍生品公允价值变化风险等。</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在理财产品存续期内的非开放日（如有）投资者不得赎回，在开放日（如有）可能因发生理财产品说明书中约定的限制赎回情况，导致投资者在需要资金时无法随时变现，当市场上出现更高收益的产品时，将有可能导致投资者因此丧失其他投资机会。</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八）理财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或通过销售机构通知）理财产品不成立且不承担任何违约责任，投资者将面临再投资风险。</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市场流动性不足或受限导致未能正常买卖结算，或投资资产正常到期，投资资产相关发行人或融资主体未能及时偿付本息，所投资工具无法及时变现等原因造成不能按时支付理财产品本金和收益，则投资者面临理财产品期限延期、调整等风险。</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rsidR="007C2666" w:rsidRDefault="006708C3">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者蒙受损失的风险。</w:t>
      </w:r>
    </w:p>
    <w:p w:rsidR="007C2666" w:rsidRDefault="006708C3">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或报告。投资者应根据《理财产品说明书》中约定的信息披露渠道及时查询相关信息，以获知有关本理财产品相关信息，如果投资者未及时查询，或由于通信故障、系统故障以及其他不可抗力等因素的影响使得投资者无法及时了解产品信息，投资者承担因此而产生的责任和风险。</w:t>
      </w:r>
    </w:p>
    <w:p w:rsidR="007C2666" w:rsidRDefault="006708C3">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理财产品说明书》规定的不可抗力或南银理财、销售机构、托管机构系统故障、通讯故障、投资市场停止交易等意外事件的出现，严重影响金融市场的正常运行，从而对理财产品的成立、发行、投资运作、资金返还、信息披露、公告通知等造成影响，甚至影响理财产品的受理、投资、分配等事宜的正常进行，进而导致投资者蒙受本金和收益遭受损失的风险。因不可抗力及意外事件风险导致的任何损失，由投资者自行承担。</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收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（十五）操作风险：若管理人、销售机构、托管机构由于内部作业、人员管理及系统操作不当或失误，处理事务不当等，可能导致本理财产品的本金及收益遭受损失。</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（十六）代销风险：本理财产品通过代销机构销售时，认购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产品销售文件约定划付至代销机构，并由代销机构向投资者支付。如果投资者在代销机构的资</w:t>
      </w:r>
      <w:r>
        <w:rPr>
          <w:rFonts w:hint="eastAsia"/>
          <w:color w:val="3D3D3D"/>
          <w:kern w:val="0"/>
          <w:sz w:val="13"/>
          <w:szCs w:val="13"/>
        </w:rPr>
        <w:lastRenderedPageBreak/>
        <w:t>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代销机构用于划付理财产品项下资金的账户内资金被依法冻结或扣划、账户处于被挂失、冻结、注销或其他非正常状态等原因而导致交易失败的，由代销机构与投资者依法协商解决。</w:t>
      </w:r>
    </w:p>
    <w:p w:rsidR="007C2666" w:rsidRDefault="006708C3">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rsidR="007C2666" w:rsidRDefault="006708C3">
      <w:pPr>
        <w:widowControl/>
        <w:spacing w:line="200" w:lineRule="exact"/>
        <w:ind w:firstLine="260"/>
        <w:rPr>
          <w:sz w:val="20"/>
          <w:szCs w:val="20"/>
        </w:rPr>
      </w:pPr>
      <w:r>
        <w:rPr>
          <w:rFonts w:hint="eastAsia"/>
          <w:color w:val="3D3D3D"/>
          <w:kern w:val="0"/>
          <w:sz w:val="13"/>
          <w:szCs w:val="13"/>
        </w:rPr>
        <w:t>（十八）关联交易风险：在合法合规且履行应履行的内、外部程序后，理财产品可能投资于管理人或托管机构的主要股东、实际控制人、一致行动人、最终受益人，托管机构，同一股东或托管机构控股的机构，或者与管理人或托管机构有重大利害关系的机构发行或承销的证券，或者从事其他关联交易，本理财产品也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rsidR="007C2666" w:rsidRDefault="006708C3">
      <w:pPr>
        <w:pStyle w:val="Normal504f6220"/>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rsidR="007C2666" w:rsidRDefault="006708C3">
      <w:pPr>
        <w:spacing w:line="200" w:lineRule="exact"/>
      </w:pPr>
      <w:r>
        <w:rPr>
          <w:rFonts w:cs="宋体"/>
          <w:b/>
          <w:sz w:val="13"/>
          <w:szCs w:val="20"/>
        </w:rPr>
        <w:t xml:space="preserve">    1.债券类资产投资风险</w:t>
      </w:r>
    </w:p>
    <w:p w:rsidR="007C2666" w:rsidRDefault="006708C3">
      <w:pPr>
        <w:spacing w:line="200" w:lineRule="exact"/>
      </w:pPr>
      <w:r>
        <w:rPr>
          <w:rFonts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rsidR="007C2666" w:rsidRDefault="006708C3">
      <w:pPr>
        <w:spacing w:line="200" w:lineRule="exact"/>
      </w:pPr>
      <w:r>
        <w:rPr>
          <w:rFonts w:cs="宋体"/>
          <w:b/>
          <w:sz w:val="13"/>
          <w:szCs w:val="20"/>
        </w:rPr>
        <w:t xml:space="preserve">    2.非标准化债权类资产投资风险</w:t>
      </w:r>
    </w:p>
    <w:p w:rsidR="007C2666" w:rsidRDefault="006708C3">
      <w:pPr>
        <w:spacing w:line="200" w:lineRule="exact"/>
      </w:pPr>
      <w:r>
        <w:rPr>
          <w:rFonts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rsidR="007C2666" w:rsidRDefault="006708C3">
      <w:pPr>
        <w:spacing w:line="200" w:lineRule="exact"/>
      </w:pPr>
      <w:r>
        <w:rPr>
          <w:rFonts w:cs="宋体"/>
          <w:b/>
          <w:sz w:val="13"/>
          <w:szCs w:val="20"/>
        </w:rPr>
        <w:t xml:space="preserve">    3.资产管理产品投资风险</w:t>
      </w:r>
    </w:p>
    <w:p w:rsidR="007C2666" w:rsidRDefault="006708C3">
      <w:pPr>
        <w:spacing w:line="200" w:lineRule="exact"/>
      </w:pPr>
      <w:r>
        <w:rPr>
          <w:rFonts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rsidR="007C2666" w:rsidRDefault="006708C3">
      <w:pPr>
        <w:pStyle w:val="Normal504f6220"/>
        <w:widowControl/>
        <w:spacing w:line="200" w:lineRule="exact"/>
        <w:ind w:firstLine="260"/>
        <w:rPr>
          <w:b/>
          <w:bCs/>
          <w:color w:val="3D3D3D"/>
          <w:kern w:val="0"/>
          <w:sz w:val="13"/>
          <w:szCs w:val="13"/>
        </w:rPr>
      </w:pPr>
      <w:r>
        <w:rPr>
          <w:rFonts w:hint="eastAsia"/>
          <w:b/>
          <w:bCs/>
          <w:color w:val="3D3D3D"/>
          <w:kern w:val="0"/>
          <w:sz w:val="13"/>
          <w:szCs w:val="13"/>
        </w:rPr>
        <w:t>本理财产品类型：定期开放式、固定收益类、公募、净值型。</w:t>
      </w:r>
    </w:p>
    <w:p w:rsidR="007C2666" w:rsidRDefault="006708C3">
      <w:pPr>
        <w:pStyle w:val="Normal504f6220"/>
        <w:widowControl/>
        <w:spacing w:line="200" w:lineRule="exact"/>
        <w:ind w:firstLine="270"/>
        <w:rPr>
          <w:b/>
          <w:bCs/>
          <w:color w:val="3D3D3D"/>
          <w:kern w:val="0"/>
          <w:sz w:val="13"/>
          <w:szCs w:val="13"/>
        </w:rPr>
      </w:pPr>
      <w:r>
        <w:rPr>
          <w:rFonts w:hint="eastAsia"/>
          <w:b/>
          <w:color w:val="3D3D3D"/>
          <w:kern w:val="0"/>
          <w:sz w:val="13"/>
          <w:szCs w:val="13"/>
        </w:rPr>
        <w:t>本理财产品期限为</w:t>
      </w:r>
      <w:r>
        <w:rPr>
          <w:rFonts w:hint="eastAsia"/>
          <w:b/>
          <w:bCs/>
          <w:color w:val="3D3D3D"/>
          <w:kern w:val="0"/>
          <w:sz w:val="13"/>
          <w:szCs w:val="13"/>
        </w:rPr>
        <w:t>10年</w:t>
      </w:r>
      <w:r>
        <w:rPr>
          <w:rFonts w:hint="eastAsia"/>
          <w:b/>
          <w:color w:val="3D3D3D"/>
          <w:kern w:val="0"/>
          <w:sz w:val="13"/>
          <w:szCs w:val="13"/>
        </w:rPr>
        <w:t>（若本理财产品被提前终止或延期终止，以实际到期日计算持有天数）。</w:t>
      </w:r>
    </w:p>
    <w:p w:rsidR="007C2666" w:rsidRDefault="006708C3">
      <w:pPr>
        <w:pStyle w:val="annotationtext23"/>
        <w:spacing w:line="200" w:lineRule="exact"/>
        <w:rPr>
          <w:color w:val="3D3D3D"/>
          <w:kern w:val="0"/>
          <w:sz w:val="13"/>
          <w:szCs w:val="13"/>
        </w:rPr>
      </w:pPr>
      <w:r>
        <w:rPr>
          <w:rFonts w:hint="eastAsia"/>
          <w:b/>
          <w:bCs/>
          <w:color w:val="3D3D3D"/>
          <w:kern w:val="0"/>
          <w:sz w:val="13"/>
          <w:szCs w:val="13"/>
        </w:rPr>
        <w:t>本理财产品风险评级结果：</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p>
    <w:p w:rsidR="007C2666" w:rsidRDefault="006708C3">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本风险等级为南银理财风险评级结果，该产品通过代理销售机构渠道销售的，理财产品评级应当以代理销售机构最终披露的评级结果为准。</w:t>
      </w:r>
      <w:r>
        <w:rPr>
          <w:rFonts w:hint="eastAsia"/>
          <w:color w:val="3D3D3D"/>
          <w:kern w:val="0"/>
          <w:sz w:val="13"/>
          <w:szCs w:val="13"/>
        </w:rPr>
        <w:t>您需充分认识投资风险，谨慎投资。</w:t>
      </w:r>
    </w:p>
    <w:p w:rsidR="007C2666" w:rsidRDefault="006708C3">
      <w:pPr>
        <w:pStyle w:val="Normal504f6220"/>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color w:val="3D3D3D"/>
          <w:kern w:val="0"/>
          <w:sz w:val="13"/>
          <w:szCs w:val="13"/>
        </w:rPr>
        <w:t>符合相关法律法规、监管规定要求的，经销售机构的风险承受能力评估体系评定为适合的个人和机构投资者。</w:t>
      </w:r>
    </w:p>
    <w:p w:rsidR="007C2666" w:rsidRDefault="006708C3">
      <w:pPr>
        <w:pStyle w:val="Normal504f6220"/>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个人投资者在首次通过销售机构购买理财产品时应根据销售机构的要求进行风险承受能力评估。如影响您风险承受能力的因素发生变化，请及时完成风险承受能力评估。</w:t>
      </w:r>
    </w:p>
    <w:p w:rsidR="007C2666" w:rsidRDefault="006708C3">
      <w:pPr>
        <w:pStyle w:val="Normal504f6220"/>
        <w:widowControl/>
        <w:spacing w:line="200" w:lineRule="exact"/>
        <w:ind w:firstLine="260"/>
      </w:pPr>
      <w:r>
        <w:rPr>
          <w:rFonts w:hint="eastAsia"/>
          <w:b/>
          <w:bCs/>
          <w:color w:val="3D3D3D"/>
          <w:kern w:val="0"/>
          <w:sz w:val="13"/>
          <w:szCs w:val="13"/>
        </w:rPr>
        <w:t>最不利投资情形下的投资结果：若投资者认购或申购本理财产品，最不利情况下，投资组合内所有资产均发生以上所述的风险事件，且投资组合内所有资产均发生全额损失，则投资者赎回或到期收到款项为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rsidR="007C2666" w:rsidRDefault="006708C3">
      <w:pPr>
        <w:pStyle w:val="Normal504f6220"/>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rsidR="007C2666" w:rsidRDefault="007C2666">
      <w:pPr>
        <w:pStyle w:val="Normal504f6220"/>
        <w:widowControl/>
        <w:spacing w:line="200" w:lineRule="exact"/>
        <w:ind w:firstLine="260"/>
        <w:rPr>
          <w:b/>
          <w:color w:val="3D3D3D"/>
          <w:kern w:val="0"/>
          <w:sz w:val="13"/>
          <w:szCs w:val="13"/>
        </w:rPr>
      </w:pPr>
    </w:p>
    <w:p w:rsidR="007C2666" w:rsidRDefault="006708C3">
      <w:pPr>
        <w:pStyle w:val="Normal504f6220"/>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rsidR="007C2666" w:rsidRDefault="007C2666">
      <w:pPr>
        <w:pStyle w:val="Normal504f6220"/>
        <w:widowControl/>
        <w:spacing w:line="200" w:lineRule="exact"/>
        <w:ind w:firstLine="260"/>
        <w:jc w:val="center"/>
        <w:rPr>
          <w:b/>
          <w:color w:val="3D3D3D"/>
          <w:kern w:val="0"/>
          <w:sz w:val="15"/>
          <w:szCs w:val="15"/>
          <w:u w:val="single"/>
        </w:rPr>
      </w:pPr>
    </w:p>
    <w:p w:rsidR="007C2666" w:rsidRDefault="006708C3">
      <w:pPr>
        <w:pStyle w:val="Normal504f6220"/>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本风险揭示书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rsidR="007C2666" w:rsidRDefault="006708C3">
      <w:pPr>
        <w:widowControl/>
        <w:spacing w:line="200" w:lineRule="exact"/>
        <w:rPr>
          <w:b/>
          <w:color w:val="3D3D3D"/>
          <w:kern w:val="0"/>
          <w:sz w:val="15"/>
          <w:szCs w:val="15"/>
          <w:u w:val="single"/>
        </w:rPr>
      </w:pPr>
      <w:r>
        <w:rPr>
          <w:rFonts w:hint="eastAsia"/>
          <w:b/>
          <w:color w:val="3D3D3D"/>
          <w:kern w:val="0"/>
          <w:sz w:val="15"/>
          <w:szCs w:val="15"/>
          <w:u w:val="single"/>
        </w:rPr>
        <w:t>投资者声明：</w:t>
      </w:r>
    </w:p>
    <w:p w:rsidR="007C2666" w:rsidRDefault="006708C3">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rsidR="007C2666" w:rsidRDefault="006708C3">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rsidR="007C2666" w:rsidRDefault="006708C3">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rsidR="007C2666" w:rsidRDefault="006708C3">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中低、中、中高、高）。如果影响本投资者风险承受能力的因素发生变化，本投资者将及时完成风险承受能力评估，否则由此产生的责任和风险由本投资者自行承担。（仅由个人投资者亲自填写）</w:t>
      </w:r>
    </w:p>
    <w:p w:rsidR="007C2666" w:rsidRDefault="006708C3">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及对应期次《理财产品销售协议书》《理财产品说明书》《投资者权益须知》《理财产品投资协议书》等理财产品销售文件的全部条款与内容，完全清楚理财产品购买流程、风险评估、产品评级含义、信息披露方式及渠道、南银理财及销售机构联系方式及投诉程序等内容，充分了解履行上述文件的责任，具有识别及承担相关风险的能力，充分了解本理财产品的风险并愿意承担相关风险。</w:t>
      </w:r>
    </w:p>
    <w:p w:rsidR="007C2666" w:rsidRDefault="006708C3">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rsidR="007C2666" w:rsidRDefault="006708C3">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如销售机构为管理人关联方的，本投资者认可此等关联方及关联交易情形的存在并自愿承担相关投资风险。</w:t>
      </w:r>
    </w:p>
    <w:p w:rsidR="007C2666" w:rsidRDefault="006708C3">
      <w:pPr>
        <w:widowControl/>
        <w:spacing w:line="200" w:lineRule="exact"/>
        <w:ind w:firstLine="420"/>
        <w:rPr>
          <w:color w:val="3D3D3D"/>
          <w:kern w:val="0"/>
          <w:sz w:val="15"/>
          <w:szCs w:val="15"/>
          <w:u w:val="single"/>
        </w:rPr>
      </w:pPr>
      <w:r>
        <w:rPr>
          <w:rFonts w:hint="eastAsia"/>
          <w:color w:val="3D3D3D"/>
          <w:kern w:val="0"/>
          <w:sz w:val="15"/>
          <w:szCs w:val="15"/>
        </w:rPr>
        <w:lastRenderedPageBreak/>
        <w:t>8.以下划线部分，请投资者抄录确认：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rsidR="007C2666" w:rsidRDefault="006708C3">
      <w:pPr>
        <w:widowControl/>
        <w:spacing w:line="200" w:lineRule="exact"/>
        <w:ind w:firstLine="210"/>
        <w:rPr>
          <w:color w:val="3D3D3D"/>
          <w:kern w:val="0"/>
          <w:sz w:val="15"/>
          <w:szCs w:val="15"/>
        </w:rPr>
      </w:pPr>
      <w:r>
        <w:rPr>
          <w:rFonts w:hint="eastAsia"/>
          <w:color w:val="3D3D3D"/>
          <w:kern w:val="0"/>
          <w:sz w:val="15"/>
          <w:szCs w:val="15"/>
        </w:rPr>
        <w:t xml:space="preserve">         </w:t>
      </w:r>
    </w:p>
    <w:p w:rsidR="007C2666" w:rsidRDefault="007C2666">
      <w:pPr>
        <w:widowControl/>
        <w:spacing w:line="200" w:lineRule="exact"/>
        <w:ind w:firstLine="210"/>
        <w:rPr>
          <w:color w:val="3D3D3D"/>
          <w:kern w:val="0"/>
          <w:sz w:val="15"/>
          <w:szCs w:val="15"/>
        </w:rPr>
      </w:pPr>
    </w:p>
    <w:p w:rsidR="007C2666" w:rsidRDefault="006708C3">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rsidR="007C2666" w:rsidRDefault="007C2666">
      <w:pPr>
        <w:widowControl/>
        <w:spacing w:line="200" w:lineRule="exact"/>
        <w:ind w:firstLine="210"/>
        <w:rPr>
          <w:color w:val="3D3D3D"/>
          <w:kern w:val="0"/>
          <w:sz w:val="13"/>
          <w:szCs w:val="13"/>
        </w:rPr>
      </w:pPr>
    </w:p>
    <w:p w:rsidR="007C2666" w:rsidRDefault="007C2666">
      <w:pPr>
        <w:widowControl/>
        <w:spacing w:line="200" w:lineRule="exact"/>
        <w:ind w:firstLine="210"/>
        <w:jc w:val="left"/>
        <w:rPr>
          <w:color w:val="3D3D3D"/>
          <w:kern w:val="0"/>
          <w:sz w:val="13"/>
          <w:szCs w:val="13"/>
        </w:rPr>
      </w:pPr>
    </w:p>
    <w:p w:rsidR="007C2666" w:rsidRDefault="007C2666">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7C2666">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400" w:lineRule="exact"/>
              <w:jc w:val="center"/>
              <w:rPr>
                <w:b/>
                <w:sz w:val="15"/>
                <w:szCs w:val="15"/>
              </w:rPr>
            </w:pPr>
            <w:r>
              <w:rPr>
                <w:rFonts w:hint="eastAsia"/>
                <w:b/>
                <w:sz w:val="15"/>
                <w:szCs w:val="15"/>
              </w:rPr>
              <w:t>个人投资者</w:t>
            </w:r>
          </w:p>
        </w:tc>
      </w:tr>
      <w:tr w:rsidR="007C2666">
        <w:tc>
          <w:tcPr>
            <w:tcW w:w="9287" w:type="dxa"/>
            <w:tcBorders>
              <w:top w:val="single" w:sz="4" w:space="0" w:color="auto"/>
              <w:left w:val="single" w:sz="4" w:space="0" w:color="auto"/>
              <w:bottom w:val="single" w:sz="4" w:space="0" w:color="auto"/>
              <w:right w:val="single" w:sz="4" w:space="0" w:color="auto"/>
              <w:tl2br w:val="nil"/>
              <w:tr2bl w:val="nil"/>
            </w:tcBorders>
          </w:tcPr>
          <w:p w:rsidR="007C2666" w:rsidRDefault="006708C3">
            <w:pPr>
              <w:widowControl/>
              <w:spacing w:line="360" w:lineRule="auto"/>
              <w:rPr>
                <w:color w:val="3D3D3D"/>
                <w:kern w:val="0"/>
                <w:sz w:val="13"/>
                <w:szCs w:val="13"/>
              </w:rPr>
            </w:pPr>
            <w:r>
              <w:rPr>
                <w:rFonts w:hint="eastAsia"/>
                <w:sz w:val="15"/>
                <w:szCs w:val="15"/>
              </w:rPr>
              <w:t>签名：</w:t>
            </w:r>
          </w:p>
          <w:p w:rsidR="007C2666" w:rsidRDefault="006708C3">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C2666">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400" w:lineRule="exact"/>
              <w:jc w:val="center"/>
              <w:rPr>
                <w:sz w:val="15"/>
                <w:szCs w:val="15"/>
              </w:rPr>
            </w:pPr>
            <w:r>
              <w:rPr>
                <w:rFonts w:hint="eastAsia"/>
                <w:b/>
                <w:bCs/>
                <w:color w:val="3D3D3D"/>
                <w:kern w:val="0"/>
                <w:sz w:val="15"/>
                <w:szCs w:val="15"/>
              </w:rPr>
              <w:t>机构投资者</w:t>
            </w:r>
          </w:p>
        </w:tc>
      </w:tr>
      <w:tr w:rsidR="007C2666">
        <w:tc>
          <w:tcPr>
            <w:tcW w:w="9287" w:type="dxa"/>
            <w:tcBorders>
              <w:top w:val="single" w:sz="4" w:space="0" w:color="auto"/>
              <w:left w:val="single" w:sz="4" w:space="0" w:color="auto"/>
              <w:bottom w:val="single" w:sz="4" w:space="0" w:color="auto"/>
              <w:right w:val="single" w:sz="4" w:space="0" w:color="auto"/>
              <w:tl2br w:val="nil"/>
              <w:tr2bl w:val="nil"/>
            </w:tcBorders>
          </w:tcPr>
          <w:p w:rsidR="007C2666" w:rsidRDefault="007C2666">
            <w:pPr>
              <w:widowControl/>
              <w:spacing w:line="200" w:lineRule="exact"/>
              <w:jc w:val="left"/>
              <w:rPr>
                <w:b/>
                <w:bCs/>
                <w:color w:val="3D3D3D"/>
                <w:kern w:val="0"/>
                <w:sz w:val="15"/>
                <w:szCs w:val="15"/>
              </w:rPr>
            </w:pPr>
          </w:p>
          <w:p w:rsidR="007C2666" w:rsidRDefault="006708C3">
            <w:pPr>
              <w:widowControl/>
              <w:spacing w:line="200" w:lineRule="exact"/>
              <w:jc w:val="left"/>
              <w:rPr>
                <w:b/>
                <w:bCs/>
                <w:color w:val="3D3D3D"/>
                <w:kern w:val="0"/>
                <w:sz w:val="15"/>
                <w:szCs w:val="15"/>
              </w:rPr>
            </w:pPr>
            <w:r>
              <w:rPr>
                <w:rFonts w:hint="eastAsia"/>
                <w:b/>
                <w:bCs/>
                <w:color w:val="3D3D3D"/>
                <w:kern w:val="0"/>
                <w:sz w:val="15"/>
                <w:szCs w:val="15"/>
              </w:rPr>
              <w:t>盖章（公章）</w:t>
            </w:r>
          </w:p>
          <w:p w:rsidR="007C2666" w:rsidRDefault="007C2666">
            <w:pPr>
              <w:widowControl/>
              <w:spacing w:line="200" w:lineRule="exact"/>
              <w:jc w:val="left"/>
              <w:rPr>
                <w:b/>
                <w:bCs/>
                <w:color w:val="3D3D3D"/>
                <w:kern w:val="0"/>
                <w:sz w:val="15"/>
                <w:szCs w:val="15"/>
              </w:rPr>
            </w:pPr>
          </w:p>
          <w:p w:rsidR="007C2666" w:rsidRDefault="006708C3">
            <w:pPr>
              <w:widowControl/>
              <w:spacing w:line="200" w:lineRule="exact"/>
              <w:jc w:val="left"/>
              <w:rPr>
                <w:b/>
                <w:bCs/>
                <w:color w:val="3D3D3D"/>
                <w:kern w:val="0"/>
                <w:sz w:val="15"/>
                <w:szCs w:val="15"/>
              </w:rPr>
            </w:pPr>
            <w:r>
              <w:rPr>
                <w:rFonts w:hint="eastAsia"/>
                <w:b/>
                <w:bCs/>
                <w:color w:val="3D3D3D"/>
                <w:kern w:val="0"/>
                <w:sz w:val="15"/>
                <w:szCs w:val="15"/>
              </w:rPr>
              <w:t>法定代表人或授权代理人（签名或盖章）：</w:t>
            </w:r>
            <w:r>
              <w:rPr>
                <w:b/>
                <w:bCs/>
                <w:color w:val="3D3D3D"/>
                <w:kern w:val="0"/>
                <w:sz w:val="15"/>
                <w:szCs w:val="15"/>
              </w:rPr>
              <w:t xml:space="preserve"> </w:t>
            </w:r>
            <w:r>
              <w:rPr>
                <w:b/>
                <w:bCs/>
                <w:color w:val="3D3D3D"/>
                <w:kern w:val="0"/>
                <w:sz w:val="15"/>
                <w:szCs w:val="15"/>
              </w:rPr>
              <w:tab/>
            </w:r>
          </w:p>
          <w:p w:rsidR="007C2666" w:rsidRDefault="007C2666">
            <w:pPr>
              <w:widowControl/>
              <w:spacing w:line="200" w:lineRule="exact"/>
              <w:jc w:val="left"/>
              <w:rPr>
                <w:color w:val="3D3D3D"/>
                <w:kern w:val="0"/>
                <w:sz w:val="13"/>
                <w:szCs w:val="13"/>
              </w:rPr>
            </w:pPr>
          </w:p>
          <w:p w:rsidR="007C2666" w:rsidRDefault="006708C3">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7C2666">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rsidR="007C2666" w:rsidRDefault="006708C3">
            <w:pPr>
              <w:widowControl/>
              <w:spacing w:line="400" w:lineRule="exact"/>
              <w:jc w:val="center"/>
              <w:rPr>
                <w:sz w:val="15"/>
                <w:szCs w:val="15"/>
              </w:rPr>
            </w:pPr>
            <w:r>
              <w:rPr>
                <w:rFonts w:hint="eastAsia"/>
                <w:b/>
                <w:bCs/>
                <w:sz w:val="15"/>
                <w:szCs w:val="15"/>
              </w:rPr>
              <w:t>电子渠道</w:t>
            </w:r>
          </w:p>
        </w:tc>
      </w:tr>
      <w:tr w:rsidR="007C2666">
        <w:tc>
          <w:tcPr>
            <w:tcW w:w="9287" w:type="dxa"/>
            <w:tcBorders>
              <w:top w:val="single" w:sz="4" w:space="0" w:color="auto"/>
              <w:left w:val="single" w:sz="4" w:space="0" w:color="auto"/>
              <w:bottom w:val="single" w:sz="4" w:space="0" w:color="auto"/>
              <w:right w:val="single" w:sz="4" w:space="0" w:color="auto"/>
              <w:tl2br w:val="nil"/>
              <w:tr2bl w:val="nil"/>
            </w:tcBorders>
          </w:tcPr>
          <w:p w:rsidR="007C2666" w:rsidRDefault="006708C3">
            <w:pPr>
              <w:widowControl/>
              <w:spacing w:line="200" w:lineRule="exact"/>
              <w:ind w:firstLineChars="200" w:firstLine="301"/>
              <w:rPr>
                <w:sz w:val="15"/>
                <w:szCs w:val="15"/>
              </w:rPr>
            </w:pPr>
            <w:r>
              <w:rPr>
                <w:rFonts w:hint="eastAsia"/>
                <w:b/>
                <w:color w:val="3D3D3D"/>
                <w:kern w:val="0"/>
                <w:sz w:val="15"/>
                <w:szCs w:val="15"/>
                <w:u w:val="single"/>
              </w:rPr>
              <w:t>如投资者通过电子渠道（包括但不限于网上银行、手机银行或官方网站等）购买本理财产品的，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应在电子渠道仔细阅读风险揭示书的所有条款，对风险揭示书条款的含义及相应的法律后果应全部知晓并充分理解，同意接受风险揭示书条款，投资者成功缴纳购买资金并经管理人系统确认购买份额后即视为投资者确认其符合本理财产品的风险等级并自愿承担投资风险。</w:t>
            </w:r>
            <w:r>
              <w:rPr>
                <w:rFonts w:hint="eastAsia"/>
                <w:spacing w:val="10"/>
                <w:sz w:val="15"/>
                <w:szCs w:val="15"/>
              </w:rPr>
              <w:t>电子渠道所生成和保留记载的相关电子数据及交易记录以及南银理财、销售机构、托管机构制作或保留的相关电子及纸质单据、凭证、记录等相关资料，构成有效证明投资者与南银理财双方之间权利义务关系的确定证据，投资者无条件认可电子数据的有效性和证据效力。</w:t>
            </w:r>
          </w:p>
        </w:tc>
      </w:tr>
    </w:tbl>
    <w:p w:rsidR="007C2666" w:rsidRDefault="007C2666" w:rsidP="00576DF4"/>
    <w:sectPr w:rsidR="007C2666">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842FE" w:rsidRDefault="006708C3">
      <w:r>
        <w:separator/>
      </w:r>
    </w:p>
  </w:endnote>
  <w:endnote w:type="continuationSeparator" w:id="0">
    <w:p w:rsidR="00E842FE" w:rsidRDefault="00670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方正黑体_GBK">
    <w:altName w:val="宋体"/>
    <w:panose1 w:val="00000000000000000000"/>
    <w:charset w:val="86"/>
    <w:family w:val="roman"/>
    <w:notTrueType/>
    <w:pitch w:val="default"/>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842FE" w:rsidRDefault="006708C3">
      <w:r>
        <w:separator/>
      </w:r>
    </w:p>
  </w:footnote>
  <w:footnote w:type="continuationSeparator" w:id="0">
    <w:p w:rsidR="00E842FE" w:rsidRDefault="006708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C2666" w:rsidRDefault="006708C3">
    <w:pPr>
      <w:pStyle w:val="a3"/>
      <w:jc w:val="right"/>
    </w:pPr>
    <w:r>
      <w:t>南银理财理财产品销售文件（2021第2版）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26207"/>
    <w:multiLevelType w:val="multilevel"/>
    <w:tmpl w:val="F11670FE"/>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19B16C3"/>
    <w:multiLevelType w:val="multilevel"/>
    <w:tmpl w:val="DA1298AE"/>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6A504581"/>
    <w:multiLevelType w:val="hybridMultilevel"/>
    <w:tmpl w:val="336E73D4"/>
    <w:lvl w:ilvl="0" w:tplc="F78C79D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9716C7E4">
      <w:start w:val="1"/>
      <w:numFmt w:val="lowerLetter"/>
      <w:lvlText w:val="%2)"/>
      <w:lvlJc w:val="left"/>
      <w:pPr>
        <w:tabs>
          <w:tab w:val="num" w:pos="0"/>
        </w:tabs>
        <w:ind w:left="1141" w:hanging="420"/>
      </w:pPr>
      <w:rPr>
        <w:rFonts w:ascii="方正黑体_GBK" w:eastAsia="方正黑体_GBK" w:hAnsi="方正黑体_GBK" w:hint="default"/>
      </w:rPr>
    </w:lvl>
    <w:lvl w:ilvl="2" w:tplc="2ABCF35C">
      <w:start w:val="1"/>
      <w:numFmt w:val="decimal"/>
      <w:lvlText w:val="%3."/>
      <w:lvlJc w:val="right"/>
      <w:pPr>
        <w:tabs>
          <w:tab w:val="num" w:pos="0"/>
        </w:tabs>
        <w:ind w:left="1561" w:hanging="420"/>
      </w:pPr>
      <w:rPr>
        <w:rFonts w:ascii="方正黑体_GBK" w:eastAsia="方正黑体_GBK" w:hAnsi="方正黑体_GBK" w:hint="default"/>
      </w:rPr>
    </w:lvl>
    <w:lvl w:ilvl="3" w:tplc="8FE82344">
      <w:start w:val="1"/>
      <w:numFmt w:val="decimal"/>
      <w:lvlText w:val="%4."/>
      <w:lvlJc w:val="left"/>
      <w:pPr>
        <w:tabs>
          <w:tab w:val="num" w:pos="0"/>
        </w:tabs>
        <w:ind w:left="1981" w:hanging="420"/>
      </w:pPr>
      <w:rPr>
        <w:rFonts w:ascii="方正黑体_GBK" w:eastAsia="方正黑体_GBK" w:hAnsi="方正黑体_GBK" w:hint="default"/>
      </w:rPr>
    </w:lvl>
    <w:lvl w:ilvl="4" w:tplc="4DE80D8C">
      <w:start w:val="1"/>
      <w:numFmt w:val="lowerLetter"/>
      <w:lvlText w:val="%5)"/>
      <w:lvlJc w:val="left"/>
      <w:pPr>
        <w:tabs>
          <w:tab w:val="num" w:pos="0"/>
        </w:tabs>
        <w:ind w:left="2401" w:hanging="420"/>
      </w:pPr>
      <w:rPr>
        <w:rFonts w:ascii="方正黑体_GBK" w:eastAsia="方正黑体_GBK" w:hAnsi="方正黑体_GBK" w:hint="default"/>
      </w:rPr>
    </w:lvl>
    <w:lvl w:ilvl="5" w:tplc="1F5C8024">
      <w:start w:val="1"/>
      <w:numFmt w:val="decimal"/>
      <w:lvlText w:val="%6."/>
      <w:lvlJc w:val="right"/>
      <w:pPr>
        <w:tabs>
          <w:tab w:val="num" w:pos="0"/>
        </w:tabs>
        <w:ind w:left="2821" w:hanging="420"/>
      </w:pPr>
      <w:rPr>
        <w:rFonts w:ascii="方正黑体_GBK" w:eastAsia="方正黑体_GBK" w:hAnsi="方正黑体_GBK" w:hint="default"/>
      </w:rPr>
    </w:lvl>
    <w:lvl w:ilvl="6" w:tplc="88661F38">
      <w:start w:val="1"/>
      <w:numFmt w:val="decimal"/>
      <w:lvlText w:val="%7."/>
      <w:lvlJc w:val="left"/>
      <w:pPr>
        <w:tabs>
          <w:tab w:val="num" w:pos="0"/>
        </w:tabs>
        <w:ind w:left="3241" w:hanging="420"/>
      </w:pPr>
      <w:rPr>
        <w:rFonts w:ascii="方正黑体_GBK" w:eastAsia="方正黑体_GBK" w:hAnsi="方正黑体_GBK" w:hint="default"/>
      </w:rPr>
    </w:lvl>
    <w:lvl w:ilvl="7" w:tplc="2EEEAC9C">
      <w:start w:val="1"/>
      <w:numFmt w:val="lowerLetter"/>
      <w:lvlText w:val="%8)"/>
      <w:lvlJc w:val="left"/>
      <w:pPr>
        <w:tabs>
          <w:tab w:val="num" w:pos="0"/>
        </w:tabs>
        <w:ind w:left="3661" w:hanging="420"/>
      </w:pPr>
      <w:rPr>
        <w:rFonts w:ascii="方正黑体_GBK" w:eastAsia="方正黑体_GBK" w:hAnsi="方正黑体_GBK" w:hint="default"/>
      </w:rPr>
    </w:lvl>
    <w:lvl w:ilvl="8" w:tplc="54CEB536">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7C2666"/>
    <w:rsid w:val="00576DF4"/>
    <w:rsid w:val="006708C3"/>
    <w:rsid w:val="007C2666"/>
    <w:rsid w:val="00E8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45720344-CD51-442B-9A5E-9B0F30487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504f6220">
    <w:name w:val="Normal504f6220"/>
    <w:pPr>
      <w:widowControl w:val="0"/>
      <w:jc w:val="both"/>
    </w:pPr>
    <w:rPr>
      <w:rFonts w:ascii="方正黑体_GBK" w:eastAsia="方正黑体_GBK" w:hAnsi="方正黑体_GBK" w:cs="Times New Roman"/>
      <w:szCs w:val="21"/>
    </w:rPr>
  </w:style>
  <w:style w:type="paragraph" w:customStyle="1" w:styleId="heading11cf44cac">
    <w:name w:val="heading 11cf44cac"/>
    <w:basedOn w:val="Normal504f6220"/>
    <w:next w:val="a"/>
    <w:pPr>
      <w:keepNext/>
      <w:keepLines/>
      <w:spacing w:before="340" w:after="330" w:line="578" w:lineRule="auto"/>
      <w:outlineLvl w:val="0"/>
    </w:pPr>
    <w:rPr>
      <w:b/>
      <w:bCs/>
      <w:kern w:val="44"/>
      <w:sz w:val="44"/>
    </w:rPr>
  </w:style>
  <w:style w:type="paragraph" w:customStyle="1" w:styleId="heading22f1cd3a1">
    <w:name w:val="heading 22f1cd3a1"/>
    <w:basedOn w:val="Normal504f6220"/>
    <w:next w:val="a"/>
    <w:pPr>
      <w:keepNext/>
      <w:keepLines/>
      <w:spacing w:before="260" w:after="260" w:line="415" w:lineRule="auto"/>
      <w:outlineLvl w:val="1"/>
    </w:pPr>
    <w:rPr>
      <w:b/>
      <w:sz w:val="32"/>
    </w:rPr>
  </w:style>
  <w:style w:type="paragraph" w:customStyle="1" w:styleId="heading371a1fd5a">
    <w:name w:val="heading 371a1fd5a"/>
    <w:basedOn w:val="Normal504f6220"/>
    <w:next w:val="a"/>
    <w:pPr>
      <w:keepNext/>
      <w:keepLines/>
      <w:spacing w:before="260" w:after="260" w:line="415" w:lineRule="auto"/>
      <w:outlineLvl w:val="2"/>
    </w:pPr>
    <w:rPr>
      <w:b/>
      <w:sz w:val="32"/>
    </w:rPr>
  </w:style>
  <w:style w:type="character" w:customStyle="1" w:styleId="DefaultParagraphFont54eb023e">
    <w:name w:val="Default Paragraph Font54eb023e"/>
  </w:style>
  <w:style w:type="paragraph" w:customStyle="1" w:styleId="toc13ba4e948">
    <w:name w:val="toc 13ba4e948"/>
    <w:basedOn w:val="Normal504f6220"/>
    <w:next w:val="a"/>
    <w:autoRedefine/>
  </w:style>
  <w:style w:type="paragraph" w:customStyle="1" w:styleId="toc21693fc43">
    <w:name w:val="toc 21693fc43"/>
    <w:basedOn w:val="Normal504f6220"/>
    <w:next w:val="a"/>
    <w:autoRedefine/>
    <w:pPr>
      <w:ind w:left="420"/>
    </w:pPr>
  </w:style>
  <w:style w:type="paragraph" w:customStyle="1" w:styleId="toc32873e864">
    <w:name w:val="toc 32873e864"/>
    <w:basedOn w:val="Normal504f6220"/>
    <w:next w:val="a"/>
    <w:autoRedefine/>
    <w:pPr>
      <w:ind w:left="840"/>
    </w:pPr>
  </w:style>
  <w:style w:type="paragraph" w:customStyle="1" w:styleId="toc49a1af496">
    <w:name w:val="toc 49a1af496"/>
    <w:basedOn w:val="Normal504f6220"/>
    <w:next w:val="a"/>
    <w:autoRedefine/>
    <w:pPr>
      <w:ind w:left="1260"/>
    </w:pPr>
  </w:style>
  <w:style w:type="paragraph" w:customStyle="1" w:styleId="toc551789c45">
    <w:name w:val="toc 551789c45"/>
    <w:basedOn w:val="Normal504f6220"/>
    <w:next w:val="a"/>
    <w:autoRedefine/>
    <w:pPr>
      <w:ind w:left="1680"/>
    </w:pPr>
  </w:style>
  <w:style w:type="paragraph" w:customStyle="1" w:styleId="header7c2d6366">
    <w:name w:val="header7c2d6366"/>
    <w:basedOn w:val="Normal504f6220"/>
    <w:pPr>
      <w:pBdr>
        <w:bottom w:val="single" w:sz="6" w:space="1" w:color="auto"/>
      </w:pBdr>
      <w:tabs>
        <w:tab w:val="center" w:pos="4153"/>
        <w:tab w:val="right" w:pos="8307"/>
      </w:tabs>
      <w:snapToGrid w:val="0"/>
      <w:jc w:val="center"/>
    </w:pPr>
    <w:rPr>
      <w:sz w:val="18"/>
    </w:rPr>
  </w:style>
  <w:style w:type="paragraph" w:customStyle="1" w:styleId="footer1679b255">
    <w:name w:val="footer1679b255"/>
    <w:basedOn w:val="Normal504f6220"/>
    <w:pPr>
      <w:tabs>
        <w:tab w:val="center" w:pos="4153"/>
        <w:tab w:val="right" w:pos="8307"/>
      </w:tabs>
      <w:snapToGrid w:val="0"/>
      <w:jc w:val="left"/>
    </w:pPr>
    <w:rPr>
      <w:sz w:val="18"/>
    </w:rPr>
  </w:style>
  <w:style w:type="character" w:customStyle="1" w:styleId="Strong494223cf">
    <w:name w:val="Strong494223cf"/>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7d65f844">
    <w:name w:val="Normal7d65f844"/>
    <w:next w:val="TOC1"/>
    <w:pPr>
      <w:widowControl w:val="0"/>
      <w:jc w:val="both"/>
    </w:pPr>
    <w:rPr>
      <w:rFonts w:ascii="方正黑体_GBK" w:eastAsia="方正黑体_GBK" w:hAnsi="方正黑体_GBK" w:cs="Times New Roman"/>
      <w:sz w:val="18"/>
      <w:szCs w:val="18"/>
    </w:rPr>
  </w:style>
  <w:style w:type="paragraph" w:customStyle="1" w:styleId="heading12683b8bb">
    <w:name w:val="heading 12683b8bb"/>
    <w:basedOn w:val="Normal7d65f844"/>
    <w:next w:val="a"/>
    <w:pPr>
      <w:keepNext/>
      <w:keepLines/>
      <w:spacing w:before="340" w:after="330" w:line="578" w:lineRule="auto"/>
      <w:outlineLvl w:val="0"/>
    </w:pPr>
    <w:rPr>
      <w:b/>
      <w:bCs/>
      <w:kern w:val="44"/>
      <w:sz w:val="44"/>
    </w:rPr>
  </w:style>
  <w:style w:type="paragraph" w:customStyle="1" w:styleId="heading2b6aae5b6">
    <w:name w:val="heading 2b6aae5b6"/>
    <w:basedOn w:val="Normal7d65f844"/>
    <w:next w:val="a"/>
    <w:pPr>
      <w:keepNext/>
      <w:keepLines/>
      <w:spacing w:before="260" w:after="260" w:line="415" w:lineRule="auto"/>
      <w:outlineLvl w:val="1"/>
    </w:pPr>
    <w:rPr>
      <w:b/>
      <w:sz w:val="32"/>
    </w:rPr>
  </w:style>
  <w:style w:type="paragraph" w:customStyle="1" w:styleId="heading3eaaf7955">
    <w:name w:val="heading 3eaaf7955"/>
    <w:basedOn w:val="Normal7d65f844"/>
    <w:next w:val="a"/>
    <w:pPr>
      <w:keepNext/>
      <w:keepLines/>
      <w:spacing w:before="260" w:after="260" w:line="415" w:lineRule="auto"/>
      <w:outlineLvl w:val="2"/>
    </w:pPr>
    <w:rPr>
      <w:b/>
      <w:sz w:val="32"/>
    </w:rPr>
  </w:style>
  <w:style w:type="character" w:customStyle="1" w:styleId="DefaultParagraphFont9d58b045">
    <w:name w:val="Default Paragraph Font9d58b045"/>
  </w:style>
  <w:style w:type="paragraph" w:customStyle="1" w:styleId="NormalIndent163c6cdb">
    <w:name w:val="Normal Indent163c6cdb"/>
    <w:basedOn w:val="Normal7d65f844"/>
    <w:pPr>
      <w:ind w:firstLineChars="200" w:firstLine="200"/>
    </w:pPr>
  </w:style>
  <w:style w:type="paragraph" w:customStyle="1" w:styleId="toc59a9809f5">
    <w:name w:val="toc 59a9809f5"/>
    <w:basedOn w:val="Normal7d65f844"/>
    <w:next w:val="a"/>
    <w:pPr>
      <w:ind w:left="1680"/>
    </w:pPr>
  </w:style>
  <w:style w:type="paragraph" w:customStyle="1" w:styleId="toc3e053f1ad">
    <w:name w:val="toc 3e053f1ad"/>
    <w:basedOn w:val="Normal7d65f844"/>
    <w:next w:val="a"/>
    <w:pPr>
      <w:ind w:left="840"/>
    </w:pPr>
  </w:style>
  <w:style w:type="paragraph" w:customStyle="1" w:styleId="footera50ea155">
    <w:name w:val="footera50ea155"/>
    <w:basedOn w:val="Normal7d65f844"/>
    <w:pPr>
      <w:tabs>
        <w:tab w:val="center" w:pos="4153"/>
        <w:tab w:val="right" w:pos="8307"/>
      </w:tabs>
      <w:snapToGrid w:val="0"/>
      <w:jc w:val="left"/>
    </w:pPr>
  </w:style>
  <w:style w:type="paragraph" w:customStyle="1" w:styleId="header1610b387">
    <w:name w:val="header1610b387"/>
    <w:basedOn w:val="Normal7d65f844"/>
    <w:pPr>
      <w:pBdr>
        <w:bottom w:val="single" w:sz="6" w:space="1" w:color="auto"/>
      </w:pBdr>
      <w:tabs>
        <w:tab w:val="center" w:pos="4153"/>
        <w:tab w:val="right" w:pos="8307"/>
      </w:tabs>
      <w:snapToGrid w:val="0"/>
      <w:jc w:val="center"/>
    </w:pPr>
  </w:style>
  <w:style w:type="paragraph" w:customStyle="1" w:styleId="toc1e2081e79">
    <w:name w:val="toc 1e2081e79"/>
    <w:basedOn w:val="Normal7d65f844"/>
    <w:next w:val="a"/>
  </w:style>
  <w:style w:type="paragraph" w:customStyle="1" w:styleId="toc419967ddc">
    <w:name w:val="toc 419967ddc"/>
    <w:basedOn w:val="Normal7d65f844"/>
    <w:next w:val="a"/>
    <w:pPr>
      <w:ind w:left="1260"/>
    </w:pPr>
  </w:style>
  <w:style w:type="paragraph" w:customStyle="1" w:styleId="toc274312ca2">
    <w:name w:val="toc 274312ca2"/>
    <w:basedOn w:val="Normal7d65f844"/>
    <w:next w:val="a"/>
    <w:pPr>
      <w:ind w:left="420"/>
    </w:pPr>
  </w:style>
  <w:style w:type="paragraph" w:customStyle="1" w:styleId="NormalWeb4a8b9f3f">
    <w:name w:val="Normal (Web)4a8b9f3f"/>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13c95db613c95db6">
    <w:name w:val="Normal13c95db613c95db6"/>
    <w:next w:val="TOC1"/>
    <w:pPr>
      <w:widowControl w:val="0"/>
      <w:jc w:val="both"/>
    </w:pPr>
    <w:rPr>
      <w:rFonts w:ascii="方正黑体_GBK" w:eastAsia="方正黑体_GBK" w:hAnsi="方正黑体_GBK" w:cs="Times New Roman"/>
      <w:szCs w:val="21"/>
    </w:rPr>
  </w:style>
  <w:style w:type="paragraph" w:customStyle="1" w:styleId="heading1e0b758f8e0b758f8">
    <w:name w:val="heading 1e0b758f8e0b758f8"/>
    <w:basedOn w:val="Normal13c95db613c95db6"/>
    <w:next w:val="a"/>
    <w:pPr>
      <w:keepNext/>
      <w:keepLines/>
      <w:spacing w:before="340" w:after="330" w:line="578" w:lineRule="auto"/>
      <w:outlineLvl w:val="0"/>
    </w:pPr>
    <w:rPr>
      <w:b/>
      <w:bCs/>
      <w:kern w:val="44"/>
      <w:sz w:val="44"/>
    </w:rPr>
  </w:style>
  <w:style w:type="paragraph" w:customStyle="1" w:styleId="heading265c930c865c930c8">
    <w:name w:val="heading 265c930c865c930c8"/>
    <w:basedOn w:val="Normal13c95db613c95db6"/>
    <w:next w:val="a"/>
    <w:pPr>
      <w:keepNext/>
      <w:keepLines/>
      <w:spacing w:before="260" w:after="260" w:line="415" w:lineRule="auto"/>
      <w:outlineLvl w:val="1"/>
    </w:pPr>
    <w:rPr>
      <w:b/>
      <w:sz w:val="32"/>
    </w:rPr>
  </w:style>
  <w:style w:type="paragraph" w:customStyle="1" w:styleId="heading3af1dd606af1dd606">
    <w:name w:val="heading 3af1dd606af1dd606"/>
    <w:basedOn w:val="Normal13c95db613c95db6"/>
    <w:next w:val="a"/>
    <w:pPr>
      <w:keepNext/>
      <w:keepLines/>
      <w:spacing w:before="260" w:after="260" w:line="415" w:lineRule="auto"/>
      <w:outlineLvl w:val="2"/>
    </w:pPr>
    <w:rPr>
      <w:b/>
      <w:sz w:val="32"/>
    </w:rPr>
  </w:style>
  <w:style w:type="character" w:customStyle="1" w:styleId="DefaultParagraphFontd242f4b7d242f4b7">
    <w:name w:val="Default Paragraph Fontd242f4b7d242f4b7"/>
  </w:style>
  <w:style w:type="paragraph" w:customStyle="1" w:styleId="19784b9a19784b9a1">
    <w:name w:val="引文目录19784b9a19784b9a1"/>
    <w:basedOn w:val="Normal13c95db613c95db6"/>
    <w:next w:val="a"/>
    <w:pPr>
      <w:ind w:leftChars="200" w:left="200"/>
    </w:pPr>
  </w:style>
  <w:style w:type="paragraph" w:customStyle="1" w:styleId="toc55df98e9b5df98e9b">
    <w:name w:val="toc 55df98e9b5df98e9b"/>
    <w:basedOn w:val="Normal13c95db613c95db6"/>
    <w:next w:val="a"/>
    <w:pPr>
      <w:ind w:left="1680"/>
    </w:pPr>
  </w:style>
  <w:style w:type="paragraph" w:customStyle="1" w:styleId="toc3991f7dd1991f7dd1">
    <w:name w:val="toc 3991f7dd1991f7dd1"/>
    <w:basedOn w:val="Normal13c95db613c95db6"/>
    <w:next w:val="a"/>
    <w:pPr>
      <w:ind w:left="840"/>
    </w:pPr>
  </w:style>
  <w:style w:type="paragraph" w:customStyle="1" w:styleId="footer89bfcdd089bfcdd0">
    <w:name w:val="footer89bfcdd089bfcdd0"/>
    <w:basedOn w:val="Normal13c95db613c95db6"/>
    <w:pPr>
      <w:tabs>
        <w:tab w:val="center" w:pos="4153"/>
        <w:tab w:val="right" w:pos="8307"/>
      </w:tabs>
      <w:snapToGrid w:val="0"/>
      <w:jc w:val="left"/>
    </w:pPr>
    <w:rPr>
      <w:sz w:val="18"/>
    </w:rPr>
  </w:style>
  <w:style w:type="paragraph" w:customStyle="1" w:styleId="header2522ed502522ed50">
    <w:name w:val="header2522ed502522ed50"/>
    <w:basedOn w:val="Normal13c95db613c95db6"/>
    <w:pPr>
      <w:pBdr>
        <w:bottom w:val="single" w:sz="6" w:space="1" w:color="auto"/>
      </w:pBdr>
      <w:tabs>
        <w:tab w:val="center" w:pos="4153"/>
        <w:tab w:val="right" w:pos="8307"/>
      </w:tabs>
      <w:snapToGrid w:val="0"/>
      <w:jc w:val="center"/>
    </w:pPr>
    <w:rPr>
      <w:sz w:val="18"/>
    </w:rPr>
  </w:style>
  <w:style w:type="paragraph" w:customStyle="1" w:styleId="toc1a37bf269a37bf269">
    <w:name w:val="toc 1a37bf269a37bf269"/>
    <w:basedOn w:val="Normal13c95db613c95db6"/>
    <w:next w:val="a"/>
  </w:style>
  <w:style w:type="paragraph" w:customStyle="1" w:styleId="toc4728fd980728fd980">
    <w:name w:val="toc 4728fd980728fd980"/>
    <w:basedOn w:val="Normal13c95db613c95db6"/>
    <w:next w:val="a"/>
    <w:pPr>
      <w:ind w:left="1260"/>
    </w:pPr>
  </w:style>
  <w:style w:type="paragraph" w:customStyle="1" w:styleId="toc2ab5ce310ab5ce310">
    <w:name w:val="toc 2ab5ce310ab5ce310"/>
    <w:basedOn w:val="Normal13c95db613c95db6"/>
    <w:next w:val="a"/>
    <w:pPr>
      <w:ind w:left="420"/>
    </w:pPr>
  </w:style>
  <w:style w:type="paragraph" w:customStyle="1" w:styleId="1df5ad264df5ad264">
    <w:name w:val="列出段落1df5ad264df5ad264"/>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7004</Words>
  <Characters>7019</Characters>
  <Application>Microsoft Office Word</Application>
  <DocSecurity>0</DocSecurity>
  <Lines>161</Lines>
  <Paragraphs>63</Paragraphs>
  <ScaleCrop>false</ScaleCrop>
  <Company/>
  <LinksUpToDate>false</LinksUpToDate>
  <CharactersWithSpaces>7092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cp:lastModifiedBy>
  <cp:revision>2</cp:revision>
  <dcterms:created xsi:type="dcterms:W3CDTF">2026-07-10T07:04:00Z</dcterms:created>
  <dcterms:modified xsi:type="dcterms:W3CDTF">2026-07-10T07:04:00Z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