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04f62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04f622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d65f84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d65f84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a8b9f3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南银理财鼎瑞安稳一年定开2025第13期公募人民币理财产品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ZZ700322500292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Z7003225000196(投资者可依据该编码在中国理财网www.chinawealth.com.cn查询理财产品相关信息）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A份额：Z30023</w:t>
            </w:r>
          </w:p>
          <w:p>
            <w:pPr>
              <w:pStyle w:val="null10"/>
              <w:spacing w:lineRule="exact" w:line="200"/>
            </w:pPr>
            <w:r>
              <w:rPr>
                <w:rFonts w:ascii="方正黑体_GBK" w:hAnsi="方正黑体_GBK" w:cs="宋体" w:eastAsia="方正黑体_GBK"/>
                <w:sz w:val="18"/>
                <w:szCs w:val="18"/>
              </w:rPr>
              <w:t>C份额：NYAW001223</w:t>
            </w:r>
          </w:p>
          <w:p>
            <w:pPr>
              <w:pStyle w:val="null10"/>
              <w:spacing w:lineRule="exact" w:line="200"/>
            </w:pPr>
            <w:r>
              <w:rPr>
                <w:rFonts w:ascii="方正黑体_GBK" w:hAnsi="方正黑体_GBK" w:cs="宋体" w:eastAsia="方正黑体_GBK"/>
                <w:sz w:val="18"/>
                <w:szCs w:val="18"/>
              </w:rPr>
              <w:t>D份额：NYAW001224</w:t>
            </w:r>
          </w:p>
          <w:p>
            <w:pPr>
              <w:pStyle w:val="null10"/>
              <w:spacing w:lineRule="exact" w:line="200"/>
            </w:pPr>
            <w:r>
              <w:rPr>
                <w:rFonts w:ascii="方正黑体_GBK" w:hAnsi="方正黑体_GBK" w:cs="宋体" w:eastAsia="方正黑体_GBK"/>
                <w:sz w:val="18"/>
                <w:szCs w:val="18"/>
              </w:rPr>
              <w:t>E份额：NYAW001225</w:t>
            </w:r>
          </w:p>
          <w:p>
            <w:pPr>
              <w:pStyle w:val="null10"/>
              <w:spacing w:lineRule="exact" w:line="200"/>
            </w:pPr>
            <w:r>
              <w:rPr>
                <w:rFonts w:ascii="方正黑体_GBK" w:hAnsi="方正黑体_GBK" w:cs="宋体" w:eastAsia="方正黑体_GBK"/>
                <w:sz w:val="18"/>
                <w:szCs w:val="18"/>
              </w:rPr>
              <w:t>F份额：NYAW001226</w:t>
            </w:r>
          </w:p>
          <w:p>
            <w:pPr>
              <w:pStyle w:val="null10"/>
              <w:spacing w:lineRule="exact" w:line="200"/>
            </w:pPr>
            <w:r>
              <w:rPr>
                <w:rFonts w:ascii="方正黑体_GBK" w:hAnsi="方正黑体_GBK" w:cs="宋体" w:eastAsia="方正黑体_GBK"/>
                <w:sz w:val="18"/>
                <w:szCs w:val="18"/>
              </w:rPr>
              <w:t>G份额：NYAW001227</w:t>
            </w:r>
          </w:p>
          <w:p>
            <w:pPr>
              <w:pStyle w:val="null10"/>
              <w:spacing w:lineRule="exact" w:line="200"/>
            </w:pPr>
            <w:r>
              <w:rPr>
                <w:rFonts w:ascii="方正黑体_GBK" w:hAnsi="方正黑体_GBK" w:cs="宋体" w:eastAsia="方正黑体_GBK"/>
                <w:sz w:val="18"/>
                <w:szCs w:val="18"/>
              </w:rPr>
              <w:t>I份额：NYAW001228</w:t>
            </w:r>
          </w:p>
          <w:p>
            <w:pPr>
              <w:pStyle w:val="null10"/>
              <w:spacing w:lineRule="exact" w:line="200"/>
            </w:pPr>
            <w:r>
              <w:rPr>
                <w:rFonts w:ascii="方正黑体_GBK" w:hAnsi="方正黑体_GBK" w:cs="宋体" w:eastAsia="方正黑体_GBK"/>
                <w:sz w:val="18"/>
                <w:szCs w:val="18"/>
              </w:rPr>
              <w:t>M份额：NYAW001233</w:t>
            </w:r>
          </w:p>
          <w:p>
            <w:pPr>
              <w:pStyle w:val="null10"/>
              <w:spacing w:lineRule="exact" w:line="200"/>
            </w:pPr>
            <w:r>
              <w:rPr>
                <w:rFonts w:ascii="方正黑体_GBK" w:hAnsi="方正黑体_GBK" w:cs="宋体" w:eastAsia="方正黑体_GBK"/>
                <w:sz w:val="18"/>
                <w:szCs w:val="18"/>
              </w:rPr>
              <w:t>Q份额：NYAW001234</w:t>
            </w:r>
          </w:p>
          <w:p>
            <w:pPr>
              <w:pStyle w:val="null10"/>
              <w:spacing w:lineRule="exact" w:line="200"/>
            </w:pPr>
            <w:r>
              <w:rPr>
                <w:rFonts w:ascii="方正黑体_GBK" w:hAnsi="方正黑体_GBK" w:cs="宋体" w:eastAsia="方正黑体_GBK"/>
                <w:sz w:val="18"/>
                <w:szCs w:val="18"/>
              </w:rPr>
              <w:t>R份额：NYAW001235</w:t>
            </w:r>
          </w:p>
          <w:p>
            <w:pPr>
              <w:pStyle w:val="null10"/>
              <w:spacing w:lineRule="exact" w:line="200"/>
            </w:pPr>
            <w:r>
              <w:rPr>
                <w:rFonts w:ascii="方正黑体_GBK" w:hAnsi="方正黑体_GBK" w:cs="宋体" w:eastAsia="方正黑体_GBK"/>
                <w:sz w:val="18"/>
                <w:szCs w:val="18"/>
              </w:rPr>
              <w:t>B1份额：NYAW001222</w:t>
            </w:r>
          </w:p>
          <w:p>
            <w:pPr>
              <w:pStyle w:val="null10"/>
              <w:spacing w:lineRule="exact" w:line="200"/>
            </w:pPr>
            <w:r>
              <w:rPr>
                <w:rFonts w:ascii="方正黑体_GBK" w:hAnsi="方正黑体_GBK" w:cs="宋体" w:eastAsia="方正黑体_GBK"/>
                <w:sz w:val="18"/>
                <w:szCs w:val="18"/>
              </w:rPr>
              <w:t>S份额：NYAW001229</w:t>
            </w:r>
          </w:p>
          <w:p>
            <w:pPr>
              <w:pStyle w:val="null10"/>
              <w:spacing w:lineRule="exact" w:line="200"/>
            </w:pPr>
            <w:r>
              <w:rPr>
                <w:rFonts w:ascii="方正黑体_GBK" w:hAnsi="方正黑体_GBK" w:cs="宋体" w:eastAsia="方正黑体_GBK"/>
                <w:sz w:val="18"/>
                <w:szCs w:val="18"/>
              </w:rPr>
              <w:t>T份额：NYAW001230</w:t>
            </w:r>
          </w:p>
          <w:p>
            <w:pPr>
              <w:pStyle w:val="null10"/>
              <w:spacing w:lineRule="exact" w:line="200"/>
            </w:pPr>
            <w:r>
              <w:rPr>
                <w:rFonts w:ascii="方正黑体_GBK" w:hAnsi="方正黑体_GBK" w:cs="宋体" w:eastAsia="方正黑体_GBK"/>
                <w:sz w:val="18"/>
                <w:szCs w:val="18"/>
              </w:rPr>
              <w:t>V份额：NYAW001231</w:t>
            </w:r>
          </w:p>
          <w:p>
            <w:pPr>
              <w:pStyle w:val="null10"/>
              <w:spacing w:lineRule="exact" w:line="200"/>
            </w:pPr>
            <w:r>
              <w:rPr>
                <w:rFonts w:ascii="方正黑体_GBK" w:hAnsi="方正黑体_GBK" w:cs="宋体" w:eastAsia="方正黑体_GBK"/>
                <w:sz w:val="18"/>
                <w:szCs w:val="18"/>
              </w:rPr>
              <w:t>W份额：NYAW001232</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textAlignment w:val="center"/>
              <w:rPr>
                <w:rFonts w:ascii="方正黑体_GBK" w:hint="eastAsia"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常州分行新客或新资金5万或代发客户、私行客户、钻石客户、新晋私行客户、新晋钻石户及南京银行认定的其他符合标准的客户外的其他客户）、江苏江阴农村商业银行股份有限公司。</w:t>
            </w:r>
          </w:p>
          <w:p>
            <w:pPr>
              <w:pStyle w:val="null10"/>
              <w:spacing w:lineRule="exact" w:line="200"/>
            </w:pPr>
            <w:r>
              <w:rPr>
                <w:rFonts w:ascii="方正黑体_GBK" w:hAnsi="方正黑体_GBK" w:cs="宋体" w:eastAsia="方正黑体_GBK"/>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pStyle w:val="null10"/>
              <w:spacing w:lineRule="exact" w:line="200"/>
            </w:pPr>
            <w:r>
              <w:rPr>
                <w:rFonts w:ascii="方正黑体_GBK" w:hAnsi="方正黑体_GBK" w:cs="宋体" w:eastAsia="方正黑体_GBK"/>
                <w:sz w:val="18"/>
                <w:szCs w:val="18"/>
              </w:rPr>
              <w:t>D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pStyle w:val="null10"/>
              <w:spacing w:lineRule="exact" w:line="200"/>
            </w:pPr>
            <w:r>
              <w:rPr>
                <w:rFonts w:ascii="方正黑体_GBK" w:hAnsi="方正黑体_GBK" w:cs="宋体" w:eastAsia="方正黑体_GBK"/>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w:t>
            </w:r>
          </w:p>
          <w:p>
            <w:pPr>
              <w:pStyle w:val="null10"/>
              <w:spacing w:lineRule="exact" w:line="200"/>
            </w:pPr>
            <w:r>
              <w:rPr>
                <w:rFonts w:ascii="方正黑体_GBK" w:hAnsi="方正黑体_GBK" w:cs="宋体" w:eastAsia="方正黑体_GBK"/>
                <w:sz w:val="18"/>
                <w:szCs w:val="18"/>
              </w:rPr>
              <w:t>I份额：南京银行股份有限公司常州分行(新客或新资金5万或代发客户)。</w:t>
            </w:r>
          </w:p>
          <w:p>
            <w:pPr>
              <w:pStyle w:val="null10"/>
              <w:spacing w:lineRule="exact" w:line="200"/>
            </w:pPr>
            <w:r>
              <w:rPr>
                <w:rFonts w:ascii="方正黑体_GBK" w:hAnsi="方正黑体_GBK" w:cs="宋体" w:eastAsia="方正黑体_GBK"/>
                <w:sz w:val="18"/>
                <w:szCs w:val="18"/>
              </w:rPr>
              <w:t>M份额：浙江民泰商业银行股份有限公司、嘉兴银行股份有限公司、苏州银行股份有限公司、福建海峡银行股份有限公司、宁波通商银行股份有限公司。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Q份额：台州银行股份有限公司（除白名单客户外的其他客户）。</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szCs w:val="18"/>
              </w:rPr>
              <w:t>B1份额：江苏常熟农村商业银行股份有限公司、江苏苏州农村商业银行股份有限公司、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S份额：成都农村商业银行股份有限公司。</w:t>
            </w:r>
          </w:p>
          <w:p>
            <w:pPr>
              <w:pStyle w:val="null10"/>
              <w:spacing w:lineRule="exact" w:line="200"/>
            </w:pPr>
            <w:r>
              <w:rPr>
                <w:rFonts w:ascii="方正黑体_GBK" w:hAnsi="方正黑体_GBK" w:cs="宋体" w:eastAsia="方正黑体_GBK"/>
                <w:sz w:val="18"/>
                <w:szCs w:val="18"/>
              </w:rPr>
              <w:t>T份额：河北银行股份有限公司（除分行财富客户外的其他客户）。</w:t>
            </w:r>
          </w:p>
          <w:p>
            <w:pPr>
              <w:pStyle w:val="null10"/>
              <w:spacing w:lineRule="exact" w:line="200"/>
            </w:pPr>
            <w:r>
              <w:rPr>
                <w:rFonts w:ascii="方正黑体_GBK" w:hAnsi="方正黑体_GBK" w:cs="宋体" w:eastAsia="方正黑体_GBK"/>
                <w:sz w:val="18"/>
                <w:szCs w:val="18"/>
              </w:rPr>
              <w:t>V份额：桂林银行股份有限公司（高净值客户）。</w:t>
            </w:r>
          </w:p>
          <w:p>
            <w:pPr>
              <w:pStyle w:val="null10"/>
              <w:spacing w:lineRule="exact" w:line="200"/>
            </w:pPr>
            <w:r>
              <w:rPr>
                <w:rFonts w:ascii="方正黑体_GBK" w:hAnsi="方正黑体_GBK" w:cs="宋体" w:eastAsia="方正黑体_GBK"/>
                <w:sz w:val="18"/>
                <w:szCs w:val="18"/>
              </w:rPr>
              <w:t>W份额：齐鲁银行股份有限公司（财富客户）。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A份额/C份额/D份额/E份额/F份额/G份额/I份额/M份额/Q份额/R份额/B1份额/S份额/T份额/V份额/W份额：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2025年07月03日 09:00—2025年07月09日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10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A份额/F份额/Q份额/R份额:开放期2026年7月16日9：00至2026年7月22日17：00，下一个开放期为2027年8月5日9：00至2027年8月11日17：00,投资者可以提交或撤销认购/申购/赎回申请</w:t>
            </w:r>
            <w:r>
              <w:rPr>
                <w:rFonts w:ascii="方正黑体_GBK" w:hAnsi="方正黑体_GBK" w:eastAsia="方正黑体_GBK"/>
              </w:rPr>
              <w:br/>
            </w:r>
            <w:r>
              <w:rPr>
                <w:rFonts w:ascii="方正黑体_GBK" w:hAnsi="方正黑体_GBK" w:cs="宋体" w:eastAsia="方正黑体_GBK"/>
                <w:sz w:val="18"/>
                <w:szCs w:val="18"/>
              </w:rPr>
              <w:t>B1份额/C份额/D份额/E份额/G份额/I份额/M份额/S份额/T份额/V份额/W份额：本次开放期为2026年7月16日9：00至2026年7月22日17：00，投资者可以提交或撤销认购/申购申请；确认成功的份额均将于下一个开放期（下一个开放期为2027年8月5日9：00至2027年8月11日17：00）由系统自动发起赎回申请。</w:t>
            </w:r>
          </w:p>
          <w:p>
            <w:pPr>
              <w:pStyle w:val="null10"/>
              <w:spacing w:lineRule="exact" w:line="200"/>
              <w:jc w:val="left"/>
            </w:pPr>
            <w:r>
              <w:rPr>
                <w:rFonts w:ascii="方正黑体_GBK" w:hAnsi="方正黑体_GBK" w:cs="宋体" w:eastAsia="方正黑体_GBK"/>
                <w:sz w:val="18"/>
                <w:szCs w:val="18"/>
              </w:rPr>
              <w:t>产品开放期如有调整以管理人公告为准。</w:t>
            </w:r>
          </w:p>
          <w:p>
            <w:pPr>
              <w:pStyle w:val="null10"/>
              <w:spacing w:lineRule="exact" w:line="200"/>
              <w:jc w:val="left"/>
            </w:pPr>
            <w:r>
              <w:rPr>
                <w:rFonts w:ascii="方正黑体_GBK" w:hAnsi="方正黑体_GBK" w:cs="宋体" w:eastAsia="方正黑体_GBK"/>
                <w:sz w:val="18"/>
                <w:szCs w:val="18"/>
              </w:rPr>
              <w:t>在销售机构支持的前提下，认购/申购/赎回开放期末日17:00前可以撤销申购/赎回申请。</w:t>
            </w:r>
          </w:p>
          <w:p>
            <w:pPr>
              <w:pStyle w:val="null10"/>
              <w:spacing w:lineRule="exact" w:line="200"/>
              <w:jc w:val="left"/>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16.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jc w:val="left"/>
            </w:pPr>
            <w:r>
              <w:rPr>
                <w:rFonts w:ascii="方正黑体_GBK" w:hAnsi="方正黑体_GBK" w:cs="宋体" w:eastAsia="方正黑体_GBK"/>
                <w:sz w:val="18"/>
                <w:szCs w:val="18"/>
              </w:rPr>
              <w:t>17.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jc w:val="left"/>
            </w:pPr>
            <w:r>
              <w:rPr>
                <w:rFonts w:ascii="方正黑体_GBK" w:hAnsi="方正黑体_GBK" w:cs="宋体" w:eastAsia="方正黑体_GBK"/>
                <w:sz w:val="18"/>
                <w:szCs w:val="18"/>
              </w:rPr>
              <w:t>18.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jc w:val="left"/>
            </w:pPr>
            <w:r>
              <w:rPr>
                <w:rFonts w:ascii="方正黑体_GBK" w:hAnsi="方正黑体_GBK" w:cs="宋体" w:eastAsia="方正黑体_GBK"/>
                <w:sz w:val="18"/>
                <w:szCs w:val="18"/>
              </w:rPr>
              <w:t>19.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A份额：业绩比较基准为年化2.45%-2.7% 。</w:t>
            </w:r>
          </w:p>
          <w:p>
            <w:pPr>
              <w:pStyle w:val="null10"/>
              <w:spacing w:lineRule="exact" w:line="200"/>
            </w:pPr>
            <w:r>
              <w:rPr>
                <w:rFonts w:ascii="方正黑体_GBK" w:hAnsi="方正黑体_GBK" w:cs="宋体" w:eastAsia="方正黑体_GBK"/>
                <w:sz w:val="18"/>
                <w:szCs w:val="18"/>
              </w:rPr>
              <w:t>C份额：业绩比较基准为年化2.5%-2.75%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E份额：业绩比较基准为年化2.65%-2.9% 。</w:t>
            </w:r>
          </w:p>
          <w:p>
            <w:pPr>
              <w:pStyle w:val="null10"/>
              <w:spacing w:lineRule="exact" w:line="200"/>
            </w:pPr>
            <w:r>
              <w:rPr>
                <w:rFonts w:ascii="方正黑体_GBK" w:hAnsi="方正黑体_GBK" w:cs="宋体" w:eastAsia="方正黑体_GBK"/>
                <w:sz w:val="18"/>
                <w:szCs w:val="18"/>
              </w:rPr>
              <w:t>F份额：业绩比较基准为年化2.55%-2.8% 。</w:t>
            </w:r>
          </w:p>
          <w:p>
            <w:pPr>
              <w:pStyle w:val="null10"/>
              <w:spacing w:lineRule="exact" w:line="200"/>
            </w:pPr>
            <w:r>
              <w:rPr>
                <w:rFonts w:ascii="方正黑体_GBK" w:hAnsi="方正黑体_GBK" w:cs="宋体" w:eastAsia="方正黑体_GBK"/>
                <w:sz w:val="18"/>
                <w:szCs w:val="18"/>
              </w:rPr>
              <w:t>G份额：业绩比较基准为年化2.6%-2.85% 。</w:t>
            </w:r>
          </w:p>
          <w:p>
            <w:pPr>
              <w:pStyle w:val="null10"/>
              <w:spacing w:lineRule="exact" w:line="200"/>
            </w:pPr>
            <w:r>
              <w:rPr>
                <w:rFonts w:ascii="方正黑体_GBK" w:hAnsi="方正黑体_GBK" w:cs="宋体" w:eastAsia="方正黑体_GBK"/>
                <w:sz w:val="18"/>
                <w:szCs w:val="18"/>
              </w:rPr>
              <w:t>I份额：业绩比较基准为年化2.55%-2.8% 。</w:t>
            </w:r>
          </w:p>
          <w:p>
            <w:pPr>
              <w:pStyle w:val="null10"/>
              <w:spacing w:lineRule="exact" w:line="200"/>
            </w:pPr>
            <w:r>
              <w:rPr>
                <w:rFonts w:ascii="方正黑体_GBK" w:hAnsi="方正黑体_GBK" w:cs="宋体" w:eastAsia="方正黑体_GBK"/>
                <w:sz w:val="18"/>
                <w:szCs w:val="18"/>
              </w:rPr>
              <w:t>M份额：业绩比较基准为年化2.45%-2.7% 。</w:t>
            </w:r>
          </w:p>
          <w:p>
            <w:pPr>
              <w:pStyle w:val="null10"/>
              <w:spacing w:lineRule="exact" w:line="200"/>
            </w:pPr>
            <w:r>
              <w:rPr>
                <w:rFonts w:ascii="方正黑体_GBK" w:hAnsi="方正黑体_GBK" w:cs="宋体" w:eastAsia="方正黑体_GBK"/>
                <w:sz w:val="18"/>
                <w:szCs w:val="18"/>
              </w:rPr>
              <w:t>Q份额：业绩比较基准为年化2.45%-2.7% 。</w:t>
            </w:r>
          </w:p>
          <w:p>
            <w:pPr>
              <w:pStyle w:val="null10"/>
              <w:spacing w:lineRule="exact" w:line="200"/>
            </w:pPr>
            <w:r>
              <w:rPr>
                <w:rFonts w:ascii="方正黑体_GBK" w:hAnsi="方正黑体_GBK" w:cs="宋体" w:eastAsia="方正黑体_GBK"/>
                <w:sz w:val="18"/>
                <w:szCs w:val="18"/>
              </w:rPr>
              <w:t>R份额：业绩比较基准为年化2.65%-2.9% 。</w:t>
            </w:r>
          </w:p>
          <w:p>
            <w:pPr>
              <w:pStyle w:val="null10"/>
              <w:spacing w:lineRule="exact" w:line="200"/>
            </w:pPr>
            <w:r>
              <w:rPr>
                <w:rFonts w:ascii="方正黑体_GBK" w:hAnsi="方正黑体_GBK" w:cs="宋体" w:eastAsia="方正黑体_GBK"/>
                <w:sz w:val="18"/>
                <w:szCs w:val="18"/>
              </w:rPr>
              <w:t>B1份额：业绩比较基准为年化2.45%-2.7% 。</w:t>
            </w:r>
          </w:p>
          <w:p>
            <w:pPr>
              <w:pStyle w:val="null10"/>
              <w:spacing w:lineRule="exact" w:line="200"/>
            </w:pPr>
            <w:r>
              <w:rPr>
                <w:rFonts w:ascii="方正黑体_GBK" w:hAnsi="方正黑体_GBK" w:cs="宋体" w:eastAsia="方正黑体_GBK"/>
                <w:sz w:val="18"/>
                <w:szCs w:val="18"/>
              </w:rPr>
              <w:t>S份额：业绩比较基准为年化2.6%-2.85% 。</w:t>
            </w:r>
          </w:p>
          <w:p>
            <w:pPr>
              <w:pStyle w:val="null10"/>
              <w:spacing w:lineRule="exact" w:line="200"/>
            </w:pPr>
            <w:r>
              <w:rPr>
                <w:rFonts w:ascii="方正黑体_GBK" w:hAnsi="方正黑体_GBK" w:cs="宋体" w:eastAsia="方正黑体_GBK"/>
                <w:sz w:val="18"/>
                <w:szCs w:val="18"/>
              </w:rPr>
              <w:t>T份额：业绩比较基准为年化2.6%-2.85% 。</w:t>
            </w:r>
          </w:p>
          <w:p>
            <w:pPr>
              <w:pStyle w:val="null10"/>
              <w:spacing w:lineRule="exact" w:line="200"/>
            </w:pPr>
            <w:r>
              <w:rPr>
                <w:rFonts w:ascii="方正黑体_GBK" w:hAnsi="方正黑体_GBK" w:cs="宋体" w:eastAsia="方正黑体_GBK"/>
                <w:sz w:val="18"/>
                <w:szCs w:val="18"/>
              </w:rPr>
              <w:t>V份额：业绩比较基准为年化2.7%-2.95% 。</w:t>
            </w:r>
          </w:p>
          <w:p>
            <w:pPr>
              <w:pStyle w:val="null10"/>
              <w:spacing w:lineRule="exact" w:line="200"/>
            </w:pPr>
            <w:r>
              <w:rPr>
                <w:rFonts w:ascii="方正黑体_GBK" w:hAnsi="方正黑体_GBK" w:cs="宋体" w:eastAsia="方正黑体_GBK"/>
                <w:sz w:val="18"/>
                <w:szCs w:val="18"/>
              </w:rPr>
              <w:t>W份额：业绩比较基准为年化2.55%-2.8%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I份额：销售费年化0.15%</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B1份额：销售费年化0.2%</w:t>
            </w:r>
          </w:p>
          <w:p>
            <w:pPr>
              <w:pStyle w:val="null10"/>
              <w:spacing w:lineRule="exact" w:line="200"/>
            </w:pPr>
            <w:r>
              <w:rPr>
                <w:rFonts w:ascii="方正黑体_GBK" w:hAnsi="方正黑体_GBK" w:cs="宋体" w:eastAsia="方正黑体_GBK"/>
                <w:sz w:val="18"/>
                <w:b/>
                <w:szCs w:val="18"/>
              </w:rPr>
              <w:t>S份额：销售费年化0.1%</w:t>
            </w:r>
          </w:p>
          <w:p>
            <w:pPr>
              <w:pStyle w:val="null10"/>
              <w:spacing w:lineRule="exact" w:line="200"/>
            </w:pPr>
            <w:r>
              <w:rPr>
                <w:rFonts w:ascii="方正黑体_GBK" w:hAnsi="方正黑体_GBK" w:cs="宋体" w:eastAsia="方正黑体_GBK"/>
                <w:sz w:val="18"/>
                <w:b/>
                <w:szCs w:val="18"/>
              </w:rPr>
              <w:t>T份额：销售费年化0.1%</w:t>
            </w:r>
          </w:p>
          <w:p>
            <w:pPr>
              <w:pStyle w:val="null10"/>
              <w:spacing w:lineRule="exact" w:line="200"/>
            </w:pPr>
            <w:r>
              <w:rPr>
                <w:rFonts w:ascii="方正黑体_GBK" w:hAnsi="方正黑体_GBK" w:cs="宋体" w:eastAsia="方正黑体_GBK"/>
                <w:sz w:val="18"/>
                <w:b/>
                <w:szCs w:val="18"/>
              </w:rPr>
              <w:t>V份额：销售费年化0.05%</w:t>
            </w:r>
          </w:p>
          <w:p>
            <w:pPr>
              <w:pStyle w:val="null10"/>
              <w:spacing w:lineRule="exact" w:line="200"/>
            </w:pPr>
            <w:r>
              <w:rPr>
                <w:rFonts w:ascii="方正黑体_GBK" w:hAnsi="方正黑体_GBK" w:cs="宋体" w:eastAsia="方正黑体_GBK"/>
                <w:sz w:val="18"/>
                <w:b/>
                <w:szCs w:val="18"/>
              </w:rPr>
              <w:t>W份额：销售费年化0.15%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I份额：固定管理费年化0.15%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B1份额：固定管理费年化0.2%</w:t>
            </w:r>
          </w:p>
          <w:p>
            <w:pPr>
              <w:pStyle w:val="null10"/>
              <w:spacing w:lineRule="exact" w:line="200"/>
            </w:pPr>
            <w:r>
              <w:rPr>
                <w:rFonts w:ascii="方正黑体_GBK" w:hAnsi="方正黑体_GBK" w:cs="宋体" w:eastAsia="方正黑体_GBK"/>
                <w:sz w:val="18"/>
                <w:b/>
                <w:szCs w:val="18"/>
              </w:rPr>
              <w:t>S份额：固定管理费年化0.15%</w:t>
            </w:r>
          </w:p>
          <w:p>
            <w:pPr>
              <w:pStyle w:val="null10"/>
              <w:spacing w:lineRule="exact" w:line="200"/>
            </w:pPr>
            <w:r>
              <w:rPr>
                <w:rFonts w:ascii="方正黑体_GBK" w:hAnsi="方正黑体_GBK" w:cs="宋体" w:eastAsia="方正黑体_GBK"/>
                <w:sz w:val="18"/>
                <w:b/>
                <w:szCs w:val="18"/>
              </w:rPr>
              <w:t>T份额：固定管理费年化0.15%</w:t>
            </w:r>
          </w:p>
          <w:p>
            <w:pPr>
              <w:pStyle w:val="null10"/>
              <w:spacing w:lineRule="exact" w:line="200"/>
            </w:pPr>
            <w:r>
              <w:rPr>
                <w:rFonts w:ascii="方正黑体_GBK" w:hAnsi="方正黑体_GBK" w:cs="宋体" w:eastAsia="方正黑体_GBK"/>
                <w:sz w:val="18"/>
                <w:b/>
                <w:szCs w:val="18"/>
              </w:rPr>
              <w:t>V份额：固定管理费年化0.1%</w:t>
            </w:r>
          </w:p>
          <w:p>
            <w:pPr>
              <w:pStyle w:val="null10"/>
              <w:spacing w:lineRule="exact" w:line="200"/>
            </w:pPr>
            <w:r>
              <w:rPr>
                <w:rFonts w:ascii="方正黑体_GBK" w:hAnsi="方正黑体_GBK" w:cs="宋体" w:eastAsia="方正黑体_GBK"/>
                <w:sz w:val="18"/>
                <w:b/>
                <w:szCs w:val="18"/>
              </w:rPr>
              <w:t>W份额：固定管理费年化0.15%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A份额，C份额，D份额，E份额，F份额，G份额，I份额，M份额，Q份额，R份额，B1份额，S份额，T份额，V份额，W份额：</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d65f84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3c95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3c95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3c95db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3c95db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3c95db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3c95db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3c95db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3c95db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南银理财鼎瑞安稳一年定开2025第13期公募人民币理财产品</w:t>
      </w:r>
      <w:r>
        <w:rPr>
          <w:rFonts w:ascii="方正黑体_GBK" w:eastAsia="方正黑体_GBK" w:hint="eastAsia" w:hAnsi="方正黑体_GBK"/>
          <w:vanish w:val="0"/>
          <w:color w:val="3D3D3D"/>
          <w:kern w:val="0"/>
          <w:sz w:val="15"/>
          <w:szCs w:val="15"/>
        </w:rPr>
        <w:t>。</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3c95db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3c95db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3c95db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3c95db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f5ad26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3c95db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3c95db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3c95db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f5ad26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d65f844"/>
        <w:keepNext w:val="0"/>
        <w:keepLines w:val="0"/>
        <w:pageBreakBefore w:val="0"/>
        <w:widowControl/>
        <w:suppressLineNumbers w:val="0"/>
        <w:suppressAutoHyphens w:val="0"/>
        <w:spacing w:line="200" w:lineRule="exact"/>
        <w:ind w:firstLineChars="200" w:firstLine="300"/>
        <w:rPr>
          <w:rStyle w:val="df5ad26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d65f84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d65f844"/>
        <w:keepNext w:val="0"/>
        <w:keepLines w:val="0"/>
        <w:pageBreakBefore w:val="0"/>
        <w:widowControl/>
        <w:numPr>
          <w:ilvl w:val="0"/>
          <w:numId w:val="3"/>
        </w:numPr>
        <w:suppressLineNumbers w:val="0"/>
        <w:suppressAutoHyphens w:val="0"/>
        <w:spacing w:line="200" w:lineRule="exact"/>
        <w:ind w:left="0" w:firstLineChars="200"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按月</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d65f84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d65f84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d65f8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d65f84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04f6220">
    <w:name w:val="Normal504f622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cf44cac">
    <w:name w:val="heading 11cf44cac"/>
    <w:basedOn w:val="504f62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f1cd3a1">
    <w:name w:val="heading 22f1cd3a1"/>
    <w:basedOn w:val="504f62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1a1fd5a">
    <w:name w:val="heading 371a1fd5a"/>
    <w:basedOn w:val="504f62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4eb023e">
    <w:name w:val="Default Paragraph Font54eb023e"/>
  </w:style>
  <w:style xmlns:r="http://schemas.openxmlformats.org/officeDocument/2006/relationships" w:type="paragraph" w:styleId="3ba4e948">
    <w:name w:val="toc 13ba4e948"/>
    <w:basedOn w:val="504f6220"/>
    <w:autoRedefine/>
    <w:next w:val="0"/>
  </w:style>
  <w:style xmlns:r="http://schemas.openxmlformats.org/officeDocument/2006/relationships" w:type="paragraph" w:styleId="1693fc43">
    <w:name w:val="toc 21693fc43"/>
    <w:basedOn w:val="504f6220"/>
    <w:autoRedefine/>
    <w:next w:val="0"/>
    <w:pPr>
      <w:ind w:left="420"/>
    </w:pPr>
  </w:style>
  <w:style xmlns:r="http://schemas.openxmlformats.org/officeDocument/2006/relationships" w:type="paragraph" w:styleId="2873e864">
    <w:name w:val="toc 32873e864"/>
    <w:basedOn w:val="504f6220"/>
    <w:autoRedefine/>
    <w:next w:val="0"/>
    <w:pPr>
      <w:ind w:left="840"/>
    </w:pPr>
  </w:style>
  <w:style xmlns:r="http://schemas.openxmlformats.org/officeDocument/2006/relationships" w:type="paragraph" w:styleId="9a1af496">
    <w:name w:val="toc 49a1af496"/>
    <w:basedOn w:val="504f6220"/>
    <w:autoRedefine/>
    <w:next w:val="0"/>
    <w:pPr>
      <w:ind w:left="1260"/>
    </w:pPr>
  </w:style>
  <w:style xmlns:r="http://schemas.openxmlformats.org/officeDocument/2006/relationships" w:type="paragraph" w:styleId="51789c45">
    <w:name w:val="toc 551789c45"/>
    <w:basedOn w:val="504f6220"/>
    <w:autoRedefine/>
    <w:next w:val="0"/>
    <w:pPr>
      <w:ind w:left="1680"/>
    </w:pPr>
  </w:style>
  <w:style xmlns:r="http://schemas.openxmlformats.org/officeDocument/2006/relationships" w:type="paragraph" w:styleId="7c2d6366">
    <w:name w:val="header7c2d6366"/>
    <w:basedOn w:val="504f62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79b255">
    <w:name w:val="footer1679b255"/>
    <w:basedOn w:val="504f6220"/>
    <w:pPr>
      <w:tabs>
        <w:tab w:val="center" w:pos="4153"/>
        <w:tab w:val="right" w:pos="8307"/>
      </w:tabs>
      <w:adjustRightInd/>
      <w:snapToGrid w:val="0"/>
      <w:contextualSpacing w:val="0"/>
      <w:jc w:val="left"/>
    </w:pPr>
    <w:rPr>
      <w:sz w:val="18"/>
    </w:rPr>
  </w:style>
  <w:style xmlns:r="http://schemas.openxmlformats.org/officeDocument/2006/relationships" w:type="character" w:styleId="494223cf">
    <w:name w:val="Strong494223c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d65f844">
    <w:name w:val="Normal7d65f84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683b8bb">
    <w:name w:val="heading 12683b8bb"/>
    <w:basedOn w:val="7d65f84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6aae5b6">
    <w:name w:val="heading 2b6aae5b6"/>
    <w:basedOn w:val="7d65f84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aaf7955">
    <w:name w:val="heading 3eaaf7955"/>
    <w:basedOn w:val="7d65f84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d58b045">
    <w:name w:val="Default Paragraph Font9d58b045"/>
  </w:style>
  <w:style xmlns:r="http://schemas.openxmlformats.org/officeDocument/2006/relationships" w:type="paragraph" w:styleId="163c6cdb">
    <w:name w:val="Normal Indent163c6cdb"/>
    <w:basedOn w:val="7d65f844"/>
    <w:pPr>
      <w:ind w:firstLineChars="200" w:firstLine="200"/>
    </w:pPr>
  </w:style>
  <w:style xmlns:r="http://schemas.openxmlformats.org/officeDocument/2006/relationships" w:type="paragraph" w:styleId="9a9809f5">
    <w:name w:val="toc 59a9809f5"/>
    <w:basedOn w:val="7d65f844"/>
    <w:next w:val="0"/>
    <w:pPr>
      <w:ind w:left="1680"/>
    </w:pPr>
  </w:style>
  <w:style xmlns:r="http://schemas.openxmlformats.org/officeDocument/2006/relationships" w:type="paragraph" w:styleId="e053f1ad">
    <w:name w:val="toc 3e053f1ad"/>
    <w:basedOn w:val="7d65f844"/>
    <w:next w:val="0"/>
    <w:pPr>
      <w:ind w:left="840"/>
    </w:pPr>
  </w:style>
  <w:style xmlns:r="http://schemas.openxmlformats.org/officeDocument/2006/relationships" w:type="paragraph" w:styleId="a50ea155">
    <w:name w:val="footera50ea155"/>
    <w:basedOn w:val="7d65f844"/>
    <w:pPr>
      <w:tabs>
        <w:tab w:val="center" w:pos="4153"/>
        <w:tab w:val="right" w:pos="8307"/>
      </w:tabs>
      <w:adjustRightInd/>
      <w:snapToGrid w:val="0"/>
      <w:contextualSpacing w:val="0"/>
      <w:jc w:val="left"/>
    </w:pPr>
    <w:rPr>
      <w:sz w:val="18"/>
    </w:rPr>
  </w:style>
  <w:style xmlns:r="http://schemas.openxmlformats.org/officeDocument/2006/relationships" w:type="paragraph" w:styleId="1610b387">
    <w:name w:val="header1610b387"/>
    <w:basedOn w:val="7d65f84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2081e79">
    <w:name w:val="toc 1e2081e79"/>
    <w:basedOn w:val="7d65f844"/>
    <w:next w:val="0"/>
  </w:style>
  <w:style xmlns:r="http://schemas.openxmlformats.org/officeDocument/2006/relationships" w:type="paragraph" w:styleId="19967ddc">
    <w:name w:val="toc 419967ddc"/>
    <w:basedOn w:val="7d65f844"/>
    <w:next w:val="0"/>
    <w:pPr>
      <w:ind w:left="1260"/>
    </w:pPr>
  </w:style>
  <w:style xmlns:r="http://schemas.openxmlformats.org/officeDocument/2006/relationships" w:type="paragraph" w:styleId="74312ca2">
    <w:name w:val="toc 274312ca2"/>
    <w:basedOn w:val="7d65f844"/>
    <w:next w:val="0"/>
    <w:pPr>
      <w:ind w:left="420"/>
    </w:pPr>
  </w:style>
  <w:style xmlns:r="http://schemas.openxmlformats.org/officeDocument/2006/relationships" w:type="paragraph" w:styleId="4a8b9f3f">
    <w:name w:val="Normal (Web)4a8b9f3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3c95db6">
    <w:name w:val="Normal13c95db613c95db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0b758f8">
    <w:name w:val="heading 1e0b758f8e0b758f8"/>
    <w:basedOn w:val="13c95db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5c930c8">
    <w:name w:val="heading 265c930c865c930c8"/>
    <w:basedOn w:val="13c95db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f1dd606">
    <w:name w:val="heading 3af1dd606af1dd606"/>
    <w:basedOn w:val="13c95db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242f4b7">
    <w:name w:val="Default Paragraph Fontd242f4b7d242f4b7"/>
  </w:style>
  <w:style xmlns:r="http://schemas.openxmlformats.org/officeDocument/2006/relationships" w:type="paragraph" w:customStyle="1" w:styleId="9784b9a1">
    <w:name w:val="引文目录19784b9a19784b9a1"/>
    <w:basedOn w:val="13c95db6"/>
    <w:next w:val="0"/>
    <w:pPr>
      <w:ind w:leftChars="200" w:left="200"/>
    </w:pPr>
  </w:style>
  <w:style xmlns:r="http://schemas.openxmlformats.org/officeDocument/2006/relationships" w:type="paragraph" w:styleId="5df98e9b">
    <w:name w:val="toc 55df98e9b5df98e9b"/>
    <w:basedOn w:val="13c95db6"/>
    <w:next w:val="0"/>
    <w:pPr>
      <w:ind w:left="1680"/>
    </w:pPr>
  </w:style>
  <w:style xmlns:r="http://schemas.openxmlformats.org/officeDocument/2006/relationships" w:type="paragraph" w:styleId="991f7dd1">
    <w:name w:val="toc 3991f7dd1991f7dd1"/>
    <w:basedOn w:val="13c95db6"/>
    <w:next w:val="0"/>
    <w:pPr>
      <w:ind w:left="840"/>
    </w:pPr>
  </w:style>
  <w:style xmlns:r="http://schemas.openxmlformats.org/officeDocument/2006/relationships" w:type="paragraph" w:styleId="89bfcdd0">
    <w:name w:val="footer89bfcdd089bfcdd0"/>
    <w:basedOn w:val="13c95db6"/>
    <w:pPr>
      <w:tabs>
        <w:tab w:val="center" w:pos="4153"/>
        <w:tab w:val="right" w:pos="8307"/>
      </w:tabs>
      <w:adjustRightInd/>
      <w:snapToGrid w:val="0"/>
      <w:contextualSpacing w:val="0"/>
      <w:jc w:val="left"/>
    </w:pPr>
    <w:rPr>
      <w:sz w:val="18"/>
    </w:rPr>
  </w:style>
  <w:style xmlns:r="http://schemas.openxmlformats.org/officeDocument/2006/relationships" w:type="paragraph" w:styleId="2522ed50">
    <w:name w:val="header2522ed502522ed50"/>
    <w:basedOn w:val="13c95db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37bf269">
    <w:name w:val="toc 1a37bf269a37bf269"/>
    <w:basedOn w:val="13c95db6"/>
    <w:next w:val="0"/>
  </w:style>
  <w:style xmlns:r="http://schemas.openxmlformats.org/officeDocument/2006/relationships" w:type="paragraph" w:styleId="728fd980">
    <w:name w:val="toc 4728fd980728fd980"/>
    <w:basedOn w:val="13c95db6"/>
    <w:next w:val="0"/>
    <w:pPr>
      <w:ind w:left="1260"/>
    </w:pPr>
  </w:style>
  <w:style xmlns:r="http://schemas.openxmlformats.org/officeDocument/2006/relationships" w:type="paragraph" w:styleId="ab5ce310">
    <w:name w:val="toc 2ab5ce310ab5ce310"/>
    <w:basedOn w:val="13c95db6"/>
    <w:next w:val="0"/>
    <w:pPr>
      <w:ind w:left="420"/>
    </w:pPr>
  </w:style>
  <w:style xmlns:r="http://schemas.openxmlformats.org/officeDocument/2006/relationships" w:type="paragraph" w:customStyle="1" w:styleId="df5ad264">
    <w:name w:val="列出段落1df5ad264df5ad26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