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6de73d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6de73d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6de73d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6de73d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6de73d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6de73d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6de73d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6de73d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6de73d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6de73d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6de73ded"/>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7ca5061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7ca5061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7e26b47f"/>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南银理财珠联璧合鑫逸稳一年286期封闭式公募人民币理财产品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ZZ700322600229</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Z7003226000211(投资者可依据该编码在中国理财网www.chinawealth.com.cn查询理财产品相关信息）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A份额：NYXY001207</w:t>
            </w:r>
          </w:p>
          <w:p>
            <w:pPr>
              <w:pStyle w:val="null10"/>
              <w:spacing w:lineRule="exact" w:line="200"/>
            </w:pPr>
            <w:r>
              <w:rPr>
                <w:rFonts w:ascii="方正黑体_GBK" w:hAnsi="方正黑体_GBK" w:cs="宋体" w:eastAsia="方正黑体_GBK"/>
                <w:sz w:val="18"/>
                <w:szCs w:val="18"/>
              </w:rPr>
              <w:t>B份额：NYXY001208</w:t>
            </w:r>
          </w:p>
          <w:p>
            <w:pPr>
              <w:pStyle w:val="null10"/>
              <w:spacing w:lineRule="exact" w:line="200"/>
            </w:pPr>
            <w:r>
              <w:rPr>
                <w:rFonts w:ascii="方正黑体_GBK" w:hAnsi="方正黑体_GBK" w:cs="宋体" w:eastAsia="方正黑体_GBK"/>
                <w:sz w:val="18"/>
                <w:szCs w:val="18"/>
              </w:rPr>
              <w:t>C份额：NYXY001209</w:t>
            </w:r>
          </w:p>
          <w:p>
            <w:pPr>
              <w:pStyle w:val="null10"/>
              <w:spacing w:lineRule="exact" w:line="200"/>
            </w:pPr>
            <w:r>
              <w:rPr>
                <w:rFonts w:ascii="方正黑体_GBK" w:hAnsi="方正黑体_GBK" w:cs="宋体" w:eastAsia="方正黑体_GBK"/>
                <w:sz w:val="18"/>
                <w:szCs w:val="18"/>
              </w:rPr>
              <w:t>L份额：NYXY001210</w:t>
            </w:r>
          </w:p>
          <w:p>
            <w:pPr>
              <w:pStyle w:val="null10"/>
              <w:spacing w:lineRule="exact" w:line="200"/>
            </w:pPr>
            <w:r>
              <w:rPr>
                <w:rFonts w:ascii="方正黑体_GBK" w:hAnsi="方正黑体_GBK" w:cs="宋体" w:eastAsia="方正黑体_GBK"/>
                <w:sz w:val="18"/>
                <w:szCs w:val="18"/>
              </w:rPr>
              <w:t>O份额：NYXY001211</w:t>
            </w:r>
          </w:p>
          <w:p>
            <w:pPr>
              <w:pStyle w:val="null10"/>
              <w:spacing w:lineRule="exact" w:line="200"/>
            </w:pPr>
            <w:r>
              <w:rPr>
                <w:rFonts w:ascii="方正黑体_GBK" w:hAnsi="方正黑体_GBK" w:cs="宋体" w:eastAsia="方正黑体_GBK"/>
                <w:sz w:val="18"/>
                <w:szCs w:val="18"/>
              </w:rPr>
              <w:t>A2份额：NYXY001336</w:t>
            </w:r>
          </w:p>
          <w:p>
            <w:pPr>
              <w:pStyle w:val="null10"/>
              <w:spacing w:lineRule="exact" w:line="200"/>
            </w:pPr>
            <w:r>
              <w:rPr>
                <w:rFonts w:ascii="方正黑体_GBK" w:hAnsi="方正黑体_GBK" w:cs="宋体" w:eastAsia="方正黑体_GBK"/>
                <w:sz w:val="18"/>
                <w:szCs w:val="18"/>
              </w:rPr>
              <w:t>E2份额：NYXY001337</w:t>
            </w:r>
          </w:p>
          <w:p>
            <w:pPr>
              <w:pStyle w:val="null10"/>
              <w:spacing w:lineRule="exact" w:line="200"/>
            </w:pPr>
            <w:r>
              <w:rPr>
                <w:rFonts w:ascii="方正黑体_GBK" w:hAnsi="方正黑体_GBK" w:cs="宋体" w:eastAsia="方正黑体_GBK"/>
                <w:sz w:val="18"/>
                <w:szCs w:val="18"/>
              </w:rPr>
              <w:t>F2份额：NYXY001338</w:t>
            </w:r>
          </w:p>
          <w:p>
            <w:pPr>
              <w:pStyle w:val="null10"/>
              <w:spacing w:lineRule="exact" w:line="200"/>
            </w:pPr>
            <w:r>
              <w:rPr>
                <w:rFonts w:ascii="方正黑体_GBK" w:hAnsi="方正黑体_GBK" w:cs="宋体" w:eastAsia="方正黑体_GBK"/>
                <w:sz w:val="18"/>
                <w:szCs w:val="18"/>
              </w:rPr>
              <w:t>Q份额：NYXY001212</w:t>
            </w:r>
          </w:p>
          <w:p>
            <w:pPr>
              <w:pStyle w:val="null10"/>
              <w:spacing w:lineRule="exact" w:line="200"/>
            </w:pPr>
            <w:r>
              <w:rPr>
                <w:rFonts w:ascii="方正黑体_GBK" w:hAnsi="方正黑体_GBK" w:cs="宋体" w:eastAsia="方正黑体_GBK"/>
                <w:sz w:val="18"/>
                <w:szCs w:val="18"/>
              </w:rPr>
              <w:t>Q1份额：NYXY001213</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代发、对公客户以外的其他客户）、北京农村商业银行股份有限公司、青岛银行股份有限公司（除私行客户外的其他客户）、江苏张家港农村商业银行股份有限公司、嘉兴银行股份有限公司（除私行客户外的其他客户）、江苏常熟农村商业银行股份有限公司、金华银行股份有限公司、蒙商银行股份有限公司（除代发工资客户外的其他客户）、长沙银行股份有限公司、广州农村商业银行股份有限公司、苏州银行股份有限公司、福建海峡银行股份有限公司、齐鲁银行股份有限公司（除白金/私行客户、财富客户外的其他客户）、北京银行股份有限公司、天津农村商业银行股份有限公司(除企业拓展客户、个人新客、私行客户和私钻客户外的其他客户)、德州银行股份有限公司、宁夏银行股份有限公司、九江银行股份有限公司、海南银行股份有限公司、廊坊银行股份有限公司、乌鲁木齐银行股份有限公司、上海农村商业银行股份有限公司、湖州银行股份有限公司、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盐城农村商业银行股份有限公司（除代发客户外的其他客户）、江苏建湖农村商业银行股份有限公司、江苏东台农村商业银行股份有限公司、江苏溧水农村商业银行股份有限公司、江苏南通农村商业银行股份有限公司（除代发、机构客户外的其他客户）、江苏扬州农村商业银行股份有限公司、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青岛银行股份有限公司(私行客户)、徽商银行股份有限公司(除代发客户外的其他客户)、齐商银行股份有限公司、嘉兴银行股份有限公司（私行客户）、广州银行股份有限公司、江苏苏州农村商业银行股份有限公司（高客客户）、郑州银行股份有限公司、秦皇岛银行股份有限公司、宁波东海银行股份有限公司、齐鲁银行股份有限公司(白金/私行客户)、天津农村商业银行股份有限公司(企业拓展客户)、云南红塔银行股份有限公司、东营银行股份有限公司、海南农村商业银行股份有限公司、江苏高淳农村商业银行股份有限公司、江苏新沂农村商业银行股份有限公司（1元起购）、江苏南通农村商业银行股份有限公司(代发客户)、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除财富客户外的其他客户）、江苏仪征农村商业银行股份有限公司( 20万元起购)、江苏泰州农村商业银行股份有限公司。</w:t>
            </w:r>
          </w:p>
          <w:p>
            <w:pPr>
              <w:pStyle w:val="null10"/>
              <w:spacing w:lineRule="exact" w:line="200"/>
            </w:pPr>
            <w:r>
              <w:rPr>
                <w:rFonts w:ascii="方正黑体_GBK" w:hAnsi="方正黑体_GBK" w:cs="宋体" w:eastAsia="方正黑体_GBK"/>
                <w:sz w:val="18"/>
                <w:szCs w:val="18"/>
              </w:rPr>
              <w:t>C份额：南京银行股份有限公司(对公客户)、烟台银行股份有限公司、江苏苏州农村商业银行股份有限公司（新客客户）、蒙商银行股份有限公司（代发工资客户）、日照银行股份有限公司（除私行客户外的其他客户）、齐鲁银行股份有限公司(财富客户)、天津农村商业银行股份有限公司(个人新客)、江苏泰兴农村商业银行股份有限公司、江苏响水农村商业银行股份有限公司(50万元起购)、江苏靖江农村商业银行股份有限公司、江苏新沂农村商业银行股份有限公司（30万元起购）、江苏盐城农村商业银行股份有限公司（代发客户）、江苏南通农村商业银行股份有限公司(机构客户)、江苏兴化农村商业银行股份有限公司（除人民医院职工以外的其他客户）、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沛县农村商业银行股份有限公司（财富客户）、枣庄银行股份有限公司。</w:t>
            </w:r>
          </w:p>
          <w:p>
            <w:pPr>
              <w:pStyle w:val="null10"/>
              <w:spacing w:lineRule="exact" w:line="200"/>
            </w:pPr>
            <w:r>
              <w:rPr>
                <w:rFonts w:ascii="方正黑体_GBK" w:hAnsi="方正黑体_GBK" w:cs="宋体" w:eastAsia="方正黑体_GBK"/>
                <w:sz w:val="18"/>
                <w:szCs w:val="18"/>
              </w:rPr>
              <w:t>L份额：日照银行股份有限公司（私行客户）、潍坊银行股份有限公司、泰安银行股份有限公司（除私行客户外的其他客户）、天津农村商业银行股份有限公司(私钻客户)、山西银行股份有限公司、江苏兴化农村商业银行股份有限公司(人民医院职工客户)。</w:t>
            </w:r>
          </w:p>
          <w:p>
            <w:pPr>
              <w:pStyle w:val="null10"/>
              <w:spacing w:lineRule="exact" w:line="200"/>
            </w:pPr>
            <w:r>
              <w:rPr>
                <w:rFonts w:ascii="方正黑体_GBK" w:hAnsi="方正黑体_GBK" w:cs="宋体" w:eastAsia="方正黑体_GBK"/>
                <w:sz w:val="18"/>
                <w:szCs w:val="18"/>
              </w:rPr>
              <w:t>O份额：吉林银行股份有限公司。</w:t>
            </w:r>
          </w:p>
          <w:p>
            <w:pPr>
              <w:pStyle w:val="null10"/>
              <w:spacing w:lineRule="exact" w:line="200"/>
            </w:pPr>
            <w:r>
              <w:rPr>
                <w:rFonts w:ascii="方正黑体_GBK" w:hAnsi="方正黑体_GBK" w:cs="宋体" w:eastAsia="方正黑体_GBK"/>
                <w:sz w:val="18"/>
                <w:szCs w:val="18"/>
              </w:rPr>
              <w:t>A2份额：朝阳银行股份有限公司。</w:t>
            </w:r>
          </w:p>
          <w:p>
            <w:pPr>
              <w:pStyle w:val="null10"/>
              <w:spacing w:lineRule="exact" w:line="200"/>
            </w:pPr>
            <w:r>
              <w:rPr>
                <w:rFonts w:ascii="方正黑体_GBK" w:hAnsi="方正黑体_GBK" w:cs="宋体" w:eastAsia="方正黑体_GBK"/>
                <w:sz w:val="18"/>
                <w:szCs w:val="18"/>
              </w:rPr>
              <w:t>E2份额：南京银行股份有限公司徐州分行（新客或新资金或代发客户）。</w:t>
            </w:r>
          </w:p>
          <w:p>
            <w:pPr>
              <w:pStyle w:val="null10"/>
              <w:spacing w:lineRule="exact" w:line="200"/>
            </w:pPr>
            <w:r>
              <w:rPr>
                <w:rFonts w:ascii="方正黑体_GBK" w:hAnsi="方正黑体_GBK" w:cs="宋体" w:eastAsia="方正黑体_GBK"/>
                <w:sz w:val="18"/>
                <w:szCs w:val="18"/>
              </w:rPr>
              <w:t>F2份额：温州银行股份有限公司。</w:t>
            </w:r>
          </w:p>
          <w:p>
            <w:pPr>
              <w:pStyle w:val="null10"/>
              <w:spacing w:lineRule="exact" w:line="200"/>
            </w:pPr>
            <w:r>
              <w:rPr>
                <w:rFonts w:ascii="方正黑体_GBK" w:hAnsi="方正黑体_GBK" w:cs="宋体" w:eastAsia="方正黑体_GBK"/>
                <w:sz w:val="18"/>
                <w:szCs w:val="18"/>
              </w:rPr>
              <w:t>Q份额：天津农村商业银行股份有限公司(私行客户)。</w:t>
            </w:r>
          </w:p>
          <w:p>
            <w:pPr>
              <w:pStyle w:val="null10"/>
              <w:spacing w:lineRule="exact" w:line="200"/>
            </w:pPr>
            <w:r>
              <w:rPr>
                <w:rFonts w:ascii="方正黑体_GBK" w:hAnsi="方正黑体_GBK" w:cs="宋体" w:eastAsia="方正黑体_GBK"/>
                <w:sz w:val="18"/>
                <w:szCs w:val="18"/>
              </w:rPr>
              <w:t>Q1份额：徽商银行股份有限公司（代发客户）。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A份额/B份额/C份额/L份额/O份额/A2份额/E2份额/F2份额/Q份额/Q1份额：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tc>
      </w:tr>
      <w:tr>
        <w:trPr>
          <w:trHeight w:val="358"/>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bookmarkStart w:id="0" w:name="_GoBack"/>
            <w:bookmarkEnd w:id="0"/>
            <w:r>
              <w:rPr>
                <w:rFonts w:ascii="方正黑体_GBK" w:hint="eastAsia" w:hAnsi="方正黑体_GBK" w:eastAsia="方正黑体_GBK"/>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2026年07月15日 09:00—2026年07月21日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2026年07月22日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2026年07月22日—实际到期日（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2027年08月25日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17.同业借款：资产类型为南银理财有限责任公司向持牌金融机构发放的同业借款，资产到期日不超过理财产品到期日，融资人为中国东方资产管理股份有限公司。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18.同业借款：资产类型为南银理财有限责任公司向持牌金融机构发放的同业借款，资产到期日不超过理财产品到期日，融资人为中国信达资产管理股份有限公司。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19.同业借款：资产类型为南银理财有限责任公司向持牌金融机构发放的同业借款，资产到期日不超过理财产品到期日，融资人为中国长城资产管理股份有限公司。</w:t>
            </w:r>
          </w:p>
          <w:p>
            <w:pPr>
              <w:pStyle w:val="null10"/>
              <w:spacing w:lineRule="exact" w:line="200"/>
              <w:jc w:val="left"/>
            </w:pPr>
            <w:r>
              <w:rPr>
                <w:rFonts w:ascii="方正黑体_GBK" w:hAnsi="方正黑体_GBK" w:cs="宋体" w:eastAsia="方正黑体_GBK"/>
                <w:sz w:val="18"/>
                <w:szCs w:val="18"/>
              </w:rPr>
              <w:t>20.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jc w:val="left"/>
            </w:pPr>
            <w:r>
              <w:rPr>
                <w:rFonts w:ascii="方正黑体_GBK" w:hAnsi="方正黑体_GBK" w:cs="宋体" w:eastAsia="方正黑体_GBK"/>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29.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30.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32.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36.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37.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40.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43.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A份额：业绩比较基准为年化2.4%-2.65% 。</w:t>
            </w:r>
          </w:p>
          <w:p>
            <w:pPr>
              <w:pStyle w:val="null10"/>
              <w:spacing w:lineRule="exact" w:line="200"/>
            </w:pPr>
            <w:r>
              <w:rPr>
                <w:rFonts w:ascii="方正黑体_GBK" w:hAnsi="方正黑体_GBK" w:cs="宋体" w:eastAsia="方正黑体_GBK"/>
                <w:sz w:val="18"/>
                <w:szCs w:val="18"/>
              </w:rPr>
              <w:t>B份额：业绩比较基准为年化2.5%-2.75% 。</w:t>
            </w:r>
          </w:p>
          <w:p>
            <w:pPr>
              <w:pStyle w:val="null10"/>
              <w:spacing w:lineRule="exact" w:line="200"/>
            </w:pPr>
            <w:r>
              <w:rPr>
                <w:rFonts w:ascii="方正黑体_GBK" w:hAnsi="方正黑体_GBK" w:cs="宋体" w:eastAsia="方正黑体_GBK"/>
                <w:sz w:val="18"/>
                <w:szCs w:val="18"/>
              </w:rPr>
              <w:t>C份额：业绩比较基准为年化2.6%-2.85% 。</w:t>
            </w:r>
          </w:p>
          <w:p>
            <w:pPr>
              <w:pStyle w:val="null10"/>
              <w:spacing w:lineRule="exact" w:line="200"/>
            </w:pPr>
            <w:r>
              <w:rPr>
                <w:rFonts w:ascii="方正黑体_GBK" w:hAnsi="方正黑体_GBK" w:cs="宋体" w:eastAsia="方正黑体_GBK"/>
                <w:sz w:val="18"/>
                <w:szCs w:val="18"/>
              </w:rPr>
              <w:t>L份额：业绩比较基准为年化2.65%-2.9% 。</w:t>
            </w:r>
          </w:p>
          <w:p>
            <w:pPr>
              <w:pStyle w:val="null10"/>
              <w:spacing w:lineRule="exact" w:line="200"/>
            </w:pPr>
            <w:r>
              <w:rPr>
                <w:rFonts w:ascii="方正黑体_GBK" w:hAnsi="方正黑体_GBK" w:cs="宋体" w:eastAsia="方正黑体_GBK"/>
                <w:sz w:val="18"/>
                <w:szCs w:val="18"/>
              </w:rPr>
              <w:t>O份额：业绩比较基准为年化2.5%-2.75% 。</w:t>
            </w:r>
          </w:p>
          <w:p>
            <w:pPr>
              <w:pStyle w:val="null10"/>
              <w:spacing w:lineRule="exact" w:line="200"/>
            </w:pPr>
            <w:r>
              <w:rPr>
                <w:rFonts w:ascii="方正黑体_GBK" w:hAnsi="方正黑体_GBK" w:cs="宋体" w:eastAsia="方正黑体_GBK"/>
                <w:sz w:val="18"/>
                <w:szCs w:val="18"/>
              </w:rPr>
              <w:t>A2份额：业绩比较基准为年化2.35%-2.6% 。</w:t>
            </w:r>
          </w:p>
          <w:p>
            <w:pPr>
              <w:pStyle w:val="null10"/>
              <w:spacing w:lineRule="exact" w:line="200"/>
            </w:pPr>
            <w:r>
              <w:rPr>
                <w:rFonts w:ascii="方正黑体_GBK" w:hAnsi="方正黑体_GBK" w:cs="宋体" w:eastAsia="方正黑体_GBK"/>
                <w:sz w:val="18"/>
                <w:szCs w:val="18"/>
              </w:rPr>
              <w:t>E2份额：业绩比较基准为年化2.6%-2.85% 。</w:t>
            </w:r>
          </w:p>
          <w:p>
            <w:pPr>
              <w:pStyle w:val="null10"/>
              <w:spacing w:lineRule="exact" w:line="200"/>
            </w:pPr>
            <w:r>
              <w:rPr>
                <w:rFonts w:ascii="方正黑体_GBK" w:hAnsi="方正黑体_GBK" w:cs="宋体" w:eastAsia="方正黑体_GBK"/>
                <w:sz w:val="18"/>
                <w:szCs w:val="18"/>
              </w:rPr>
              <w:t>F2份额：业绩比较基准为年化2.45%-2.7% 。</w:t>
            </w:r>
          </w:p>
          <w:p>
            <w:pPr>
              <w:pStyle w:val="null10"/>
              <w:spacing w:lineRule="exact" w:line="200"/>
            </w:pPr>
            <w:r>
              <w:rPr>
                <w:rFonts w:ascii="方正黑体_GBK" w:hAnsi="方正黑体_GBK" w:cs="宋体" w:eastAsia="方正黑体_GBK"/>
                <w:sz w:val="18"/>
                <w:szCs w:val="18"/>
              </w:rPr>
              <w:t>Q份额：业绩比较基准为年化2.55%-2.8% 。</w:t>
            </w:r>
          </w:p>
          <w:p>
            <w:pPr>
              <w:pStyle w:val="null10"/>
              <w:spacing w:lineRule="exact" w:line="200"/>
            </w:pPr>
            <w:r>
              <w:rPr>
                <w:rFonts w:ascii="方正黑体_GBK" w:hAnsi="方正黑体_GBK" w:cs="宋体" w:eastAsia="方正黑体_GBK"/>
                <w:sz w:val="18"/>
                <w:szCs w:val="18"/>
              </w:rPr>
              <w:t>Q1份额：业绩比较基准为年化2.53%-2.78%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w:t>
            </w:r>
          </w:p>
          <w:p>
            <w:pPr>
              <w:pStyle w:val="null10"/>
              <w:spacing w:lineRule="exact" w:line="200"/>
            </w:pPr>
            <w:r>
              <w:rPr>
                <w:rFonts w:ascii="方正黑体_GBK" w:hAnsi="方正黑体_GBK" w:cs="宋体" w:eastAsia="方正黑体_GBK"/>
                <w:sz w:val="18"/>
                <w:b/>
                <w:szCs w:val="18"/>
              </w:rPr>
              <w:t>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w:t>
            </w:r>
          </w:p>
          <w:p>
            <w:pPr>
              <w:pStyle w:val="null10"/>
              <w:spacing w:lineRule="exact" w:line="200"/>
            </w:pPr>
            <w:r>
              <w:rPr>
                <w:rFonts w:ascii="方正黑体_GBK" w:hAnsi="方正黑体_GBK" w:cs="宋体" w:eastAsia="方正黑体_GBK"/>
                <w:sz w:val="18"/>
                <w:b/>
                <w:szCs w:val="18"/>
              </w:rPr>
              <w:t>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C份额，L份额：</w:t>
            </w:r>
          </w:p>
          <w:p>
            <w:pPr>
              <w:pStyle w:val="null10"/>
              <w:spacing w:lineRule="exact" w:line="200"/>
            </w:pPr>
            <w:r>
              <w:rPr>
                <w:rFonts w:ascii="方正黑体_GBK" w:hAnsi="方正黑体_GBK" w:cs="宋体" w:eastAsia="方正黑体_GBK"/>
                <w:sz w:val="18"/>
                <w:b/>
                <w:szCs w:val="18"/>
              </w:rPr>
              <w:t>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O份额：</w:t>
            </w:r>
          </w:p>
          <w:p>
            <w:pPr>
              <w:pStyle w:val="null10"/>
              <w:spacing w:lineRule="exact" w:line="200"/>
            </w:pPr>
            <w:r>
              <w:rPr>
                <w:rFonts w:ascii="方正黑体_GBK" w:hAnsi="方正黑体_GBK" w:cs="宋体" w:eastAsia="方正黑体_GBK"/>
                <w:sz w:val="18"/>
                <w:b/>
                <w:szCs w:val="18"/>
              </w:rPr>
              <w:t>本理财产品一次性收取年化0.2%的销售费，按日摊销。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A2份额，F2份额：</w:t>
            </w:r>
          </w:p>
          <w:p>
            <w:pPr>
              <w:pStyle w:val="null10"/>
              <w:spacing w:lineRule="exact" w:line="200"/>
            </w:pPr>
            <w:r>
              <w:rPr>
                <w:rFonts w:ascii="方正黑体_GBK" w:hAnsi="方正黑体_GBK" w:cs="宋体" w:eastAsia="方正黑体_GBK"/>
                <w:sz w:val="18"/>
                <w:b/>
                <w:szCs w:val="18"/>
              </w:rPr>
              <w:t>本理财产品按前一日理财产品资产净值收取年化0.25%的销售费，按日计提。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E2份额，Q份额：</w:t>
            </w:r>
          </w:p>
          <w:p>
            <w:pPr>
              <w:pStyle w:val="null10"/>
              <w:spacing w:lineRule="exact" w:line="200"/>
            </w:pPr>
            <w:r>
              <w:rPr>
                <w:rFonts w:ascii="方正黑体_GBK" w:hAnsi="方正黑体_GBK" w:cs="宋体" w:eastAsia="方正黑体_GBK"/>
                <w:sz w:val="18"/>
                <w:b/>
                <w:szCs w:val="18"/>
              </w:rPr>
              <w:t>本理财产品按前一日理财产品资产净值收取年化0.1%的销售费，按日计提。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Q1份额：</w:t>
            </w:r>
          </w:p>
          <w:p>
            <w:pPr>
              <w:pStyle w:val="null10"/>
              <w:spacing w:lineRule="exact" w:line="200"/>
            </w:pPr>
            <w:r>
              <w:rPr>
                <w:rFonts w:ascii="方正黑体_GBK" w:hAnsi="方正黑体_GBK" w:cs="宋体" w:eastAsia="方正黑体_GBK"/>
                <w:sz w:val="18"/>
                <w:b/>
                <w:szCs w:val="18"/>
              </w:rPr>
              <w:t>本理财产品按前一日理财产品资产净值收取年化0.17%的销售费，按日计提。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O份额：固定管理费年化0.1%</w:t>
            </w:r>
          </w:p>
          <w:p>
            <w:pPr>
              <w:pStyle w:val="null10"/>
              <w:spacing w:lineRule="exact" w:line="200"/>
            </w:pPr>
            <w:r>
              <w:rPr>
                <w:rFonts w:ascii="方正黑体_GBK" w:hAnsi="方正黑体_GBK" w:cs="宋体" w:eastAsia="方正黑体_GBK"/>
                <w:sz w:val="18"/>
                <w:b/>
                <w:szCs w:val="18"/>
              </w:rPr>
              <w:t>A2份额：固定管理费年化0.2%</w:t>
            </w:r>
          </w:p>
          <w:p>
            <w:pPr>
              <w:pStyle w:val="null10"/>
              <w:spacing w:lineRule="exact" w:line="200"/>
            </w:pPr>
            <w:r>
              <w:rPr>
                <w:rFonts w:ascii="方正黑体_GBK" w:hAnsi="方正黑体_GBK" w:cs="宋体" w:eastAsia="方正黑体_GBK"/>
                <w:sz w:val="18"/>
                <w:b/>
                <w:szCs w:val="18"/>
              </w:rPr>
              <w:t>E2份额：固定管理费年化0.1%</w:t>
            </w:r>
          </w:p>
          <w:p>
            <w:pPr>
              <w:pStyle w:val="null10"/>
              <w:spacing w:lineRule="exact" w:line="200"/>
            </w:pPr>
            <w:r>
              <w:rPr>
                <w:rFonts w:ascii="方正黑体_GBK" w:hAnsi="方正黑体_GBK" w:cs="宋体" w:eastAsia="方正黑体_GBK"/>
                <w:sz w:val="18"/>
                <w:b/>
                <w:szCs w:val="18"/>
              </w:rPr>
              <w:t>F2份额：固定管理费年化0.1%</w:t>
            </w:r>
          </w:p>
          <w:p>
            <w:pPr>
              <w:pStyle w:val="null10"/>
              <w:spacing w:lineRule="exact" w:line="200"/>
            </w:pPr>
            <w:r>
              <w:rPr>
                <w:rFonts w:ascii="方正黑体_GBK" w:hAnsi="方正黑体_GBK" w:cs="宋体" w:eastAsia="方正黑体_GBK"/>
                <w:sz w:val="18"/>
                <w:b/>
                <w:szCs w:val="18"/>
              </w:rPr>
              <w:t>Q份额：固定管理费年化0.15%</w:t>
            </w:r>
          </w:p>
          <w:p>
            <w:pPr>
              <w:pStyle w:val="null10"/>
              <w:spacing w:lineRule="exact" w:line="200"/>
            </w:pPr>
            <w:r>
              <w:rPr>
                <w:rFonts w:ascii="方正黑体_GBK" w:hAnsi="方正黑体_GBK" w:cs="宋体" w:eastAsia="方正黑体_GBK"/>
                <w:sz w:val="18"/>
                <w:b/>
                <w:szCs w:val="18"/>
              </w:rPr>
              <w:t>Q1份额：固定管理费年化0.1%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pPr>
              <w:pStyle w:val="null10"/>
              <w:spacing w:lineRule="exact" w:line="200"/>
            </w:pPr>
            <w:r>
              <w:rPr>
                <w:rFonts w:ascii="方正黑体_GBK" w:hAnsi="方正黑体_GBK" w:cs="宋体" w:eastAsia="方正黑体_GBK"/>
                <w:sz w:val="18"/>
                <w:b/>
                <w:szCs w:val="18"/>
              </w:rPr>
              <w:t>O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A2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pPr>
              <w:pStyle w:val="null10"/>
              <w:spacing w:lineRule="exact" w:line="200"/>
            </w:pPr>
            <w:r>
              <w:rPr>
                <w:rFonts w:ascii="方正黑体_GBK" w:hAnsi="方正黑体_GBK" w:cs="宋体" w:eastAsia="方正黑体_GBK"/>
                <w:sz w:val="18"/>
                <w:b/>
                <w:szCs w:val="18"/>
              </w:rPr>
              <w:t>E2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F2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Q1份额：到期兑付时，当期产品投资的实际资产组合收益（扣除销售费、固定管理费、托管费等相关费用）在2.53%（含）（年化，即产品该份额对应的业绩报酬计提基准）至2.78%（不含）之间的部分，管理人将按超过2.53%部分的50%收取业绩报酬；在2.78%（含）（年化，即产品该份额对应的业绩报酬计提基准）以上的部分，管理人将按超过2.78%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青岛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潍坊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海南农村商业银行股份有限公司、湖州银行股份有限公司、江苏灌云农村商业银行股份有限公司、广州农村商业银行股份有限公司、江苏泰州农村商业银行股份有限公司、朝阳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诚信托有限责任公司、中国对外经济贸易信托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诚信托有限责任公司、中国对外经济贸易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国寿投资保险资产管理有限公司成立于1994年06月01日，注册资本金 370000万元。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中诚信托有限责任公司成立于1995年11月20日，注册资本金48.5亿元。</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7ca50616"/>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25a3b9c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25a3b9c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25a3b9c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25a3b9c1"/>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25a3b9c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25a3b9c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25a3b9c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25a3b9c1"/>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南银理财珠联璧合鑫逸稳一年286期封闭式公募人民币理财产品</w:t>
      </w:r>
      <w:r>
        <w:rPr>
          <w:rFonts w:ascii="方正黑体_GBK" w:eastAsia="方正黑体_GBK" w:hint="eastAsia" w:hAnsi="方正黑体_GBK"/>
          <w:vanish w:val="0"/>
          <w:color w:val="3D3D3D"/>
          <w:kern w:val="0"/>
          <w:sz w:val="15"/>
          <w:szCs w:val="15"/>
        </w:rPr>
        <w:t>。</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25a3b9c1"/>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25a3b9c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25a3b9c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25a3b9c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d7af46e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d7af46e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d7af46e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d7af46e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d7af46e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d7af46e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25a3b9c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25a3b9c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25a3b9c1"/>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7ca506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7ca506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d7af46e9"/>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7ca50616"/>
        <w:keepNext w:val="0"/>
        <w:keepLines w:val="0"/>
        <w:pageBreakBefore w:val="0"/>
        <w:widowControl/>
        <w:suppressLineNumbers w:val="0"/>
        <w:suppressAutoHyphens w:val="0"/>
        <w:spacing w:line="200" w:lineRule="exact"/>
        <w:ind w:firstLineChars="200" w:firstLine="300"/>
        <w:rPr>
          <w:rStyle w:val="d7af46e9"/>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7ca506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7ca506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7ca5061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7ca5061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按周</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null10"/>
        <w:spacing w:lineRule="exact" w:line="200"/>
        <w:ind w:firstLine="300"/>
      </w:pPr>
      <w:r>
        <w:rPr>
          <w:rFonts w:ascii="方正黑体_GBK" w:hAnsi="方正黑体_GBK" w:eastAsia="方正黑体_GBK"/>
        </w:rPr>
      </w:r>
    </w:p>
    <w:p>
      <w:pPr>
        <w:pStyle w:val="7ca506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7ca506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7ca506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7ca5061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7ca506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7ca5061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7ca506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7ca506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7ca506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7ca506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7ca506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7ca506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7ca50616"/>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2"/>
  </w:num>
  <w:num w:numId="2">
    <w:abstractNumId w:val="3"/>
  </w:num>
  <w:num w:numId="3">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6de73ded">
    <w:name w:val="Normal6de73ded"/>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4ca7117">
    <w:name w:val="heading 1d4ca7117"/>
    <w:basedOn w:val="6de73de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00fa083">
    <w:name w:val="heading 2600fa083"/>
    <w:basedOn w:val="6de73de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3ac28e7">
    <w:name w:val="heading 3f3ac28e7"/>
    <w:basedOn w:val="6de73de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e16e79f">
    <w:name w:val="Default Paragraph Font7e16e79f"/>
  </w:style>
  <w:style xmlns:r="http://schemas.openxmlformats.org/officeDocument/2006/relationships" w:type="paragraph" w:styleId="c23b5c4b">
    <w:name w:val="toc 1c23b5c4b"/>
    <w:basedOn w:val="6de73ded"/>
    <w:autoRedefine/>
    <w:next w:val="0"/>
  </w:style>
  <w:style xmlns:r="http://schemas.openxmlformats.org/officeDocument/2006/relationships" w:type="paragraph" w:styleId="80ede385">
    <w:name w:val="toc 280ede385"/>
    <w:basedOn w:val="6de73ded"/>
    <w:autoRedefine/>
    <w:next w:val="0"/>
    <w:pPr>
      <w:ind w:left="420"/>
    </w:pPr>
  </w:style>
  <w:style xmlns:r="http://schemas.openxmlformats.org/officeDocument/2006/relationships" w:type="paragraph" w:styleId="694d69d8">
    <w:name w:val="toc 3694d69d8"/>
    <w:basedOn w:val="6de73ded"/>
    <w:autoRedefine/>
    <w:next w:val="0"/>
    <w:pPr>
      <w:ind w:left="840"/>
    </w:pPr>
  </w:style>
  <w:style xmlns:r="http://schemas.openxmlformats.org/officeDocument/2006/relationships" w:type="paragraph" w:styleId="7f2fb8fc">
    <w:name w:val="toc 47f2fb8fc"/>
    <w:basedOn w:val="6de73ded"/>
    <w:autoRedefine/>
    <w:next w:val="0"/>
    <w:pPr>
      <w:ind w:left="1260"/>
    </w:pPr>
  </w:style>
  <w:style xmlns:r="http://schemas.openxmlformats.org/officeDocument/2006/relationships" w:type="paragraph" w:styleId="aef45472">
    <w:name w:val="toc 5aef45472"/>
    <w:basedOn w:val="6de73ded"/>
    <w:autoRedefine/>
    <w:next w:val="0"/>
    <w:pPr>
      <w:ind w:left="1680"/>
    </w:pPr>
  </w:style>
  <w:style xmlns:r="http://schemas.openxmlformats.org/officeDocument/2006/relationships" w:type="paragraph" w:styleId="4074078d">
    <w:name w:val="header4074078d"/>
    <w:basedOn w:val="6de73de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e8002a9">
    <w:name w:val="footer9e8002a9"/>
    <w:basedOn w:val="6de73ded"/>
    <w:pPr>
      <w:tabs>
        <w:tab w:val="center" w:pos="4153"/>
        <w:tab w:val="right" w:pos="8307"/>
      </w:tabs>
      <w:adjustRightInd/>
      <w:snapToGrid w:val="0"/>
      <w:contextualSpacing w:val="0"/>
      <w:jc w:val="left"/>
    </w:pPr>
    <w:rPr>
      <w:sz w:val="18"/>
    </w:rPr>
  </w:style>
  <w:style xmlns:r="http://schemas.openxmlformats.org/officeDocument/2006/relationships" w:type="character" w:styleId="fa07a577">
    <w:name w:val="Strongfa07a577"/>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7ca50616">
    <w:name w:val="Normal7ca5061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32e4f62d">
    <w:name w:val="heading 132e4f62d"/>
    <w:basedOn w:val="7ca5061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c6039f8">
    <w:name w:val="heading 2ec6039f8"/>
    <w:basedOn w:val="7ca5061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ffa8c00">
    <w:name w:val="heading 32ffa8c00"/>
    <w:basedOn w:val="7ca5061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d769b5a">
    <w:name w:val="Default Paragraph Fonted769b5a"/>
  </w:style>
  <w:style xmlns:r="http://schemas.openxmlformats.org/officeDocument/2006/relationships" w:type="paragraph" w:styleId="b3bb4cd4">
    <w:name w:val="Normal Indentb3bb4cd4"/>
    <w:basedOn w:val="7ca50616"/>
    <w:pPr>
      <w:ind w:firstLineChars="200" w:firstLine="200"/>
    </w:pPr>
  </w:style>
  <w:style xmlns:r="http://schemas.openxmlformats.org/officeDocument/2006/relationships" w:type="paragraph" w:styleId="b3d87809">
    <w:name w:val="toc 5b3d87809"/>
    <w:basedOn w:val="7ca50616"/>
    <w:next w:val="0"/>
    <w:pPr>
      <w:ind w:left="1680"/>
    </w:pPr>
  </w:style>
  <w:style xmlns:r="http://schemas.openxmlformats.org/officeDocument/2006/relationships" w:type="paragraph" w:styleId="68cd4acd">
    <w:name w:val="toc 368cd4acd"/>
    <w:basedOn w:val="7ca50616"/>
    <w:next w:val="0"/>
    <w:pPr>
      <w:ind w:left="840"/>
    </w:pPr>
  </w:style>
  <w:style xmlns:r="http://schemas.openxmlformats.org/officeDocument/2006/relationships" w:type="paragraph" w:styleId="ec4bf771">
    <w:name w:val="footerec4bf771"/>
    <w:basedOn w:val="7ca50616"/>
    <w:pPr>
      <w:tabs>
        <w:tab w:val="center" w:pos="4153"/>
        <w:tab w:val="right" w:pos="8307"/>
      </w:tabs>
      <w:adjustRightInd/>
      <w:snapToGrid w:val="0"/>
      <w:contextualSpacing w:val="0"/>
      <w:jc w:val="left"/>
    </w:pPr>
    <w:rPr>
      <w:sz w:val="18"/>
    </w:rPr>
  </w:style>
  <w:style xmlns:r="http://schemas.openxmlformats.org/officeDocument/2006/relationships" w:type="paragraph" w:styleId="d068e7a1">
    <w:name w:val="headerd068e7a1"/>
    <w:basedOn w:val="7ca5061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fc409e2">
    <w:name w:val="toc 1afc409e2"/>
    <w:basedOn w:val="7ca50616"/>
    <w:next w:val="0"/>
  </w:style>
  <w:style xmlns:r="http://schemas.openxmlformats.org/officeDocument/2006/relationships" w:type="paragraph" w:styleId="475cc9b4">
    <w:name w:val="toc 4475cc9b4"/>
    <w:basedOn w:val="7ca50616"/>
    <w:next w:val="0"/>
    <w:pPr>
      <w:ind w:left="1260"/>
    </w:pPr>
  </w:style>
  <w:style xmlns:r="http://schemas.openxmlformats.org/officeDocument/2006/relationships" w:type="paragraph" w:styleId="8931ac9b">
    <w:name w:val="toc 28931ac9b"/>
    <w:basedOn w:val="7ca50616"/>
    <w:next w:val="0"/>
    <w:pPr>
      <w:ind w:left="420"/>
    </w:pPr>
  </w:style>
  <w:style xmlns:r="http://schemas.openxmlformats.org/officeDocument/2006/relationships" w:type="paragraph" w:styleId="7e26b47f">
    <w:name w:val="Normal (Web)7e26b47f"/>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25a3b9c1">
    <w:name w:val="Normal25a3b9c125a3b9c1"/>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3c01bb2">
    <w:name w:val="heading 1f3c01bb2f3c01bb2"/>
    <w:basedOn w:val="25a3b9c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871bdff">
    <w:name w:val="heading 2d871bdffd871bdff"/>
    <w:basedOn w:val="25a3b9c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d7d45b9">
    <w:name w:val="heading 33d7d45b93d7d45b9"/>
    <w:basedOn w:val="25a3b9c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a533bf8">
    <w:name w:val="Default Paragraph Fontaa533bf8aa533bf8"/>
  </w:style>
  <w:style xmlns:r="http://schemas.openxmlformats.org/officeDocument/2006/relationships" w:type="paragraph" w:customStyle="1" w:styleId="b47f06e3">
    <w:name w:val="引文目录1b47f06e3b47f06e3"/>
    <w:basedOn w:val="25a3b9c1"/>
    <w:next w:val="0"/>
    <w:pPr>
      <w:ind w:leftChars="200" w:left="200"/>
    </w:pPr>
  </w:style>
  <w:style xmlns:r="http://schemas.openxmlformats.org/officeDocument/2006/relationships" w:type="paragraph" w:styleId="2677cf22">
    <w:name w:val="toc 52677cf222677cf22"/>
    <w:basedOn w:val="25a3b9c1"/>
    <w:next w:val="0"/>
    <w:pPr>
      <w:ind w:left="1680"/>
    </w:pPr>
  </w:style>
  <w:style xmlns:r="http://schemas.openxmlformats.org/officeDocument/2006/relationships" w:type="paragraph" w:styleId="098dab5d">
    <w:name w:val="toc 3098dab5d098dab5d"/>
    <w:basedOn w:val="25a3b9c1"/>
    <w:next w:val="0"/>
    <w:pPr>
      <w:ind w:left="840"/>
    </w:pPr>
  </w:style>
  <w:style xmlns:r="http://schemas.openxmlformats.org/officeDocument/2006/relationships" w:type="paragraph" w:styleId="216da3f7">
    <w:name w:val="footer216da3f7216da3f7"/>
    <w:basedOn w:val="25a3b9c1"/>
    <w:pPr>
      <w:tabs>
        <w:tab w:val="center" w:pos="4153"/>
        <w:tab w:val="right" w:pos="8307"/>
      </w:tabs>
      <w:adjustRightInd/>
      <w:snapToGrid w:val="0"/>
      <w:contextualSpacing w:val="0"/>
      <w:jc w:val="left"/>
    </w:pPr>
    <w:rPr>
      <w:sz w:val="18"/>
    </w:rPr>
  </w:style>
  <w:style xmlns:r="http://schemas.openxmlformats.org/officeDocument/2006/relationships" w:type="paragraph" w:styleId="b9d86995">
    <w:name w:val="headerb9d86995b9d86995"/>
    <w:basedOn w:val="25a3b9c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61c2335">
    <w:name w:val="toc 1161c2335161c2335"/>
    <w:basedOn w:val="25a3b9c1"/>
    <w:next w:val="0"/>
  </w:style>
  <w:style xmlns:r="http://schemas.openxmlformats.org/officeDocument/2006/relationships" w:type="paragraph" w:styleId="acb16472">
    <w:name w:val="toc 4acb16472acb16472"/>
    <w:basedOn w:val="25a3b9c1"/>
    <w:next w:val="0"/>
    <w:pPr>
      <w:ind w:left="1260"/>
    </w:pPr>
  </w:style>
  <w:style xmlns:r="http://schemas.openxmlformats.org/officeDocument/2006/relationships" w:type="paragraph" w:styleId="08a43169">
    <w:name w:val="toc 208a4316908a43169"/>
    <w:basedOn w:val="25a3b9c1"/>
    <w:next w:val="0"/>
    <w:pPr>
      <w:ind w:left="420"/>
    </w:pPr>
  </w:style>
  <w:style xmlns:r="http://schemas.openxmlformats.org/officeDocument/2006/relationships" w:type="paragraph" w:customStyle="1" w:styleId="d7af46e9">
    <w:name w:val="列出段落1d7af46e9d7af46e9"/>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