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5db20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b5db20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5db20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5db20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5db20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5db20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5db20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5db20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5db20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5db20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5db201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fe5c067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fe5c067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0def01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南银理财珠联璧合鑫逸稳半年187期封闭式公募人民币理财产品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ZZ700322600201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Z7003226000197(投资者可依据该编码在中国理财网www.chinawealth.com.cn查询理财产品相关信息）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A份额：NYXY001075</w:t>
            </w:r>
          </w:p>
          <w:p>
            <w:pPr>
              <w:pStyle w:val="null10"/>
              <w:spacing w:lineRule="exact" w:line="200"/>
            </w:pPr>
            <w:r>
              <w:rPr>
                <w:rFonts w:ascii="方正黑体_GBK" w:hAnsi="方正黑体_GBK" w:cs="宋体" w:eastAsia="方正黑体_GBK"/>
                <w:sz w:val="18"/>
                <w:szCs w:val="18"/>
              </w:rPr>
              <w:t>B份额：NYXY001076</w:t>
            </w:r>
          </w:p>
          <w:p>
            <w:pPr>
              <w:pStyle w:val="null10"/>
              <w:spacing w:lineRule="exact" w:line="200"/>
            </w:pPr>
            <w:r>
              <w:rPr>
                <w:rFonts w:ascii="方正黑体_GBK" w:hAnsi="方正黑体_GBK" w:cs="宋体" w:eastAsia="方正黑体_GBK"/>
                <w:sz w:val="18"/>
                <w:szCs w:val="18"/>
              </w:rPr>
              <w:t>C份额：NYXY001077</w:t>
            </w:r>
          </w:p>
          <w:p>
            <w:pPr>
              <w:pStyle w:val="null10"/>
              <w:spacing w:lineRule="exact" w:line="200"/>
            </w:pPr>
            <w:r>
              <w:rPr>
                <w:rFonts w:ascii="方正黑体_GBK" w:hAnsi="方正黑体_GBK" w:cs="宋体" w:eastAsia="方正黑体_GBK"/>
                <w:sz w:val="18"/>
                <w:szCs w:val="18"/>
              </w:rPr>
              <w:t>F份额：NYXY001241</w:t>
            </w:r>
          </w:p>
          <w:p>
            <w:pPr>
              <w:pStyle w:val="null10"/>
              <w:spacing w:lineRule="exact" w:line="200"/>
            </w:pPr>
            <w:r>
              <w:rPr>
                <w:rFonts w:ascii="方正黑体_GBK" w:hAnsi="方正黑体_GBK" w:cs="宋体" w:eastAsia="方正黑体_GBK"/>
                <w:sz w:val="18"/>
                <w:szCs w:val="18"/>
              </w:rPr>
              <w:t>J份额：NYXY001078</w:t>
            </w:r>
          </w:p>
          <w:p>
            <w:pPr>
              <w:pStyle w:val="null10"/>
              <w:spacing w:lineRule="exact" w:line="200"/>
            </w:pPr>
            <w:r>
              <w:rPr>
                <w:rFonts w:ascii="方正黑体_GBK" w:hAnsi="方正黑体_GBK" w:cs="宋体" w:eastAsia="方正黑体_GBK"/>
                <w:sz w:val="18"/>
                <w:szCs w:val="18"/>
              </w:rPr>
              <w:t>L份额：NYXY001079</w:t>
            </w:r>
          </w:p>
          <w:p>
            <w:pPr>
              <w:pStyle w:val="null10"/>
              <w:spacing w:lineRule="exact" w:line="200"/>
            </w:pPr>
            <w:r>
              <w:rPr>
                <w:rFonts w:ascii="方正黑体_GBK" w:hAnsi="方正黑体_GBK" w:cs="宋体" w:eastAsia="方正黑体_GBK"/>
                <w:sz w:val="18"/>
                <w:szCs w:val="18"/>
              </w:rPr>
              <w:t>B2份额：NYXY001242</w:t>
            </w:r>
          </w:p>
          <w:p>
            <w:pPr>
              <w:pStyle w:val="null10"/>
              <w:spacing w:lineRule="exact" w:line="200"/>
            </w:pPr>
            <w:r>
              <w:rPr>
                <w:rFonts w:ascii="方正黑体_GBK" w:hAnsi="方正黑体_GBK" w:cs="宋体" w:eastAsia="方正黑体_GBK"/>
                <w:sz w:val="18"/>
                <w:szCs w:val="18"/>
              </w:rPr>
              <w:t>C2份额：NYXY001243</w:t>
            </w:r>
          </w:p>
          <w:p>
            <w:pPr>
              <w:pStyle w:val="null10"/>
              <w:spacing w:lineRule="exact" w:line="200"/>
            </w:pPr>
            <w:r>
              <w:rPr>
                <w:rFonts w:ascii="方正黑体_GBK" w:hAnsi="方正黑体_GBK" w:cs="宋体" w:eastAsia="方正黑体_GBK"/>
                <w:sz w:val="18"/>
                <w:szCs w:val="18"/>
              </w:rPr>
              <w:t>Q份额：NYXY001080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amu增量等于0客户）、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除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除代发客户外的1元起购客户）、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浙江民泰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山西银行股份有限公司（aum增量大于5万元小于15万元客户）、兰州银行股份有限公司、甘肃银行股份有限公司、东营银行股份有限公司、桂林银行股份有限公司（财富客户）、石嘴山银行股份有限公司（财富客户）、永丰银行(中国)有限公司、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L份额：天津农村商业银行股份有限公司(私钻客户)、江苏姜堰农村商业银行股份有限公司（代发客户）。</w:t>
            </w:r>
          </w:p>
          <w:p>
            <w:pPr>
              <w:pStyle w:val="null10"/>
              <w:spacing w:lineRule="exact" w:line="200"/>
            </w:pPr>
            <w:r>
              <w:rPr>
                <w:rFonts w:ascii="方正黑体_GBK" w:hAnsi="方正黑体_GBK" w:cs="宋体" w:eastAsia="方正黑体_GBK"/>
                <w:sz w:val="18"/>
                <w:szCs w:val="18"/>
              </w:rPr>
              <w:t>B2份额：山西银行股份有限公司（aum增量大于0小于5万元客户）。</w:t>
            </w:r>
          </w:p>
          <w:p>
            <w:pPr>
              <w:pStyle w:val="null10"/>
              <w:spacing w:lineRule="exact" w:line="200"/>
            </w:pPr>
            <w:r>
              <w:rPr>
                <w:rFonts w:ascii="方正黑体_GBK" w:hAnsi="方正黑体_GBK" w:cs="宋体" w:eastAsia="方正黑体_GBK"/>
                <w:sz w:val="18"/>
                <w:szCs w:val="18"/>
              </w:rPr>
              <w:t>C2份额：山西银行股份有限公司（aum增量大于15万元小于40万元客户）。</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A份额/B份额/C份额/F份额/J份额/L份额/B2份额/C2份额/Q份额：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2026年07月01日 09:00—2026年07月07日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2026年07月08日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2026年07月08日—实际到期日（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2027年01月20日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A份额：业绩比较基准为1.9%(年化)。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F份额：业绩比较基准为2%(年化)。</w:t>
            </w:r>
          </w:p>
          <w:p>
            <w:pPr>
              <w:pStyle w:val="null10"/>
              <w:spacing w:lineRule="exact" w:line="200"/>
            </w:pPr>
            <w:r>
              <w:rPr>
                <w:rFonts w:ascii="方正黑体_GBK" w:hAnsi="方正黑体_GBK" w:cs="宋体" w:eastAsia="方正黑体_GBK"/>
                <w:sz w:val="18"/>
                <w:szCs w:val="18"/>
              </w:rPr>
              <w:t>J份额：业绩比较基准为1.9%(年化)。</w:t>
            </w:r>
          </w:p>
          <w:p>
            <w:pPr>
              <w:pStyle w:val="null10"/>
              <w:spacing w:lineRule="exact" w:line="200"/>
            </w:pPr>
            <w:r>
              <w:rPr>
                <w:rFonts w:ascii="方正黑体_GBK" w:hAnsi="方正黑体_GBK" w:cs="宋体" w:eastAsia="方正黑体_GBK"/>
                <w:sz w:val="18"/>
                <w:szCs w:val="18"/>
              </w:rPr>
              <w:t>L份额：业绩比较基准为2.15%(年化)。</w:t>
            </w:r>
          </w:p>
          <w:p>
            <w:pPr>
              <w:pStyle w:val="null10"/>
              <w:spacing w:lineRule="exact" w:line="200"/>
            </w:pPr>
            <w:r>
              <w:rPr>
                <w:rFonts w:ascii="方正黑体_GBK" w:hAnsi="方正黑体_GBK" w:cs="宋体" w:eastAsia="方正黑体_GBK"/>
                <w:sz w:val="18"/>
                <w:szCs w:val="18"/>
              </w:rPr>
              <w:t>B2份额：业绩比较基准为1.95%(年化)。</w:t>
            </w:r>
          </w:p>
          <w:p>
            <w:pPr>
              <w:pStyle w:val="null10"/>
              <w:spacing w:lineRule="exact" w:line="200"/>
            </w:pPr>
            <w:r>
              <w:rPr>
                <w:rFonts w:ascii="方正黑体_GBK" w:hAnsi="方正黑体_GBK" w:cs="宋体" w:eastAsia="方正黑体_GBK"/>
                <w:sz w:val="18"/>
                <w:szCs w:val="18"/>
              </w:rPr>
              <w:t>C2份额：业绩比较基准为2.05%(年化)。</w:t>
            </w:r>
          </w:p>
          <w:p>
            <w:pPr>
              <w:pStyle w:val="null10"/>
              <w:spacing w:lineRule="exact" w:line="200"/>
            </w:pPr>
            <w:r>
              <w:rPr>
                <w:rFonts w:ascii="方正黑体_GBK" w:hAnsi="方正黑体_GBK" w:cs="宋体" w:eastAsia="方正黑体_GBK"/>
                <w:sz w:val="18"/>
                <w:szCs w:val="18"/>
              </w:rPr>
              <w:t>Q份额：业绩比较基准为2.05%(年化)。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F份额：销售费年化0.2%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B2份额：销售费年化0.25%</w:t>
            </w:r>
          </w:p>
          <w:p>
            <w:pPr>
              <w:pStyle w:val="null10"/>
              <w:spacing w:lineRule="exact" w:line="200"/>
            </w:pPr>
            <w:r>
              <w:rPr>
                <w:rFonts w:ascii="方正黑体_GBK" w:hAnsi="方正黑体_GBK" w:cs="宋体" w:eastAsia="方正黑体_GBK"/>
                <w:sz w:val="18"/>
                <w:b/>
                <w:szCs w:val="18"/>
              </w:rPr>
              <w:t>C2份额：销售费年化0.15%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A份额：固定管理费年化0.11%</w:t>
            </w:r>
          </w:p>
          <w:p>
            <w:pPr>
              <w:pStyle w:val="null10"/>
              <w:spacing w:lineRule="exact" w:line="200"/>
            </w:pPr>
            <w:r>
              <w:rPr>
                <w:rFonts w:ascii="方正黑体_GBK" w:hAnsi="方正黑体_GBK" w:cs="宋体" w:eastAsia="方正黑体_GBK"/>
                <w:sz w:val="18"/>
                <w:b/>
                <w:szCs w:val="18"/>
              </w:rPr>
              <w:t>B份额：固定管理费年化0.06%</w:t>
            </w:r>
          </w:p>
          <w:p>
            <w:pPr>
              <w:pStyle w:val="null10"/>
              <w:spacing w:lineRule="exact" w:line="200"/>
            </w:pPr>
            <w:r>
              <w:rPr>
                <w:rFonts w:ascii="方正黑体_GBK" w:hAnsi="方正黑体_GBK" w:cs="宋体" w:eastAsia="方正黑体_GBK"/>
                <w:sz w:val="18"/>
                <w:b/>
                <w:szCs w:val="18"/>
              </w:rPr>
              <w:t>C份额：固定管理费年化0.06%</w:t>
            </w:r>
          </w:p>
          <w:p>
            <w:pPr>
              <w:pStyle w:val="null10"/>
              <w:spacing w:lineRule="exact" w:line="200"/>
            </w:pPr>
            <w:r>
              <w:rPr>
                <w:rFonts w:ascii="方正黑体_GBK" w:hAnsi="方正黑体_GBK" w:cs="宋体" w:eastAsia="方正黑体_GBK"/>
                <w:sz w:val="18"/>
                <w:b/>
                <w:szCs w:val="18"/>
              </w:rPr>
              <w:t>F份额：固定管理费年化0.01%</w:t>
            </w:r>
          </w:p>
          <w:p>
            <w:pPr>
              <w:pStyle w:val="null10"/>
              <w:spacing w:lineRule="exact" w:line="200"/>
            </w:pPr>
            <w:r>
              <w:rPr>
                <w:rFonts w:ascii="方正黑体_GBK" w:hAnsi="方正黑体_GBK" w:cs="宋体" w:eastAsia="方正黑体_GBK"/>
                <w:sz w:val="18"/>
                <w:b/>
                <w:szCs w:val="18"/>
              </w:rPr>
              <w:t>J份额：固定管理费年化0.11%</w:t>
            </w:r>
          </w:p>
          <w:p>
            <w:pPr>
              <w:pStyle w:val="null10"/>
              <w:spacing w:lineRule="exact" w:line="200"/>
            </w:pPr>
            <w:r>
              <w:rPr>
                <w:rFonts w:ascii="方正黑体_GBK" w:hAnsi="方正黑体_GBK" w:cs="宋体" w:eastAsia="方正黑体_GBK"/>
                <w:sz w:val="18"/>
                <w:b/>
                <w:szCs w:val="18"/>
              </w:rPr>
              <w:t>L份额：固定管理费年化0.01%</w:t>
            </w:r>
          </w:p>
          <w:p>
            <w:pPr>
              <w:pStyle w:val="null10"/>
              <w:spacing w:lineRule="exact" w:line="200"/>
            </w:pPr>
            <w:r>
              <w:rPr>
                <w:rFonts w:ascii="方正黑体_GBK" w:hAnsi="方正黑体_GBK" w:cs="宋体" w:eastAsia="方正黑体_GBK"/>
                <w:sz w:val="18"/>
                <w:b/>
                <w:szCs w:val="18"/>
              </w:rPr>
              <w:t>B2份额：固定管理费年化0.01%</w:t>
            </w:r>
          </w:p>
          <w:p>
            <w:pPr>
              <w:pStyle w:val="null10"/>
              <w:spacing w:lineRule="exact" w:line="200"/>
            </w:pPr>
            <w:r>
              <w:rPr>
                <w:rFonts w:ascii="方正黑体_GBK" w:hAnsi="方正黑体_GBK" w:cs="宋体" w:eastAsia="方正黑体_GBK"/>
                <w:sz w:val="18"/>
                <w:b/>
                <w:szCs w:val="18"/>
              </w:rPr>
              <w:t>C2份额：固定管理费年化0.01%</w:t>
            </w:r>
          </w:p>
          <w:p>
            <w:pPr>
              <w:pStyle w:val="null10"/>
              <w:spacing w:lineRule="exact" w:line="200"/>
            </w:pPr>
            <w:r>
              <w:rPr>
                <w:rFonts w:ascii="方正黑体_GBK" w:hAnsi="方正黑体_GBK" w:cs="宋体" w:eastAsia="方正黑体_GBK"/>
                <w:sz w:val="18"/>
                <w:b/>
                <w:szCs w:val="18"/>
              </w:rPr>
              <w:t>Q份额：固定管理费年化0.06%</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B2份额：到期兑付时，当期产品投资的实际资产组合收益（扣除销售费、固定管理费、托管费等相关费用）超过1.95%（年化，即产品该份额对应的业绩报酬计提基准）时，超过部分管理人将按60%收取业绩报酬。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C2份额：到期兑付时，当期产品投资的实际资产组合收益（扣除销售费、固定管理费、托管费等相关费用）超过2.05%（年化，即产品该份额对应的业绩报酬计提基准）时，超过部分管理人将按60%收取业绩报酬。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永丰银行（中国）有限公司、海南农村商业银行股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fe5c067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5b4d1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5b4d1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5b4d1e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5b4d1e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5b4d1e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5b4d1e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5b4d1e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5b4d1e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南银理财珠联璧合鑫逸稳半年187期封闭式公募人民币理财产品</w:t>
      </w:r>
      <w:r>
        <w:rPr>
          <w:rFonts w:ascii="方正黑体_GBK" w:eastAsia="方正黑体_GBK" w:hint="eastAsia" w:hAnsi="方正黑体_GBK"/>
          <w:vanish w:val="0"/>
          <w:color w:val="3D3D3D"/>
          <w:kern w:val="0"/>
          <w:sz w:val="15"/>
          <w:szCs w:val="15"/>
        </w:rPr>
        <w:t>。</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5b4d1e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5b4d1e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5b4d1e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5b4d1e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2edd18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2edd18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2edd18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2edd18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2edd18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2edd184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5b4d1e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5b4d1e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5b4d1e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2edd184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fe5c067e"/>
        <w:keepNext w:val="0"/>
        <w:keepLines w:val="0"/>
        <w:pageBreakBefore w:val="0"/>
        <w:widowControl/>
        <w:suppressLineNumbers w:val="0"/>
        <w:suppressAutoHyphens w:val="0"/>
        <w:spacing w:line="200" w:lineRule="exact"/>
        <w:ind w:firstLineChars="200" w:firstLine="300"/>
        <w:rPr>
          <w:rStyle w:val="2edd184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fe5c067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fe5c067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fe5c067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fe5c067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fe5c06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fe5c067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2"/>
  </w:num>
  <w:num w:numId="2">
    <w:abstractNumId w:val="3"/>
  </w:num>
  <w:num w:numId="3">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5db201d">
    <w:name w:val="Normalb5db201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c834be0">
    <w:name w:val="heading 1fc834be0"/>
    <w:basedOn w:val="b5db201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730e5be">
    <w:name w:val="heading 23730e5be"/>
    <w:basedOn w:val="b5db201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686655e">
    <w:name w:val="heading 39686655e"/>
    <w:basedOn w:val="b5db201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e264e0b">
    <w:name w:val="Default Paragraph Font9e264e0b"/>
  </w:style>
  <w:style xmlns:r="http://schemas.openxmlformats.org/officeDocument/2006/relationships" w:type="paragraph" w:styleId="d64cf1be">
    <w:name w:val="toc 1d64cf1be"/>
    <w:basedOn w:val="b5db201d"/>
    <w:autoRedefine/>
    <w:next w:val="0"/>
  </w:style>
  <w:style xmlns:r="http://schemas.openxmlformats.org/officeDocument/2006/relationships" w:type="paragraph" w:styleId="23032197">
    <w:name w:val="toc 223032197"/>
    <w:basedOn w:val="b5db201d"/>
    <w:autoRedefine/>
    <w:next w:val="0"/>
    <w:pPr>
      <w:ind w:left="420"/>
    </w:pPr>
  </w:style>
  <w:style xmlns:r="http://schemas.openxmlformats.org/officeDocument/2006/relationships" w:type="paragraph" w:styleId="ae4976e2">
    <w:name w:val="toc 3ae4976e2"/>
    <w:basedOn w:val="b5db201d"/>
    <w:autoRedefine/>
    <w:next w:val="0"/>
    <w:pPr>
      <w:ind w:left="840"/>
    </w:pPr>
  </w:style>
  <w:style xmlns:r="http://schemas.openxmlformats.org/officeDocument/2006/relationships" w:type="paragraph" w:styleId="5aa15bcf">
    <w:name w:val="toc 45aa15bcf"/>
    <w:basedOn w:val="b5db201d"/>
    <w:autoRedefine/>
    <w:next w:val="0"/>
    <w:pPr>
      <w:ind w:left="1260"/>
    </w:pPr>
  </w:style>
  <w:style xmlns:r="http://schemas.openxmlformats.org/officeDocument/2006/relationships" w:type="paragraph" w:styleId="63147d37">
    <w:name w:val="toc 563147d37"/>
    <w:basedOn w:val="b5db201d"/>
    <w:autoRedefine/>
    <w:next w:val="0"/>
    <w:pPr>
      <w:ind w:left="1680"/>
    </w:pPr>
  </w:style>
  <w:style xmlns:r="http://schemas.openxmlformats.org/officeDocument/2006/relationships" w:type="paragraph" w:styleId="f81e13cd">
    <w:name w:val="headerf81e13cd"/>
    <w:basedOn w:val="b5db201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77db075">
    <w:name w:val="footer677db075"/>
    <w:basedOn w:val="b5db201d"/>
    <w:pPr>
      <w:tabs>
        <w:tab w:val="center" w:pos="4153"/>
        <w:tab w:val="right" w:pos="8307"/>
      </w:tabs>
      <w:adjustRightInd/>
      <w:snapToGrid w:val="0"/>
      <w:contextualSpacing w:val="0"/>
      <w:jc w:val="left"/>
    </w:pPr>
    <w:rPr>
      <w:sz w:val="18"/>
    </w:rPr>
  </w:style>
  <w:style xmlns:r="http://schemas.openxmlformats.org/officeDocument/2006/relationships" w:type="character" w:styleId="74a7b658">
    <w:name w:val="Strong74a7b658"/>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e5c067e">
    <w:name w:val="Normalfe5c067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da07acf4">
    <w:name w:val="heading 1da07acf4"/>
    <w:basedOn w:val="fe5c067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5f72ef2">
    <w:name w:val="heading 215f72ef2"/>
    <w:basedOn w:val="fe5c067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b1bdb00">
    <w:name w:val="heading 31b1bdb00"/>
    <w:basedOn w:val="fe5c067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7d3801d">
    <w:name w:val="Default Paragraph Fontc7d3801d"/>
  </w:style>
  <w:style xmlns:r="http://schemas.openxmlformats.org/officeDocument/2006/relationships" w:type="paragraph" w:styleId="de9c6404">
    <w:name w:val="Normal Indentde9c6404"/>
    <w:basedOn w:val="fe5c067e"/>
    <w:pPr>
      <w:ind w:firstLineChars="200" w:firstLine="200"/>
    </w:pPr>
  </w:style>
  <w:style xmlns:r="http://schemas.openxmlformats.org/officeDocument/2006/relationships" w:type="paragraph" w:styleId="78f02d9a">
    <w:name w:val="toc 578f02d9a"/>
    <w:basedOn w:val="fe5c067e"/>
    <w:next w:val="0"/>
    <w:pPr>
      <w:ind w:left="1680"/>
    </w:pPr>
  </w:style>
  <w:style xmlns:r="http://schemas.openxmlformats.org/officeDocument/2006/relationships" w:type="paragraph" w:styleId="c91d642f">
    <w:name w:val="toc 3c91d642f"/>
    <w:basedOn w:val="fe5c067e"/>
    <w:next w:val="0"/>
    <w:pPr>
      <w:ind w:left="840"/>
    </w:pPr>
  </w:style>
  <w:style xmlns:r="http://schemas.openxmlformats.org/officeDocument/2006/relationships" w:type="paragraph" w:styleId="f23c4754">
    <w:name w:val="footerf23c4754"/>
    <w:basedOn w:val="fe5c067e"/>
    <w:pPr>
      <w:tabs>
        <w:tab w:val="center" w:pos="4153"/>
        <w:tab w:val="right" w:pos="8307"/>
      </w:tabs>
      <w:adjustRightInd/>
      <w:snapToGrid w:val="0"/>
      <w:contextualSpacing w:val="0"/>
      <w:jc w:val="left"/>
    </w:pPr>
    <w:rPr>
      <w:sz w:val="18"/>
    </w:rPr>
  </w:style>
  <w:style xmlns:r="http://schemas.openxmlformats.org/officeDocument/2006/relationships" w:type="paragraph" w:styleId="772e8dc4">
    <w:name w:val="header772e8dc4"/>
    <w:basedOn w:val="fe5c067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880f615">
    <w:name w:val="toc 11880f615"/>
    <w:basedOn w:val="fe5c067e"/>
    <w:next w:val="0"/>
  </w:style>
  <w:style xmlns:r="http://schemas.openxmlformats.org/officeDocument/2006/relationships" w:type="paragraph" w:styleId="5982444b">
    <w:name w:val="toc 45982444b"/>
    <w:basedOn w:val="fe5c067e"/>
    <w:next w:val="0"/>
    <w:pPr>
      <w:ind w:left="1260"/>
    </w:pPr>
  </w:style>
  <w:style xmlns:r="http://schemas.openxmlformats.org/officeDocument/2006/relationships" w:type="paragraph" w:styleId="42800f3e">
    <w:name w:val="toc 242800f3e"/>
    <w:basedOn w:val="fe5c067e"/>
    <w:next w:val="0"/>
    <w:pPr>
      <w:ind w:left="420"/>
    </w:pPr>
  </w:style>
  <w:style xmlns:r="http://schemas.openxmlformats.org/officeDocument/2006/relationships" w:type="paragraph" w:styleId="20def012">
    <w:name w:val="Normal (Web)20def01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5b4d1ea">
    <w:name w:val="Normal05b4d1ea05b4d1e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1248f7e">
    <w:name w:val="heading 121248f7e21248f7e"/>
    <w:basedOn w:val="05b4d1e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e1c9d0f">
    <w:name w:val="heading 26e1c9d0f6e1c9d0f"/>
    <w:basedOn w:val="05b4d1e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c5cf4e3">
    <w:name w:val="heading 33c5cf4e33c5cf4e3"/>
    <w:basedOn w:val="05b4d1e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2eeda94">
    <w:name w:val="Default Paragraph Fontf2eeda94f2eeda94"/>
  </w:style>
  <w:style xmlns:r="http://schemas.openxmlformats.org/officeDocument/2006/relationships" w:type="paragraph" w:customStyle="1" w:styleId="5b35ecbf">
    <w:name w:val="引文目录15b35ecbf5b35ecbf"/>
    <w:basedOn w:val="05b4d1ea"/>
    <w:next w:val="0"/>
    <w:pPr>
      <w:ind w:leftChars="200" w:left="200"/>
    </w:pPr>
  </w:style>
  <w:style xmlns:r="http://schemas.openxmlformats.org/officeDocument/2006/relationships" w:type="paragraph" w:styleId="f2245a20">
    <w:name w:val="toc 5f2245a20f2245a20"/>
    <w:basedOn w:val="05b4d1ea"/>
    <w:next w:val="0"/>
    <w:pPr>
      <w:ind w:left="1680"/>
    </w:pPr>
  </w:style>
  <w:style xmlns:r="http://schemas.openxmlformats.org/officeDocument/2006/relationships" w:type="paragraph" w:styleId="a3f8af0d">
    <w:name w:val="toc 3a3f8af0da3f8af0d"/>
    <w:basedOn w:val="05b4d1ea"/>
    <w:next w:val="0"/>
    <w:pPr>
      <w:ind w:left="840"/>
    </w:pPr>
  </w:style>
  <w:style xmlns:r="http://schemas.openxmlformats.org/officeDocument/2006/relationships" w:type="paragraph" w:styleId="1e31ff22">
    <w:name w:val="footer1e31ff221e31ff22"/>
    <w:basedOn w:val="05b4d1ea"/>
    <w:pPr>
      <w:tabs>
        <w:tab w:val="center" w:pos="4153"/>
        <w:tab w:val="right" w:pos="8307"/>
      </w:tabs>
      <w:adjustRightInd/>
      <w:snapToGrid w:val="0"/>
      <w:contextualSpacing w:val="0"/>
      <w:jc w:val="left"/>
    </w:pPr>
    <w:rPr>
      <w:sz w:val="18"/>
    </w:rPr>
  </w:style>
  <w:style xmlns:r="http://schemas.openxmlformats.org/officeDocument/2006/relationships" w:type="paragraph" w:styleId="e5fab67c">
    <w:name w:val="headere5fab67ce5fab67c"/>
    <w:basedOn w:val="05b4d1e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421d99f">
    <w:name w:val="toc 1e421d99fe421d99f"/>
    <w:basedOn w:val="05b4d1ea"/>
    <w:next w:val="0"/>
  </w:style>
  <w:style xmlns:r="http://schemas.openxmlformats.org/officeDocument/2006/relationships" w:type="paragraph" w:styleId="c6a3c388">
    <w:name w:val="toc 4c6a3c388c6a3c388"/>
    <w:basedOn w:val="05b4d1ea"/>
    <w:next w:val="0"/>
    <w:pPr>
      <w:ind w:left="1260"/>
    </w:pPr>
  </w:style>
  <w:style xmlns:r="http://schemas.openxmlformats.org/officeDocument/2006/relationships" w:type="paragraph" w:styleId="083bd34c">
    <w:name w:val="toc 2083bd34c083bd34c"/>
    <w:basedOn w:val="05b4d1ea"/>
    <w:next w:val="0"/>
    <w:pPr>
      <w:ind w:left="420"/>
    </w:pPr>
  </w:style>
  <w:style xmlns:r="http://schemas.openxmlformats.org/officeDocument/2006/relationships" w:type="paragraph" w:customStyle="1" w:styleId="2edd1848">
    <w:name w:val="列出段落12edd18482edd184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