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恒源鑫泰固收增强最短持有30天</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r>
        <w:rPr>
          <w:rFonts w:hint="eastAsia" w:ascii="楷体" w:hAnsi="楷体" w:eastAsia="楷体"/>
          <w:b/>
          <w:bCs w:val="0"/>
          <w:color w:val="auto"/>
          <w:sz w:val="21"/>
          <w:szCs w:val="21"/>
          <w:highlight w:val="non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资产管理计划或</w:t>
      </w:r>
      <w:r>
        <w:rPr>
          <w:rFonts w:hint="eastAsia" w:ascii="楷体" w:hAnsi="楷体" w:eastAsia="楷体"/>
          <w:color w:val="auto"/>
          <w:sz w:val="21"/>
          <w:szCs w:val="21"/>
          <w:lang w:val="en-US" w:eastAsia="zh-CN"/>
        </w:rPr>
        <w:t>基金产品</w:t>
      </w:r>
      <w:r>
        <w:rPr>
          <w:rFonts w:hint="eastAsia" w:ascii="楷体" w:hAnsi="楷体" w:eastAsia="楷体"/>
          <w:color w:val="auto"/>
          <w:sz w:val="21"/>
          <w:szCs w:val="21"/>
        </w:rPr>
        <w:t>的特殊风险</w:t>
      </w:r>
    </w:p>
    <w:p>
      <w:pPr>
        <w:numPr>
          <w:ilvl w:val="0"/>
          <w:numId w:val="0"/>
        </w:numPr>
        <w:tabs>
          <w:tab w:val="left" w:pos="742"/>
        </w:tabs>
        <w:ind w:firstLine="420" w:firstLineChars="200"/>
        <w:rPr>
          <w:rFonts w:hint="eastAsia" w:ascii="楷体" w:hAnsi="楷体" w:eastAsia="楷体"/>
          <w:b/>
          <w:bCs/>
          <w:color w:val="auto"/>
          <w:sz w:val="21"/>
          <w:szCs w:val="21"/>
          <w:lang w:val="en-US" w:eastAsia="zh-CN"/>
        </w:rPr>
      </w:pPr>
      <w:r>
        <w:rPr>
          <w:rFonts w:hint="eastAsia" w:ascii="楷体" w:hAnsi="楷体" w:eastAsia="楷体" w:cs="楷体"/>
          <w:color w:val="auto"/>
          <w:sz w:val="21"/>
          <w:szCs w:val="21"/>
        </w:rPr>
        <w:t>①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②资产管理计划或基金产品可能出现因为某种原因而被提前终止的情况，由此可能会造成对本理财产品投资收益的影响。③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w:t>
      </w:r>
      <w:r>
        <w:rPr>
          <w:rFonts w:hint="eastAsia" w:ascii="楷体" w:hAnsi="楷体" w:eastAsia="楷体" w:cs="楷体"/>
          <w:color w:val="auto"/>
          <w:sz w:val="21"/>
          <w:szCs w:val="21"/>
          <w:lang w:val="en-US" w:eastAsia="zh-CN"/>
        </w:rPr>
        <w:t>销售文件</w:t>
      </w:r>
      <w:r>
        <w:rPr>
          <w:rFonts w:hint="eastAsia" w:ascii="楷体" w:hAnsi="楷体" w:eastAsia="楷体" w:cs="楷体"/>
          <w:color w:val="auto"/>
          <w:sz w:val="21"/>
          <w:szCs w:val="21"/>
        </w:rPr>
        <w:t>约定的投资范围，导致本理财产品项下委托财产的损失等风险。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w:t>
      </w:r>
      <w:r>
        <w:rPr>
          <w:rFonts w:hint="eastAsia" w:ascii="楷体" w:hAnsi="楷体" w:eastAsia="楷体" w:cs="Calibri"/>
          <w:b/>
          <w:color w:val="auto"/>
          <w:sz w:val="21"/>
          <w:szCs w:val="21"/>
          <w:highlight w:val="none"/>
          <w:u w:val="single"/>
          <w:lang w:val="en-US" w:eastAsia="zh-CN"/>
        </w:rPr>
        <w:t>开放</w:t>
      </w:r>
      <w:r>
        <w:rPr>
          <w:rFonts w:hint="eastAsia" w:ascii="楷体" w:hAnsi="楷体" w:eastAsia="楷体" w:cs="Calibri"/>
          <w:b/>
          <w:color w:val="auto"/>
          <w:sz w:val="21"/>
          <w:szCs w:val="21"/>
          <w:highlight w:val="none"/>
          <w:u w:val="single"/>
        </w:rPr>
        <w:t>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9D0212"/>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402EB"/>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A71043"/>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E1CB4"/>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2025-08-26T06:28:46Z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