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21D72" w14:textId="77777777" w:rsidR="007E6995" w:rsidRDefault="00384441">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14:paraId="3AD0801F" w14:textId="77777777" w:rsidR="007E6995" w:rsidRDefault="007E6995">
      <w:pPr>
        <w:spacing w:line="300" w:lineRule="exact"/>
        <w:ind w:firstLine="480"/>
        <w:rPr>
          <w:rFonts w:ascii="Times New Roman" w:eastAsia="楷体_GB2312" w:hAnsi="Times New Roman" w:cs="Times New Roman"/>
          <w:sz w:val="20"/>
          <w:szCs w:val="20"/>
        </w:rPr>
      </w:pPr>
    </w:p>
    <w:p w14:paraId="6BCFF9B4" w14:textId="77777777" w:rsidR="007E6995" w:rsidRDefault="00384441">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14:paraId="24AB636E" w14:textId="77777777" w:rsidR="007E6995" w:rsidRDefault="00384441">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14:paraId="5E12424F" w14:textId="77777777" w:rsidR="007E6995" w:rsidRDefault="007E6995">
      <w:pPr>
        <w:spacing w:line="300" w:lineRule="exact"/>
        <w:ind w:firstLine="480"/>
        <w:rPr>
          <w:rFonts w:ascii="Times New Roman" w:eastAsia="楷体_GB2312" w:hAnsi="Times New Roman" w:cs="Times New Roman"/>
          <w:sz w:val="20"/>
          <w:szCs w:val="20"/>
        </w:rPr>
      </w:pPr>
    </w:p>
    <w:p w14:paraId="7D86B83F" w14:textId="77777777" w:rsidR="007E6995" w:rsidRDefault="00384441">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14:paraId="6B5CC627" w14:textId="77777777" w:rsidR="007E6995" w:rsidRDefault="007E6995">
      <w:pPr>
        <w:spacing w:line="300" w:lineRule="exact"/>
        <w:ind w:firstLine="480"/>
        <w:rPr>
          <w:rFonts w:ascii="Times New Roman" w:eastAsia="楷体_GB2312" w:hAnsi="Times New Roman" w:cs="Times New Roman"/>
          <w:b/>
          <w:bCs/>
          <w:sz w:val="20"/>
          <w:szCs w:val="20"/>
        </w:rPr>
      </w:pPr>
    </w:p>
    <w:p w14:paraId="34574A24" w14:textId="77777777" w:rsidR="007E6995" w:rsidRDefault="00384441">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14:paraId="13C4074B"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14:paraId="62589545"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14:paraId="7B636DC7"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14:paraId="612ABF66" w14:textId="77777777" w:rsidR="007E6995" w:rsidRDefault="007E6995">
      <w:pPr>
        <w:spacing w:line="300" w:lineRule="exact"/>
        <w:ind w:firstLine="480"/>
        <w:rPr>
          <w:rFonts w:ascii="Times New Roman" w:eastAsia="楷体_GB2312" w:hAnsi="Times New Roman" w:cs="Times New Roman"/>
          <w:b/>
          <w:bCs/>
          <w:sz w:val="20"/>
          <w:szCs w:val="20"/>
        </w:rPr>
      </w:pPr>
    </w:p>
    <w:p w14:paraId="307752D8"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14:paraId="6CB20381"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7E6995" w14:paraId="575CC221" w14:textId="77777777">
        <w:tc>
          <w:tcPr>
            <w:tcW w:w="3537" w:type="pct"/>
            <w:vAlign w:val="center"/>
          </w:tcPr>
          <w:p w14:paraId="043D604E" w14:textId="77777777" w:rsidR="007E6995" w:rsidRDefault="00384441">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14:paraId="41A44E4D" w14:textId="77777777" w:rsidR="007E6995" w:rsidRDefault="00384441">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7E6995" w14:paraId="50AE232B" w14:textId="77777777">
        <w:tc>
          <w:tcPr>
            <w:tcW w:w="3537" w:type="pct"/>
            <w:vAlign w:val="center"/>
          </w:tcPr>
          <w:p w14:paraId="1C9043E2"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14:paraId="6588EB0C"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100%</w:t>
            </w:r>
            <w:r>
              <w:rPr>
                <w:rFonts w:ascii="楷体" w:eastAsia="楷体" w:hAnsi="楷体" w:hint="eastAsia"/>
                <w:sz w:val="20"/>
                <w:szCs w:val="20"/>
              </w:rPr>
              <w:t>】</w:t>
            </w:r>
          </w:p>
        </w:tc>
      </w:tr>
      <w:tr w:rsidR="007E6995" w14:paraId="31E97EB4" w14:textId="77777777">
        <w:tc>
          <w:tcPr>
            <w:tcW w:w="3537" w:type="pct"/>
            <w:vAlign w:val="center"/>
          </w:tcPr>
          <w:p w14:paraId="43881378"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14:paraId="565FBD2E"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p>
        </w:tc>
      </w:tr>
      <w:tr w:rsidR="007E6995" w14:paraId="18F63803" w14:textId="77777777">
        <w:tc>
          <w:tcPr>
            <w:tcW w:w="3537" w:type="pct"/>
            <w:vAlign w:val="center"/>
          </w:tcPr>
          <w:p w14:paraId="65AE95EE"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14:paraId="75BAC3CB"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7E6995" w14:paraId="56540EA2" w14:textId="77777777">
        <w:tc>
          <w:tcPr>
            <w:tcW w:w="3537" w:type="pct"/>
            <w:vAlign w:val="center"/>
          </w:tcPr>
          <w:p w14:paraId="38CF88E8"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14:paraId="0CC40081"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7E6995" w14:paraId="3514AE68" w14:textId="77777777">
        <w:trPr>
          <w:trHeight w:val="56"/>
        </w:trPr>
        <w:tc>
          <w:tcPr>
            <w:tcW w:w="3537" w:type="pct"/>
            <w:vAlign w:val="center"/>
          </w:tcPr>
          <w:p w14:paraId="71C23869"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14:paraId="42FB1300" w14:textId="77777777" w:rsidR="007E6995" w:rsidRDefault="00384441">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bl>
    <w:p w14:paraId="7573A997"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14:paraId="713DEF94"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14:paraId="701CE5FE"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14:paraId="1FB02A66"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4575EE6"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14:paraId="66E08135"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DC9BE6C"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14:paraId="4F9B0BDA"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14:paraId="0A228324"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14:paraId="690DA07E"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14:paraId="4AD2E640"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7D81558"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14:paraId="57B7A09E"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99AA76" w14:textId="77777777" w:rsidR="007E6995" w:rsidRDefault="007E6995">
      <w:pPr>
        <w:spacing w:line="300" w:lineRule="exact"/>
        <w:ind w:firstLine="480"/>
        <w:rPr>
          <w:rFonts w:ascii="Times New Roman" w:eastAsia="楷体_GB2312" w:hAnsi="Times New Roman" w:cs="Times New Roman"/>
          <w:b/>
          <w:bCs/>
          <w:sz w:val="20"/>
          <w:szCs w:val="20"/>
        </w:rPr>
      </w:pPr>
    </w:p>
    <w:p w14:paraId="342D3B46" w14:textId="77777777" w:rsidR="007E6995" w:rsidRDefault="00384441">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14:paraId="4647AE11" w14:textId="77777777" w:rsidR="007E6995" w:rsidRDefault="007E6995">
      <w:pPr>
        <w:spacing w:line="300" w:lineRule="exact"/>
        <w:ind w:firstLine="480"/>
        <w:rPr>
          <w:rFonts w:ascii="Times New Roman" w:eastAsia="楷体_GB2312" w:hAnsi="Times New Roman" w:cs="Times New Roman"/>
          <w:b/>
          <w:bCs/>
          <w:sz w:val="20"/>
          <w:szCs w:val="20"/>
        </w:rPr>
      </w:pPr>
    </w:p>
    <w:p w14:paraId="46EDA083"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14:paraId="4D14D90A" w14:textId="77777777" w:rsidR="007E6995" w:rsidRDefault="007E6995">
      <w:pPr>
        <w:spacing w:line="300" w:lineRule="exact"/>
        <w:ind w:firstLine="480"/>
        <w:rPr>
          <w:rFonts w:ascii="Times New Roman" w:eastAsia="楷体_GB2312" w:hAnsi="Times New Roman" w:cs="Times New Roman"/>
          <w:b/>
          <w:bCs/>
          <w:sz w:val="20"/>
          <w:szCs w:val="20"/>
        </w:rPr>
      </w:pPr>
    </w:p>
    <w:p w14:paraId="25338F5E"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14:paraId="460FD174" w14:textId="77777777" w:rsidR="007E6995" w:rsidRDefault="00384441">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14:paraId="33D72089" w14:textId="77777777" w:rsidR="007E6995" w:rsidRDefault="007E6995">
      <w:pPr>
        <w:spacing w:line="300" w:lineRule="exact"/>
        <w:ind w:firstLine="480"/>
        <w:rPr>
          <w:rFonts w:ascii="Times New Roman" w:eastAsia="楷体_GB2312" w:hAnsi="Times New Roman" w:cs="Times New Roman"/>
          <w:b/>
          <w:bCs/>
          <w:sz w:val="20"/>
          <w:szCs w:val="20"/>
        </w:rPr>
      </w:pPr>
    </w:p>
    <w:p w14:paraId="67E333D8" w14:textId="77777777" w:rsidR="007E6995" w:rsidRDefault="00384441">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14:paraId="1248C41B"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0C980319"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EBB8DE7"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14:paraId="3C3FBD1F"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14:paraId="74471ECF"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14:paraId="6775CF27"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14:paraId="2D98F0FF"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14:paraId="5F623AB4"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567303F3"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14:paraId="156B6516"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F0801AF" w14:textId="77777777" w:rsidR="007E6995" w:rsidRDefault="007E6995">
      <w:pPr>
        <w:spacing w:line="300" w:lineRule="exact"/>
        <w:ind w:firstLine="480"/>
        <w:rPr>
          <w:rFonts w:ascii="Times New Roman" w:eastAsia="楷体_GB2312" w:hAnsi="Times New Roman" w:cs="Times New Roman"/>
          <w:b/>
          <w:bCs/>
          <w:sz w:val="20"/>
          <w:szCs w:val="20"/>
        </w:rPr>
      </w:pPr>
    </w:p>
    <w:p w14:paraId="5411AE5E" w14:textId="77777777" w:rsidR="007E6995" w:rsidRDefault="00384441">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14:paraId="455B40E3"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8D51E27"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14:paraId="51356F37" w14:textId="77777777" w:rsidR="007E6995" w:rsidRDefault="007E6995">
      <w:pPr>
        <w:spacing w:line="300" w:lineRule="exact"/>
        <w:ind w:firstLine="480"/>
        <w:rPr>
          <w:rFonts w:ascii="Times New Roman" w:eastAsia="楷体_GB2312" w:hAnsi="Times New Roman" w:cs="Times New Roman"/>
          <w:b/>
          <w:bCs/>
          <w:sz w:val="20"/>
          <w:szCs w:val="20"/>
        </w:rPr>
      </w:pPr>
    </w:p>
    <w:p w14:paraId="02F2A845" w14:textId="77777777" w:rsidR="007E6995" w:rsidRDefault="00384441">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14:paraId="322E1A56" w14:textId="77777777" w:rsidR="007E6995" w:rsidRDefault="00384441">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14:paraId="09F86641" w14:textId="77777777" w:rsidR="007E6995" w:rsidRDefault="007E6995">
      <w:pPr>
        <w:spacing w:line="300" w:lineRule="exact"/>
        <w:ind w:firstLine="480"/>
        <w:rPr>
          <w:rFonts w:ascii="Times New Roman" w:eastAsia="楷体_GB2312" w:hAnsi="Times New Roman" w:cs="Times New Roman"/>
          <w:b/>
          <w:bCs/>
          <w:sz w:val="20"/>
          <w:szCs w:val="20"/>
        </w:rPr>
      </w:pPr>
    </w:p>
    <w:p w14:paraId="2DB522B9" w14:textId="77777777" w:rsidR="007E6995" w:rsidRDefault="00384441">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14:paraId="1901D6A5" w14:textId="77777777" w:rsidR="007E6995" w:rsidRDefault="00384441">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w:t>
      </w:r>
      <w:proofErr w:type="gramStart"/>
      <w:r>
        <w:rPr>
          <w:rFonts w:ascii="Times New Roman" w:eastAsia="楷体_GB2312" w:hAnsi="Times New Roman" w:cs="Times New Roman" w:hint="eastAsia"/>
          <w:b/>
          <w:bCs/>
          <w:sz w:val="20"/>
          <w:szCs w:val="20"/>
        </w:rPr>
        <w:t>导致信银</w:t>
      </w:r>
      <w:proofErr w:type="gramEnd"/>
      <w:r>
        <w:rPr>
          <w:rFonts w:ascii="Times New Roman" w:eastAsia="楷体_GB2312" w:hAnsi="Times New Roman" w:cs="Times New Roman" w:hint="eastAsia"/>
          <w:b/>
          <w:bCs/>
          <w:sz w:val="20"/>
          <w:szCs w:val="20"/>
        </w:rPr>
        <w:t>理财无法或延后履行本协议及《信银理财理财产品产品说明书》有关义务的，</w:t>
      </w:r>
      <w:proofErr w:type="gramStart"/>
      <w:r>
        <w:rPr>
          <w:rFonts w:ascii="Times New Roman" w:eastAsia="楷体_GB2312" w:hAnsi="Times New Roman" w:cs="Times New Roman" w:hint="eastAsia"/>
          <w:b/>
          <w:bCs/>
          <w:sz w:val="20"/>
          <w:szCs w:val="20"/>
        </w:rPr>
        <w:t>信银理财</w:t>
      </w:r>
      <w:proofErr w:type="gramEnd"/>
      <w:r>
        <w:rPr>
          <w:rFonts w:ascii="Times New Roman" w:eastAsia="楷体_GB2312" w:hAnsi="Times New Roman" w:cs="Times New Roman" w:hint="eastAsia"/>
          <w:b/>
          <w:bCs/>
          <w:sz w:val="20"/>
          <w:szCs w:val="20"/>
        </w:rPr>
        <w:t>不承担责任，但</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故意或重大过失造成的系统故障、通讯故障的除外。前述约定</w:t>
      </w:r>
      <w:proofErr w:type="gramStart"/>
      <w:r>
        <w:rPr>
          <w:rFonts w:ascii="Times New Roman" w:eastAsia="楷体_GB2312" w:hAnsi="Times New Roman" w:cs="Times New Roman" w:hint="eastAsia"/>
          <w:b/>
          <w:bCs/>
          <w:sz w:val="20"/>
          <w:szCs w:val="20"/>
        </w:rPr>
        <w:t>不</w:t>
      </w:r>
      <w:proofErr w:type="gramEnd"/>
      <w:r>
        <w:rPr>
          <w:rFonts w:ascii="Times New Roman" w:eastAsia="楷体_GB2312" w:hAnsi="Times New Roman" w:cs="Times New Roman" w:hint="eastAsia"/>
          <w:b/>
          <w:bCs/>
          <w:sz w:val="20"/>
          <w:szCs w:val="20"/>
        </w:rPr>
        <w:t>免除</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14:paraId="197773DA" w14:textId="77777777" w:rsidR="007E6995" w:rsidRDefault="007E6995">
      <w:pPr>
        <w:spacing w:line="300" w:lineRule="exact"/>
        <w:ind w:firstLine="480"/>
        <w:rPr>
          <w:rFonts w:ascii="Times New Roman" w:eastAsia="楷体_GB2312" w:hAnsi="Times New Roman" w:cs="Times New Roman"/>
          <w:b/>
          <w:bCs/>
          <w:sz w:val="20"/>
          <w:szCs w:val="20"/>
        </w:rPr>
      </w:pPr>
    </w:p>
    <w:p w14:paraId="76943DB2" w14:textId="77777777" w:rsidR="007E6995" w:rsidRDefault="00384441">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14:paraId="300FD9FD" w14:textId="77777777" w:rsidR="007E6995" w:rsidRDefault="00384441">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14:paraId="6B2A905B" w14:textId="77777777" w:rsidR="007E6995" w:rsidRDefault="00384441">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AF0DDE8" w14:textId="77777777" w:rsidR="007E6995" w:rsidRDefault="00384441">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w:t>
      </w:r>
      <w:proofErr w:type="gramStart"/>
      <w:r>
        <w:rPr>
          <w:rFonts w:ascii="Times New Roman" w:eastAsia="楷体_GB2312" w:hAnsi="Times New Roman" w:cs="Times New Roman" w:hint="eastAsia"/>
          <w:b/>
          <w:bCs/>
          <w:sz w:val="20"/>
          <w:szCs w:val="20"/>
        </w:rPr>
        <w:t>部涉及</w:t>
      </w:r>
      <w:proofErr w:type="gramEnd"/>
      <w:r>
        <w:rPr>
          <w:rFonts w:ascii="Times New Roman" w:eastAsia="楷体_GB2312" w:hAnsi="Times New Roman" w:cs="Times New Roman" w:hint="eastAsia"/>
          <w:b/>
          <w:bCs/>
          <w:sz w:val="20"/>
          <w:szCs w:val="20"/>
        </w:rPr>
        <w:t>争议部分的条款，双方仍须履行。</w:t>
      </w:r>
    </w:p>
    <w:p w14:paraId="16A43A6E" w14:textId="77777777" w:rsidR="007E6995" w:rsidRDefault="007E6995">
      <w:pPr>
        <w:spacing w:line="300" w:lineRule="exact"/>
        <w:ind w:firstLine="480"/>
        <w:rPr>
          <w:rFonts w:ascii="Times New Roman" w:eastAsia="楷体_GB2312" w:hAnsi="Times New Roman" w:cs="Times New Roman"/>
          <w:b/>
          <w:sz w:val="20"/>
          <w:szCs w:val="20"/>
        </w:rPr>
      </w:pPr>
    </w:p>
    <w:p w14:paraId="657DE804" w14:textId="77777777" w:rsidR="007E6995" w:rsidRDefault="00384441">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14:paraId="2A3AE062" w14:textId="77777777" w:rsidR="007E6995" w:rsidRDefault="00384441">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Pr>
          <w:rFonts w:ascii="Times New Roman" w:eastAsia="楷体_GB2312" w:hAnsi="Times New Roman" w:cs="Times New Roman" w:hint="eastAsia"/>
          <w:b/>
          <w:sz w:val="20"/>
          <w:szCs w:val="20"/>
        </w:rPr>
        <w:t>勾选且</w:t>
      </w:r>
      <w:proofErr w:type="gramEnd"/>
      <w:r>
        <w:rPr>
          <w:rFonts w:ascii="Times New Roman" w:eastAsia="楷体_GB2312" w:hAnsi="Times New Roman" w:cs="Times New Roman" w:hint="eastAsia"/>
          <w:b/>
          <w:sz w:val="20"/>
          <w:szCs w:val="20"/>
        </w:rPr>
        <w:t>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2FBEDDE7" w14:textId="77777777" w:rsidR="007E6995" w:rsidRDefault="00384441">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4853B9A3" w14:textId="77777777" w:rsidR="007E6995" w:rsidRDefault="00384441">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w:t>
      </w:r>
      <w:proofErr w:type="gramStart"/>
      <w:r>
        <w:rPr>
          <w:rFonts w:ascii="Times New Roman" w:eastAsia="楷体_GB2312" w:hAnsi="Times New Roman" w:cs="Times New Roman" w:hint="eastAsia"/>
          <w:b/>
          <w:sz w:val="20"/>
          <w:szCs w:val="20"/>
        </w:rPr>
        <w:t>可</w:t>
      </w:r>
      <w:proofErr w:type="gramEnd"/>
      <w:r>
        <w:rPr>
          <w:rFonts w:ascii="Times New Roman" w:eastAsia="楷体_GB2312" w:hAnsi="Times New Roman" w:cs="Times New Roman" w:hint="eastAsia"/>
          <w:b/>
          <w:sz w:val="20"/>
          <w:szCs w:val="20"/>
        </w:rPr>
        <w:t>执行性不受影响。</w:t>
      </w:r>
    </w:p>
    <w:p w14:paraId="4F05906F" w14:textId="77777777" w:rsidR="007E6995" w:rsidRDefault="007E6995">
      <w:pPr>
        <w:spacing w:line="300" w:lineRule="exact"/>
        <w:rPr>
          <w:rFonts w:ascii="Times New Roman" w:eastAsia="楷体_GB2312" w:hAnsi="Times New Roman" w:cs="Times New Roman"/>
          <w:sz w:val="20"/>
          <w:szCs w:val="20"/>
        </w:rPr>
      </w:pPr>
    </w:p>
    <w:p w14:paraId="2382D395" w14:textId="77777777" w:rsidR="007E6995" w:rsidRDefault="007E6995">
      <w:pPr>
        <w:spacing w:line="300" w:lineRule="exact"/>
        <w:rPr>
          <w:rFonts w:ascii="Times New Roman" w:eastAsia="楷体_GB2312" w:hAnsi="Times New Roman" w:cs="Times New Roman"/>
          <w:sz w:val="20"/>
          <w:szCs w:val="20"/>
        </w:rPr>
      </w:pPr>
    </w:p>
    <w:p w14:paraId="6CFBCC20" w14:textId="77777777" w:rsidR="007E6995" w:rsidRDefault="00384441">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14:paraId="12D2CF07"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35624555"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3C5D0C7F" w14:textId="77777777" w:rsidR="007E6995" w:rsidRDefault="00384441">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p>
    <w:p w14:paraId="58B52C84" w14:textId="77777777" w:rsidR="007E6995" w:rsidRDefault="00384441">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14:paraId="3979AFA0"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160AB0A3"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0C5367A4" w14:textId="77777777" w:rsidR="007E6995" w:rsidRDefault="00384441">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14:paraId="76BBC23C"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33272020"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1C1778D3" w14:textId="77777777" w:rsidR="007E6995" w:rsidRDefault="00384441">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14:paraId="4B830866" w14:textId="77777777" w:rsidR="007E6995" w:rsidRDefault="007E6995">
      <w:pPr>
        <w:spacing w:line="300" w:lineRule="exact"/>
        <w:ind w:firstLineChars="300" w:firstLine="600"/>
        <w:rPr>
          <w:rFonts w:ascii="Times New Roman" w:eastAsia="楷体_GB2312" w:hAnsi="Times New Roman" w:cs="Times New Roman"/>
          <w:sz w:val="20"/>
          <w:szCs w:val="20"/>
        </w:rPr>
      </w:pPr>
    </w:p>
    <w:p w14:paraId="7CE61169" w14:textId="77777777" w:rsidR="007E6995" w:rsidRDefault="007E6995">
      <w:pPr>
        <w:spacing w:line="300" w:lineRule="exact"/>
        <w:rPr>
          <w:rFonts w:ascii="Times New Roman" w:eastAsia="楷体_GB2312" w:hAnsi="Times New Roman" w:cs="Times New Roman"/>
          <w:sz w:val="20"/>
          <w:szCs w:val="20"/>
        </w:rPr>
      </w:pPr>
    </w:p>
    <w:p w14:paraId="2136D99D" w14:textId="77777777" w:rsidR="007E6995" w:rsidRDefault="007E6995"/>
    <w:p w14:paraId="1500EA1D" w14:textId="77777777" w:rsidR="007E6995" w:rsidRDefault="007E6995">
      <w:pPr>
        <w:rPr>
          <w:rFonts w:ascii="黑体" w:eastAsia="黑体" w:hAnsi="楷体_GB2312" w:cs="黑体"/>
          <w:b/>
          <w:bCs/>
          <w:color w:val="000000" w:themeColor="text1"/>
        </w:rPr>
      </w:pPr>
    </w:p>
    <w:p w14:paraId="6FA6EB22" w14:textId="77777777" w:rsidR="007E6995" w:rsidRDefault="00384441">
      <w:pPr>
        <w:rPr>
          <w:rFonts w:ascii="黑体" w:eastAsia="黑体" w:hAnsi="楷体_GB2312" w:cs="黑体"/>
          <w:b/>
          <w:bCs/>
          <w:color w:val="000000" w:themeColor="text1"/>
        </w:rPr>
        <w:sectPr w:rsidR="007E6995">
          <w:headerReference w:type="default" r:id="rId8"/>
          <w:footerReference w:type="default" r:id="rId9"/>
          <w:pgSz w:w="11906" w:h="16838"/>
          <w:pgMar w:top="1440" w:right="1800" w:bottom="1440" w:left="1800" w:header="851" w:footer="992" w:gutter="0"/>
          <w:cols w:space="720"/>
          <w:docGrid w:linePitch="312"/>
        </w:sectPr>
      </w:pPr>
      <w:r>
        <w:rPr>
          <w:rFonts w:ascii="黑体" w:eastAsia="黑体" w:hAnsi="楷体_GB2312" w:cs="黑体"/>
          <w:b/>
          <w:bCs/>
          <w:color w:val="000000" w:themeColor="text1"/>
        </w:rPr>
        <w:br w:type="page"/>
      </w:r>
    </w:p>
    <w:p w14:paraId="0DD04E8C" w14:textId="77777777" w:rsidR="007E6995" w:rsidRDefault="00384441">
      <w:pPr>
        <w:spacing w:line="300" w:lineRule="exact"/>
        <w:ind w:leftChars="-342" w:left="-821" w:rightChars="-330" w:right="-792"/>
        <w:jc w:val="center"/>
        <w:rPr>
          <w:rFonts w:ascii="黑体" w:eastAsia="黑体" w:hAnsi="楷体_GB2312" w:cs="黑体"/>
          <w:b/>
          <w:bCs/>
          <w:color w:val="000000" w:themeColor="text1"/>
        </w:rPr>
      </w:pPr>
      <w:r>
        <w:rPr>
          <w:rFonts w:ascii="黑体" w:eastAsia="黑体" w:hAnsi="楷体_GB2312" w:cs="黑体" w:hint="eastAsia"/>
          <w:b/>
          <w:bCs/>
          <w:color w:val="000000" w:themeColor="text1"/>
        </w:rPr>
        <w:lastRenderedPageBreak/>
        <w:t>信银</w:t>
      </w:r>
      <w:proofErr w:type="gramStart"/>
      <w:r>
        <w:rPr>
          <w:rFonts w:ascii="黑体" w:eastAsia="黑体" w:hAnsi="楷体_GB2312" w:cs="黑体" w:hint="eastAsia"/>
          <w:b/>
          <w:bCs/>
          <w:color w:val="000000" w:themeColor="text1"/>
        </w:rPr>
        <w:t>理财理财</w:t>
      </w:r>
      <w:proofErr w:type="gramEnd"/>
      <w:r>
        <w:rPr>
          <w:rFonts w:ascii="黑体" w:eastAsia="黑体" w:hAnsi="楷体_GB2312" w:cs="黑体" w:hint="eastAsia"/>
          <w:b/>
          <w:bCs/>
          <w:color w:val="000000" w:themeColor="text1"/>
        </w:rPr>
        <w:t>产品风险揭示书</w:t>
      </w:r>
    </w:p>
    <w:p w14:paraId="0B61FC9F" w14:textId="77777777" w:rsidR="007E6995" w:rsidRDefault="00384441">
      <w:pPr>
        <w:spacing w:line="300" w:lineRule="exact"/>
        <w:ind w:leftChars="-342" w:left="-821" w:rightChars="-330" w:right="-792"/>
        <w:jc w:val="center"/>
        <w:rPr>
          <w:rFonts w:ascii="楷体_GB2312" w:eastAsia="楷体_GB2312"/>
          <w:color w:val="000000" w:themeColor="text1"/>
        </w:rPr>
      </w:pPr>
      <w:r>
        <w:rPr>
          <w:rFonts w:ascii="黑体" w:eastAsia="黑体"/>
          <w:b/>
          <w:bCs/>
          <w:color w:val="000000" w:themeColor="text1"/>
        </w:rPr>
        <w:t> </w:t>
      </w:r>
    </w:p>
    <w:p w14:paraId="4925163C" w14:textId="77777777" w:rsidR="007E6995" w:rsidRDefault="00384441">
      <w:pPr>
        <w:jc w:val="both"/>
        <w:rPr>
          <w:rFonts w:ascii="楷体_GB2312" w:eastAsia="楷体_GB2312"/>
          <w:color w:val="000000" w:themeColor="text1"/>
        </w:rPr>
      </w:pPr>
      <w:r>
        <w:rPr>
          <w:rFonts w:ascii="楷体_GB2312" w:eastAsia="楷体_GB2312" w:hAnsi="Arial" w:cs="楷体_GB2312" w:hint="eastAsia"/>
          <w:color w:val="000000" w:themeColor="text1"/>
        </w:rPr>
        <w:t>尊敬的客户：</w:t>
      </w:r>
      <w:r>
        <w:rPr>
          <w:rFonts w:ascii="楷体_GB2312" w:eastAsia="楷体_GB2312" w:hAnsi="Arial" w:cs="楷体_GB2312"/>
          <w:color w:val="000000" w:themeColor="text1"/>
        </w:rPr>
        <w:t xml:space="preserve"> </w:t>
      </w:r>
    </w:p>
    <w:p w14:paraId="2ED2D7A9" w14:textId="77777777" w:rsidR="007E6995" w:rsidRDefault="00384441">
      <w:pPr>
        <w:ind w:firstLineChars="200" w:firstLine="482"/>
        <w:jc w:val="both"/>
        <w:rPr>
          <w:b/>
          <w:color w:val="000000" w:themeColor="text1"/>
        </w:rPr>
      </w:pPr>
      <w:r>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F4004D0" w14:textId="77777777" w:rsidR="007E6995" w:rsidRDefault="00384441">
      <w:pPr>
        <w:ind w:firstLineChars="200" w:firstLine="482"/>
        <w:jc w:val="both"/>
        <w:rPr>
          <w:b/>
          <w:color w:val="000000" w:themeColor="text1"/>
        </w:rPr>
      </w:pPr>
      <w:r>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eastAsia="楷体_GB2312" w:hAnsi="Arial" w:cs="楷体_GB2312" w:hint="eastAsia"/>
          <w:b/>
          <w:bCs/>
          <w:color w:val="000000" w:themeColor="text1"/>
        </w:rPr>
        <w:t>。</w:t>
      </w:r>
    </w:p>
    <w:p w14:paraId="46055F40" w14:textId="77777777" w:rsidR="007E6995" w:rsidRDefault="00384441">
      <w:pPr>
        <w:ind w:firstLineChars="200" w:firstLine="480"/>
        <w:jc w:val="both"/>
        <w:rPr>
          <w:rFonts w:ascii="楷体_GB2312" w:eastAsia="楷体_GB2312" w:hAnsi="Arial" w:cs="楷体_GB2312"/>
          <w:color w:val="000000" w:themeColor="text1"/>
        </w:rPr>
      </w:pPr>
      <w:r>
        <w:rPr>
          <w:rFonts w:ascii="Arial" w:eastAsia="楷体_GB2312" w:hAnsi="Arial" w:cs="楷体_GB2312" w:hint="eastAsia"/>
          <w:color w:val="000000" w:themeColor="text1"/>
        </w:rPr>
        <w:t>本理财产品名称为</w:t>
      </w:r>
      <w:r>
        <w:rPr>
          <w:rFonts w:ascii="楷体_GB2312" w:eastAsia="楷体_GB2312" w:hAnsi="楷体_GB2312" w:cs="楷体_GB2312" w:hint="eastAsia"/>
          <w:b/>
          <w:bCs/>
          <w:color w:val="000000" w:themeColor="text1"/>
        </w:rPr>
        <w:t>【信银理财日盈象天天利212号现金管理型理财产品</w:t>
      </w:r>
      <w:r>
        <w:rPr>
          <w:rFonts w:ascii="楷体_GB2312" w:eastAsia="楷体_GB2312" w:hAnsi="楷体_GB2312" w:cs="楷体_GB2312"/>
          <w:b/>
          <w:bCs/>
          <w:color w:val="000000" w:themeColor="text1"/>
        </w:rPr>
        <w:t>】</w:t>
      </w:r>
      <w:r>
        <w:rPr>
          <w:rFonts w:ascii="楷体_GB2312" w:eastAsia="楷体_GB2312" w:hAnsi="Arial" w:cs="楷体_GB2312" w:hint="eastAsia"/>
          <w:color w:val="000000" w:themeColor="text1"/>
        </w:rPr>
        <w:t>，产品代码为【AM244162】，类型为公募、固定收益类、开放式产品，产品无固定期限，风险评级为【</w:t>
      </w:r>
      <w:r>
        <w:rPr>
          <w:rFonts w:ascii="楷体_GB2312" w:eastAsia="楷体_GB2312" w:hAnsi="Arial" w:cs="楷体_GB2312"/>
          <w:color w:val="000000" w:themeColor="text1"/>
        </w:rPr>
        <w:t>PR1</w:t>
      </w:r>
      <w:r>
        <w:rPr>
          <w:rFonts w:ascii="楷体_GB2312" w:eastAsia="楷体_GB2312" w:hAnsi="Arial" w:cs="楷体_GB2312" w:hint="eastAsia"/>
          <w:color w:val="000000" w:themeColor="text1"/>
        </w:rPr>
        <w:t>】，适合购买客户为风险承受能力为【谨慎型】及以上的客户。</w:t>
      </w:r>
      <w:r>
        <w:rPr>
          <w:rFonts w:ascii="楷体_GB2312" w:eastAsia="楷体_GB2312" w:hAnsi="Arial" w:hint="eastAsia"/>
          <w:color w:val="000000" w:themeColor="text1"/>
        </w:rPr>
        <w:t>固定收益类产品仅是按照投资性质分类，并非</w:t>
      </w:r>
      <w:proofErr w:type="gramStart"/>
      <w:r>
        <w:rPr>
          <w:rFonts w:ascii="楷体_GB2312" w:eastAsia="楷体_GB2312" w:hAnsi="Arial" w:hint="eastAsia"/>
          <w:color w:val="000000" w:themeColor="text1"/>
        </w:rPr>
        <w:t>指收益</w:t>
      </w:r>
      <w:proofErr w:type="gramEnd"/>
      <w:r>
        <w:rPr>
          <w:rFonts w:ascii="楷体_GB2312" w:eastAsia="楷体_GB2312" w:hAnsi="Arial" w:hint="eastAsia"/>
          <w:color w:val="000000" w:themeColor="text1"/>
        </w:rPr>
        <w:t>固定或保本。</w:t>
      </w:r>
    </w:p>
    <w:p w14:paraId="57240339" w14:textId="77777777" w:rsidR="007E6995" w:rsidRDefault="00384441">
      <w:pPr>
        <w:ind w:firstLineChars="200" w:firstLine="480"/>
        <w:jc w:val="both"/>
        <w:rPr>
          <w:rFonts w:ascii="楷体_GB2312" w:eastAsia="楷体_GB2312" w:hAnsi="Arial"/>
          <w:color w:val="000000" w:themeColor="text1"/>
        </w:rPr>
      </w:pPr>
      <w:r>
        <w:rPr>
          <w:rFonts w:ascii="黑体" w:eastAsia="黑体" w:hAnsi="Times New Roman" w:cs="黑体" w:hint="eastAsia"/>
          <w:color w:val="000000" w:themeColor="text1"/>
        </w:rPr>
        <w:t>重要提示</w:t>
      </w:r>
      <w:r>
        <w:rPr>
          <w:rFonts w:ascii="楷体_GB2312" w:eastAsia="楷体_GB2312" w:hAnsi="Arial" w:cs="楷体_GB2312" w:hint="eastAsia"/>
          <w:color w:val="000000" w:themeColor="text1"/>
        </w:rPr>
        <w:t>：</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作为本理财产品管理人承诺以诚实守信、勤勉尽职的原则管理和运用理财产品资金，但</w:t>
      </w:r>
      <w:r>
        <w:rPr>
          <w:rFonts w:ascii="楷体_GB2312" w:eastAsia="楷体_GB2312" w:hAnsi="Arial" w:cs="楷体_GB2312" w:hint="eastAsia"/>
          <w:b/>
          <w:color w:val="000000" w:themeColor="text1"/>
        </w:rPr>
        <w:t>不保证本金和收益，您可能因市场变动而损失全部本金且无法取得任何收益</w:t>
      </w:r>
      <w:r>
        <w:rPr>
          <w:rFonts w:ascii="楷体_GB2312" w:eastAsia="楷体_GB2312" w:hAnsi="Arial" w:cs="楷体_GB2312" w:hint="eastAsia"/>
          <w:color w:val="000000" w:themeColor="text1"/>
        </w:rPr>
        <w:t>。</w:t>
      </w:r>
      <w:r>
        <w:rPr>
          <w:rFonts w:ascii="楷体" w:eastAsia="楷体" w:hAnsi="楷体" w:hint="eastAsia"/>
          <w:b/>
        </w:rPr>
        <w:t>理财产品过往业绩不代表其未来表现，不等于理财产品实际收益，投资须谨慎。</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提醒您理财产品投资风险由买者自负，您应充分认识投资风险，谨慎投资！</w:t>
      </w:r>
      <w:r>
        <w:rPr>
          <w:rFonts w:ascii="楷体_GB2312" w:eastAsia="楷体_GB2312" w:hAnsi="Arial"/>
          <w:color w:val="000000" w:themeColor="text1"/>
        </w:rPr>
        <w:t> </w:t>
      </w:r>
    </w:p>
    <w:p w14:paraId="1B9C8DE8" w14:textId="77777777" w:rsidR="007E6995" w:rsidRDefault="007E6995">
      <w:pPr>
        <w:ind w:firstLineChars="200" w:firstLine="480"/>
        <w:jc w:val="both"/>
        <w:rPr>
          <w:rFonts w:ascii="楷体_GB2312" w:eastAsia="楷体_GB2312" w:hAnsi="Arial"/>
          <w:color w:val="000000" w:themeColor="text1"/>
        </w:rPr>
      </w:pPr>
    </w:p>
    <w:p w14:paraId="5FFCBBD8" w14:textId="77777777" w:rsidR="007E6995" w:rsidRDefault="00384441">
      <w:pPr>
        <w:ind w:firstLineChars="200" w:firstLine="482"/>
        <w:jc w:val="both"/>
        <w:rPr>
          <w:rFonts w:ascii="楷体_GB2312" w:eastAsia="楷体_GB2312" w:hAnsi="楷体_GB2312" w:cs="楷体_GB2312"/>
          <w:b/>
          <w:bCs/>
          <w:color w:val="000000" w:themeColor="text1"/>
        </w:rPr>
      </w:pPr>
      <w:r>
        <w:rPr>
          <w:rFonts w:ascii="楷体_GB2312" w:eastAsia="楷体_GB2312" w:hAnsi="楷体_GB2312" w:cs="楷体_GB2312" w:hint="eastAsia"/>
          <w:b/>
          <w:bCs/>
          <w:color w:val="000000" w:themeColor="text1"/>
        </w:rPr>
        <w:t>【示例】：若投资者购买本理财产品，假设理财产品本金为</w:t>
      </w:r>
      <w:r>
        <w:rPr>
          <w:rFonts w:ascii="楷体_GB2312" w:eastAsia="楷体_GB2312" w:hAnsi="楷体_GB2312" w:cs="楷体_GB2312"/>
          <w:b/>
          <w:bCs/>
          <w:color w:val="000000" w:themeColor="text1"/>
        </w:rPr>
        <w:t>1.00亿元，在最不利情况下，理财本金及收益全部损失。</w:t>
      </w:r>
    </w:p>
    <w:p w14:paraId="7DBF4101" w14:textId="77777777" w:rsidR="007E6995" w:rsidRDefault="007E6995">
      <w:pPr>
        <w:ind w:firstLineChars="200" w:firstLine="482"/>
        <w:jc w:val="both"/>
        <w:rPr>
          <w:rFonts w:ascii="楷体_GB2312" w:eastAsia="楷体_GB2312" w:hAnsi="楷体_GB2312" w:cs="楷体_GB2312"/>
          <w:b/>
          <w:bCs/>
          <w:color w:val="000000" w:themeColor="text1"/>
        </w:rPr>
      </w:pPr>
    </w:p>
    <w:p w14:paraId="2D2DC704" w14:textId="77777777" w:rsidR="007E6995" w:rsidRDefault="00384441">
      <w:pPr>
        <w:ind w:firstLineChars="200" w:firstLine="482"/>
        <w:jc w:val="both"/>
        <w:rPr>
          <w:rFonts w:ascii="黑体" w:eastAsia="黑体" w:hAnsi="黑体"/>
          <w:b/>
          <w:color w:val="000000" w:themeColor="text1"/>
        </w:rPr>
      </w:pPr>
      <w:r>
        <w:rPr>
          <w:rFonts w:ascii="黑体" w:eastAsia="黑体" w:hAnsi="黑体" w:hint="eastAsia"/>
          <w:b/>
          <w:color w:val="000000" w:themeColor="text1"/>
        </w:rPr>
        <w:t>理财非存款</w:t>
      </w:r>
      <w:r>
        <w:rPr>
          <w:rFonts w:ascii="黑体" w:eastAsia="黑体" w:hAnsi="黑体"/>
          <w:b/>
          <w:color w:val="000000" w:themeColor="text1"/>
        </w:rPr>
        <w:t>、产品</w:t>
      </w:r>
      <w:r>
        <w:rPr>
          <w:rFonts w:ascii="黑体" w:eastAsia="黑体" w:hAnsi="黑体" w:hint="eastAsia"/>
          <w:b/>
          <w:color w:val="000000" w:themeColor="text1"/>
        </w:rPr>
        <w:t>有</w:t>
      </w:r>
      <w:r>
        <w:rPr>
          <w:rFonts w:ascii="黑体" w:eastAsia="黑体" w:hAnsi="黑体"/>
          <w:b/>
          <w:color w:val="000000" w:themeColor="text1"/>
        </w:rPr>
        <w:t>风险、投资须谨慎</w:t>
      </w:r>
      <w:r>
        <w:rPr>
          <w:rFonts w:ascii="黑体" w:eastAsia="黑体" w:hAnsi="黑体" w:hint="eastAsia"/>
          <w:b/>
          <w:color w:val="000000" w:themeColor="text1"/>
        </w:rPr>
        <w:t>！</w:t>
      </w:r>
    </w:p>
    <w:p w14:paraId="50389D79" w14:textId="77777777" w:rsidR="007E6995" w:rsidRDefault="007E6995">
      <w:pPr>
        <w:ind w:firstLineChars="200" w:firstLine="482"/>
        <w:jc w:val="both"/>
        <w:rPr>
          <w:rFonts w:ascii="黑体" w:eastAsia="黑体" w:hAnsi="黑体"/>
          <w:b/>
          <w:color w:val="000000" w:themeColor="text1"/>
        </w:rPr>
      </w:pPr>
    </w:p>
    <w:p w14:paraId="26FE0D91" w14:textId="77777777" w:rsidR="007E6995" w:rsidRDefault="00384441">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如影响</w:t>
      </w:r>
      <w:proofErr w:type="gramStart"/>
      <w:r>
        <w:rPr>
          <w:rFonts w:ascii="楷体_GB2312" w:eastAsia="楷体_GB2312" w:hAnsi="Arial" w:cs="楷体_GB2312" w:hint="eastAsia"/>
          <w:color w:val="000000" w:themeColor="text1"/>
        </w:rPr>
        <w:t>您风险</w:t>
      </w:r>
      <w:proofErr w:type="gramEnd"/>
      <w:r>
        <w:rPr>
          <w:rFonts w:ascii="楷体_GB2312" w:eastAsia="楷体_GB2312" w:hAnsi="Arial" w:cs="楷体_GB2312" w:hint="eastAsia"/>
          <w:color w:val="000000" w:themeColor="text1"/>
        </w:rPr>
        <w:t>承受能力的因素发生变化，请及时</w:t>
      </w:r>
      <w:proofErr w:type="gramStart"/>
      <w:r>
        <w:rPr>
          <w:rFonts w:ascii="楷体_GB2312" w:eastAsia="楷体_GB2312" w:hAnsi="Arial" w:cs="楷体_GB2312" w:hint="eastAsia"/>
          <w:color w:val="000000" w:themeColor="text1"/>
        </w:rPr>
        <w:t>告知信银</w:t>
      </w:r>
      <w:proofErr w:type="gramEnd"/>
      <w:r>
        <w:rPr>
          <w:rFonts w:ascii="楷体_GB2312" w:eastAsia="楷体_GB2312" w:hAnsi="Arial" w:cs="楷体_GB2312" w:hint="eastAsia"/>
          <w:color w:val="000000" w:themeColor="text1"/>
        </w:rPr>
        <w:t>理财或代销机构并重新进行风险承受能力评估。</w:t>
      </w:r>
      <w:r>
        <w:rPr>
          <w:rFonts w:ascii="楷体_GB2312" w:eastAsia="楷体_GB2312" w:hAnsi="Arial" w:cs="楷体_GB2312"/>
          <w:color w:val="000000" w:themeColor="text1"/>
        </w:rPr>
        <w:t xml:space="preserve"> </w:t>
      </w:r>
    </w:p>
    <w:p w14:paraId="7B5B28A6" w14:textId="77777777" w:rsidR="007E6995" w:rsidRDefault="00384441">
      <w:pPr>
        <w:jc w:val="right"/>
        <w:rPr>
          <w:rFonts w:ascii="楷体_GB2312" w:eastAsia="楷体_GB2312"/>
          <w:color w:val="000000" w:themeColor="text1"/>
        </w:rPr>
      </w:pPr>
      <w:r>
        <w:rPr>
          <w:rFonts w:ascii="楷体_GB2312" w:eastAsia="楷体_GB2312" w:hAnsi="Arial" w:cs="楷体_GB2312" w:hint="eastAsia"/>
          <w:color w:val="000000" w:themeColor="text1"/>
        </w:rPr>
        <w:t>风险揭示方：</w:t>
      </w:r>
      <w:r>
        <w:rPr>
          <w:rFonts w:ascii="楷体_GB2312" w:eastAsia="楷体_GB2312" w:hAnsi="Arial" w:cs="楷体_GB2312"/>
          <w:color w:val="000000" w:themeColor="text1"/>
        </w:rPr>
        <w:t xml:space="preserve"> </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有限责任公司</w:t>
      </w:r>
    </w:p>
    <w:p w14:paraId="73335240" w14:textId="77777777" w:rsidR="007E6995" w:rsidRDefault="007E6995">
      <w:pPr>
        <w:jc w:val="right"/>
        <w:rPr>
          <w:rFonts w:ascii="楷体_GB2312" w:eastAsia="楷体_GB2312"/>
          <w:color w:val="000000" w:themeColor="text1"/>
        </w:rPr>
      </w:pPr>
    </w:p>
    <w:p w14:paraId="12E75B76" w14:textId="77777777" w:rsidR="007E6995" w:rsidRDefault="007E6995">
      <w:pPr>
        <w:jc w:val="center"/>
        <w:rPr>
          <w:rFonts w:ascii="楷体_GB2312" w:eastAsia="楷体_GB2312" w:hAnsi="Arial" w:cs="楷体_GB2312"/>
          <w:b/>
          <w:bCs/>
          <w:color w:val="000000" w:themeColor="text1"/>
          <w:u w:val="single"/>
        </w:rPr>
      </w:pPr>
    </w:p>
    <w:p w14:paraId="1F4F47D8" w14:textId="77777777" w:rsidR="007E6995" w:rsidRDefault="007E6995">
      <w:pPr>
        <w:snapToGrid w:val="0"/>
        <w:ind w:right="440"/>
        <w:rPr>
          <w:rFonts w:ascii="黑体" w:eastAsia="黑体" w:hAnsi="Times New Roman" w:cs="Arial"/>
          <w:color w:val="000000" w:themeColor="text1"/>
        </w:rPr>
      </w:pPr>
    </w:p>
    <w:p w14:paraId="50AC7B3C" w14:textId="77777777" w:rsidR="007E6995" w:rsidRDefault="007E6995">
      <w:pPr>
        <w:jc w:val="center"/>
        <w:rPr>
          <w:rFonts w:ascii="楷体_GB2312" w:eastAsia="楷体_GB2312" w:hAnsi="Arial" w:cs="楷体_GB2312"/>
          <w:b/>
          <w:bCs/>
          <w:color w:val="000000" w:themeColor="text1"/>
          <w:u w:val="single"/>
        </w:rPr>
      </w:pPr>
    </w:p>
    <w:p w14:paraId="04007D93" w14:textId="77777777" w:rsidR="007E6995" w:rsidRDefault="007E6995">
      <w:pPr>
        <w:jc w:val="center"/>
        <w:rPr>
          <w:rFonts w:ascii="楷体_GB2312" w:eastAsia="楷体_GB2312" w:hAnsi="Arial" w:cs="楷体_GB2312"/>
          <w:b/>
          <w:bCs/>
          <w:color w:val="000000" w:themeColor="text1"/>
          <w:u w:val="single"/>
        </w:rPr>
      </w:pPr>
    </w:p>
    <w:p w14:paraId="21DE1C8A" w14:textId="77777777" w:rsidR="007E6995" w:rsidRDefault="00384441">
      <w:pPr>
        <w:jc w:val="center"/>
        <w:rPr>
          <w:rFonts w:ascii="楷体_GB2312" w:eastAsia="楷体_GB2312"/>
          <w:color w:val="000000" w:themeColor="text1"/>
        </w:rPr>
      </w:pPr>
      <w:r>
        <w:rPr>
          <w:rFonts w:ascii="楷体_GB2312" w:eastAsia="楷体_GB2312" w:hAnsi="Arial" w:cs="楷体_GB2312" w:hint="eastAsia"/>
          <w:b/>
          <w:bCs/>
          <w:color w:val="000000" w:themeColor="text1"/>
          <w:u w:val="single"/>
        </w:rPr>
        <w:t>客</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户</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确</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认</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栏</w:t>
      </w:r>
    </w:p>
    <w:p w14:paraId="60F98D15" w14:textId="77777777" w:rsidR="007E6995" w:rsidRDefault="00384441">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本人/本单位确认，本人/本单位购买该理财产品为本人/本单位真实的意思表示</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w:t>
      </w:r>
      <w:proofErr w:type="gramStart"/>
      <w:r>
        <w:rPr>
          <w:rFonts w:ascii="楷体_GB2312" w:eastAsia="楷体_GB2312" w:hAnsi="Arial" w:cs="楷体_GB2312" w:hint="eastAsia"/>
          <w:color w:val="000000" w:themeColor="text1"/>
        </w:rPr>
        <w:t>确认信银</w:t>
      </w:r>
      <w:proofErr w:type="gramEnd"/>
      <w:r>
        <w:rPr>
          <w:rFonts w:ascii="楷体_GB2312" w:eastAsia="楷体_GB2312" w:hAnsi="Arial" w:cs="楷体_GB2312" w:hint="eastAsia"/>
          <w:color w:val="000000" w:themeColor="text1"/>
        </w:rPr>
        <w:t>理财/代销机构相关业务人员对于理财产品销售文件中限制或排除本人/本单位权利、增加或加重本人/本单位义务或责任以及有关免除或减轻信银理财责任</w:t>
      </w:r>
      <w:proofErr w:type="gramStart"/>
      <w:r>
        <w:rPr>
          <w:rFonts w:ascii="楷体_GB2312" w:eastAsia="楷体_GB2312" w:hAnsi="Arial" w:cs="楷体_GB2312" w:hint="eastAsia"/>
          <w:color w:val="000000" w:themeColor="text1"/>
        </w:rPr>
        <w:t>或信银理财</w:t>
      </w:r>
      <w:proofErr w:type="gramEnd"/>
      <w:r>
        <w:rPr>
          <w:rFonts w:ascii="楷体_GB2312" w:eastAsia="楷体_GB2312" w:hAnsi="Arial" w:cs="楷体_GB2312" w:hint="eastAsia"/>
          <w:color w:val="000000" w:themeColor="text1"/>
        </w:rPr>
        <w:t>单方面拥有某些权利的条款已向本人/本单位予以说明，本人/本单位已完全理解并自愿接受。</w:t>
      </w:r>
      <w:r>
        <w:rPr>
          <w:rFonts w:ascii="楷体_GB2312" w:eastAsia="楷体_GB2312" w:hAnsi="Arial" w:cs="楷体_GB2312"/>
          <w:color w:val="000000" w:themeColor="text1"/>
        </w:rPr>
        <w:t xml:space="preserve"> </w:t>
      </w:r>
    </w:p>
    <w:p w14:paraId="6952FD7D" w14:textId="77777777" w:rsidR="007E6995" w:rsidRDefault="00384441">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lastRenderedPageBreak/>
        <w:t>本人/本单位确认，将向本理财产品销售机构真实提供信息，自主</w:t>
      </w:r>
      <w:proofErr w:type="gramStart"/>
      <w:r>
        <w:rPr>
          <w:rFonts w:ascii="楷体_GB2312" w:eastAsia="楷体_GB2312" w:hAnsi="Arial" w:cs="楷体_GB2312" w:hint="eastAsia"/>
          <w:b/>
          <w:bCs/>
          <w:color w:val="000000" w:themeColor="text1"/>
        </w:rPr>
        <w:t>作出</w:t>
      </w:r>
      <w:proofErr w:type="gramEnd"/>
      <w:r>
        <w:rPr>
          <w:rFonts w:ascii="楷体_GB2312" w:eastAsia="楷体_GB2312" w:hAnsi="Arial" w:cs="楷体_GB2312" w:hint="eastAsia"/>
          <w:b/>
          <w:bCs/>
          <w:color w:val="000000" w:themeColor="text1"/>
        </w:rPr>
        <w:t>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14:paraId="60A64C3F" w14:textId="77777777" w:rsidR="007E6995" w:rsidRDefault="00384441">
      <w:pPr>
        <w:pStyle w:val="ab"/>
        <w:ind w:firstLineChars="0" w:firstLine="480"/>
        <w:jc w:val="both"/>
        <w:rPr>
          <w:rFonts w:ascii="楷体_GB2312" w:eastAsia="楷体_GB2312"/>
          <w:color w:val="000000" w:themeColor="text1"/>
        </w:rPr>
      </w:pPr>
      <w:r>
        <w:rPr>
          <w:rFonts w:ascii="楷体_GB2312" w:eastAsia="楷体_GB2312" w:hint="eastAsia"/>
          <w:color w:val="000000" w:themeColor="text1"/>
        </w:rPr>
        <w:t>本人</w:t>
      </w:r>
      <w:r>
        <w:rPr>
          <w:rFonts w:ascii="楷体_GB2312" w:eastAsia="楷体_GB2312" w:hAnsi="Arial" w:cs="楷体_GB2312" w:hint="eastAsia"/>
          <w:color w:val="000000" w:themeColor="text1"/>
        </w:rPr>
        <w:t>/本单位</w:t>
      </w:r>
      <w:r>
        <w:rPr>
          <w:rFonts w:ascii="楷体_GB2312" w:eastAsia="楷体_GB2312" w:hint="eastAsia"/>
          <w:color w:val="000000" w:themeColor="text1"/>
        </w:rPr>
        <w:t>确认</w:t>
      </w:r>
      <w:r>
        <w:rPr>
          <w:rFonts w:ascii="楷体_GB2312" w:eastAsia="楷体_GB2312"/>
          <w:color w:val="000000" w:themeColor="text1"/>
        </w:rPr>
        <w:t>，</w:t>
      </w:r>
      <w:r>
        <w:rPr>
          <w:rFonts w:ascii="楷体_GB2312" w:eastAsia="楷体_GB2312" w:hint="eastAsia"/>
          <w:color w:val="000000" w:themeColor="text1"/>
        </w:rPr>
        <w:t>投资</w:t>
      </w:r>
      <w:r>
        <w:rPr>
          <w:rFonts w:ascii="楷体_GB2312" w:eastAsia="楷体_GB2312"/>
          <w:color w:val="000000" w:themeColor="text1"/>
        </w:rPr>
        <w:t>本理财产品的</w:t>
      </w:r>
      <w:r>
        <w:rPr>
          <w:rFonts w:ascii="楷体_GB2312" w:eastAsia="楷体_GB2312" w:hint="eastAsia"/>
          <w:color w:val="000000" w:themeColor="text1"/>
        </w:rPr>
        <w:t>资金非贷款</w:t>
      </w:r>
      <w:r>
        <w:rPr>
          <w:rFonts w:ascii="楷体_GB2312" w:eastAsia="楷体_GB2312"/>
          <w:color w:val="000000" w:themeColor="text1"/>
        </w:rPr>
        <w:t>、发行债券等募集的非自有资金。</w:t>
      </w:r>
    </w:p>
    <w:p w14:paraId="66C8031F" w14:textId="77777777" w:rsidR="007E6995" w:rsidRDefault="00384441">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及代销机构联系方式及投诉程序等内容。</w:t>
      </w:r>
    </w:p>
    <w:p w14:paraId="150D3449" w14:textId="77777777" w:rsidR="007E6995" w:rsidRDefault="007E6995">
      <w:pPr>
        <w:ind w:firstLineChars="200" w:firstLine="480"/>
        <w:jc w:val="both"/>
        <w:rPr>
          <w:color w:val="000000" w:themeColor="text1"/>
        </w:rPr>
      </w:pPr>
    </w:p>
    <w:p w14:paraId="222CAE3B" w14:textId="77777777" w:rsidR="007E6995" w:rsidRDefault="00384441">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本人/本单位确认如下：</w:t>
      </w:r>
      <w:r>
        <w:rPr>
          <w:rFonts w:ascii="楷体_GB2312" w:eastAsia="楷体_GB2312" w:hAnsi="Arial" w:cs="楷体_GB2312"/>
          <w:color w:val="000000" w:themeColor="text1"/>
        </w:rPr>
        <w:t xml:space="preserve"> </w:t>
      </w:r>
    </w:p>
    <w:p w14:paraId="0664AE8A" w14:textId="77777777" w:rsidR="007E6995" w:rsidRDefault="007E6995">
      <w:pPr>
        <w:jc w:val="both"/>
        <w:rPr>
          <w:rFonts w:ascii="楷体_GB2312" w:eastAsia="楷体_GB2312" w:hAnsi="Arial" w:cs="楷体_GB2312"/>
          <w:color w:val="000000" w:themeColor="text1"/>
        </w:rPr>
      </w:pPr>
    </w:p>
    <w:p w14:paraId="05C20C51" w14:textId="77777777" w:rsidR="007E6995" w:rsidRDefault="00384441">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本理财产品可能</w:t>
      </w:r>
      <w:proofErr w:type="gramStart"/>
      <w:r>
        <w:rPr>
          <w:rFonts w:ascii="楷体_GB2312" w:eastAsia="楷体_GB2312" w:hAnsi="Arial" w:cs="楷体_GB2312" w:hint="eastAsia"/>
          <w:b/>
          <w:bCs/>
          <w:color w:val="000000" w:themeColor="text1"/>
        </w:rPr>
        <w:t>委托信银</w:t>
      </w:r>
      <w:proofErr w:type="gramEnd"/>
      <w:r>
        <w:rPr>
          <w:rFonts w:ascii="楷体_GB2312" w:eastAsia="楷体_GB2312" w:hAnsi="Arial" w:cs="楷体_GB2312" w:hint="eastAsia"/>
          <w:b/>
          <w:bCs/>
          <w:color w:val="000000" w:themeColor="text1"/>
        </w:rPr>
        <w:t>理财的关联方【中信银行股份有限公司、中信百信银行股份有限公司】销售，【中信银行股份有限公司】</w:t>
      </w:r>
      <w:proofErr w:type="gramStart"/>
      <w:r>
        <w:rPr>
          <w:rFonts w:ascii="楷体_GB2312" w:eastAsia="楷体_GB2312" w:hAnsi="Arial" w:cs="楷体_GB2312" w:hint="eastAsia"/>
          <w:b/>
          <w:bCs/>
          <w:color w:val="000000" w:themeColor="text1"/>
        </w:rPr>
        <w:t>系信银</w:t>
      </w:r>
      <w:proofErr w:type="gramEnd"/>
      <w:r>
        <w:rPr>
          <w:rFonts w:ascii="楷体_GB2312" w:eastAsia="楷体_GB2312" w:hAnsi="Arial" w:cs="楷体_GB2312" w:hint="eastAsia"/>
          <w:b/>
          <w:bCs/>
          <w:color w:val="000000" w:themeColor="text1"/>
        </w:rPr>
        <w:t>理财的【唯一股东】，【中信百信银行股份有限公司】系中信银行股份有限公司控股子公司，</w:t>
      </w:r>
      <w:proofErr w:type="gramStart"/>
      <w:r>
        <w:rPr>
          <w:rFonts w:ascii="楷体_GB2312" w:eastAsia="楷体_GB2312" w:hAnsi="Arial" w:cs="楷体_GB2312" w:hint="eastAsia"/>
          <w:b/>
          <w:bCs/>
          <w:color w:val="000000" w:themeColor="text1"/>
        </w:rPr>
        <w:t>与信银理财</w:t>
      </w:r>
      <w:proofErr w:type="gramEnd"/>
      <w:r>
        <w:rPr>
          <w:rFonts w:ascii="楷体_GB2312" w:eastAsia="楷体_GB2312" w:hAnsi="Arial" w:cs="楷体_GB2312" w:hint="eastAsia"/>
          <w:b/>
          <w:bCs/>
          <w:color w:val="000000" w:themeColor="text1"/>
        </w:rPr>
        <w:t>具有关联关系。</w:t>
      </w:r>
      <w:proofErr w:type="gramStart"/>
      <w:r>
        <w:rPr>
          <w:rFonts w:ascii="楷体_GB2312" w:eastAsia="楷体_GB2312" w:hAnsi="Arial" w:cs="楷体_GB2312" w:hint="eastAsia"/>
          <w:b/>
          <w:bCs/>
          <w:color w:val="000000" w:themeColor="text1"/>
        </w:rPr>
        <w:t>信银理财</w:t>
      </w:r>
      <w:proofErr w:type="gramEnd"/>
      <w:r>
        <w:rPr>
          <w:rFonts w:ascii="楷体_GB2312" w:eastAsia="楷体_GB2312" w:hAnsi="Arial" w:cs="楷体_GB2312" w:hint="eastAsia"/>
          <w:b/>
          <w:bCs/>
          <w:color w:val="000000" w:themeColor="text1"/>
        </w:rPr>
        <w:t>委托【中信银行股份有限公司、中信百信银行股份有限公司】销售本理财产品的，存在关联交易风险，请投资者仔细阅读</w:t>
      </w:r>
      <w:r>
        <w:rPr>
          <w:rFonts w:ascii="楷体_GB2312" w:eastAsia="楷体_GB2312" w:hAnsi="Arial" w:cs="楷体_GB2312" w:hint="eastAsia"/>
          <w:b/>
          <w:color w:val="000000" w:themeColor="text1"/>
        </w:rPr>
        <w:t>理财产品说明书中相应风险揭示部分</w:t>
      </w:r>
      <w:r>
        <w:rPr>
          <w:rFonts w:ascii="楷体_GB2312" w:eastAsia="楷体_GB2312" w:hAnsi="Arial" w:cs="楷体_GB2312" w:hint="eastAsia"/>
          <w:b/>
          <w:bCs/>
          <w:color w:val="000000" w:themeColor="text1"/>
        </w:rPr>
        <w:t>。</w:t>
      </w:r>
    </w:p>
    <w:p w14:paraId="16BFA6C0" w14:textId="77777777" w:rsidR="007E6995" w:rsidRDefault="00384441">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本人/本单位确认，已知悉上述关联交易，愿意承担相应投资风险。</w:t>
      </w:r>
    </w:p>
    <w:p w14:paraId="3D6D8A06" w14:textId="77777777" w:rsidR="007E6995" w:rsidRDefault="007E6995">
      <w:pPr>
        <w:ind w:firstLineChars="200" w:firstLine="480"/>
        <w:jc w:val="both"/>
        <w:rPr>
          <w:rFonts w:ascii="楷体_GB2312" w:eastAsia="楷体_GB2312"/>
          <w:color w:val="000000" w:themeColor="text1"/>
        </w:rPr>
      </w:pPr>
    </w:p>
    <w:p w14:paraId="2724CB7A" w14:textId="77777777" w:rsidR="007E6995" w:rsidRDefault="00384441">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本人/本单位风险承受能力评级为（由个人客户本人/机构客户授权经办人填写）：</w:t>
      </w:r>
      <w:r>
        <w:rPr>
          <w:rFonts w:ascii="楷体_GB2312" w:eastAsia="楷体_GB2312" w:hAnsi="Arial"/>
          <w:color w:val="000000" w:themeColor="text1"/>
        </w:rPr>
        <w:t> </w:t>
      </w:r>
      <w:r>
        <w:rPr>
          <w:rFonts w:ascii="Arial" w:hAnsi="Arial" w:cs="Arial"/>
          <w:color w:val="000000" w:themeColor="text1"/>
          <w:sz w:val="18"/>
          <w:szCs w:val="18"/>
        </w:rPr>
        <w:t> </w:t>
      </w:r>
    </w:p>
    <w:p w14:paraId="499ECA15" w14:textId="77777777" w:rsidR="007E6995" w:rsidRDefault="00384441">
      <w:pPr>
        <w:snapToGrid w:val="0"/>
        <w:jc w:val="both"/>
        <w:rPr>
          <w:rFonts w:ascii="楷体_GB2312" w:eastAsia="楷体_GB2312"/>
          <w:color w:val="000000" w:themeColor="text1"/>
        </w:rPr>
      </w:pPr>
      <w:r>
        <w:rPr>
          <w:rFonts w:ascii="楷体_GB2312" w:eastAsia="楷体_GB2312" w:cs="楷体_GB2312" w:hint="eastAsia"/>
          <w:color w:val="000000" w:themeColor="text1"/>
        </w:rPr>
        <w:t>（</w:t>
      </w:r>
      <w:r>
        <w:rPr>
          <w:rFonts w:ascii="楷体_GB2312" w:eastAsia="楷体_GB2312" w:hAnsi="Arial" w:cs="楷体_GB2312" w:hint="eastAsia"/>
          <w:color w:val="000000" w:themeColor="text1"/>
        </w:rPr>
        <w:t>个人客户本人/机构客户授权经办人需全文抄录以下文字以完成确认</w:t>
      </w:r>
      <w:r>
        <w:rPr>
          <w:rFonts w:ascii="楷体_GB2312" w:eastAsia="楷体_GB2312" w:cs="楷体_GB2312" w:hint="eastAsia"/>
          <w:color w:val="000000" w:themeColor="text1"/>
        </w:rPr>
        <w:t>：</w:t>
      </w:r>
      <w:r>
        <w:rPr>
          <w:rFonts w:ascii="楷体_GB2312" w:eastAsia="楷体_GB2312" w:cs="楷体_GB2312" w:hint="eastAsia"/>
          <w:b/>
          <w:bCs/>
          <w:color w:val="000000" w:themeColor="text1"/>
        </w:rPr>
        <w:t>本人</w:t>
      </w:r>
      <w:r>
        <w:rPr>
          <w:rFonts w:ascii="楷体_GB2312" w:eastAsia="楷体_GB2312" w:hAnsi="Arial" w:cs="楷体_GB2312" w:hint="eastAsia"/>
          <w:b/>
          <w:bCs/>
          <w:color w:val="000000" w:themeColor="text1"/>
        </w:rPr>
        <w:t>/本单位</w:t>
      </w:r>
      <w:r>
        <w:rPr>
          <w:rFonts w:ascii="楷体_GB2312" w:eastAsia="楷体_GB2312" w:cs="楷体_GB2312" w:hint="eastAsia"/>
          <w:b/>
          <w:bCs/>
          <w:color w:val="000000" w:themeColor="text1"/>
        </w:rPr>
        <w:t>已经阅读风险揭示，愿意承担投资风险</w:t>
      </w:r>
      <w:r>
        <w:rPr>
          <w:rFonts w:ascii="楷体_GB2312" w:eastAsia="楷体_GB2312" w:cs="楷体_GB2312" w:hint="eastAsia"/>
          <w:color w:val="000000" w:themeColor="text1"/>
        </w:rPr>
        <w:t>。）</w:t>
      </w:r>
      <w:r>
        <w:rPr>
          <w:rFonts w:ascii="楷体_GB2312" w:eastAsia="楷体_GB2312" w:cs="楷体_GB2312"/>
          <w:color w:val="000000" w:themeColor="text1"/>
        </w:rPr>
        <w:t xml:space="preserve"> </w:t>
      </w:r>
    </w:p>
    <w:p w14:paraId="6BBB5B65" w14:textId="77777777" w:rsidR="007E6995" w:rsidRDefault="00384441">
      <w:pPr>
        <w:snapToGrid w:val="0"/>
        <w:rPr>
          <w:rFonts w:ascii="楷体_GB2312" w:eastAsia="楷体_GB2312"/>
          <w:color w:val="000000" w:themeColor="text1"/>
        </w:rPr>
      </w:pPr>
      <w:r>
        <w:rPr>
          <w:rFonts w:ascii="楷体_GB2312" w:eastAsia="楷体_GB2312"/>
          <w:color w:val="000000" w:themeColor="text1"/>
          <w:u w:val="single"/>
        </w:rPr>
        <w:t>                                 </w:t>
      </w:r>
    </w:p>
    <w:p w14:paraId="0DAE34BF" w14:textId="77777777" w:rsidR="007E6995" w:rsidRDefault="00384441">
      <w:pPr>
        <w:snapToGrid w:val="0"/>
        <w:ind w:right="440"/>
        <w:rPr>
          <w:rFonts w:ascii="楷体_GB2312" w:eastAsia="楷体_GB2312" w:cs="楷体_GB2312"/>
          <w:color w:val="000000" w:themeColor="text1"/>
        </w:rPr>
      </w:pPr>
      <w:r>
        <w:rPr>
          <w:rFonts w:ascii="黑体" w:eastAsia="黑体" w:hAnsi="Times New Roman" w:cs="Arial" w:hint="eastAsia"/>
          <w:color w:val="000000" w:themeColor="text1"/>
        </w:rPr>
        <w:t>个人客户（签字）：</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机构客户（盖章）：</w:t>
      </w:r>
    </w:p>
    <w:p w14:paraId="6F2A2B05" w14:textId="77777777" w:rsidR="007E6995" w:rsidRDefault="00384441">
      <w:pPr>
        <w:snapToGrid w:val="0"/>
        <w:ind w:right="440"/>
        <w:rPr>
          <w:color w:val="000000" w:themeColor="text1"/>
        </w:rPr>
      </w:pPr>
      <w:r>
        <w:rPr>
          <w:rFonts w:ascii="黑体" w:eastAsia="黑体" w:hAnsi="Times New Roman" w:cs="Arial" w:hint="eastAsia"/>
          <w:color w:val="000000" w:themeColor="text1"/>
        </w:rPr>
        <w:t xml:space="preserve">                               法定代表人或负责人（签字或签章）：</w:t>
      </w:r>
    </w:p>
    <w:p w14:paraId="3FC16264" w14:textId="77777777" w:rsidR="007E6995" w:rsidRDefault="00384441">
      <w:pPr>
        <w:snapToGrid w:val="0"/>
        <w:ind w:right="440"/>
        <w:rPr>
          <w:color w:val="000000" w:themeColor="text1"/>
        </w:rPr>
      </w:pPr>
      <w:r>
        <w:rPr>
          <w:color w:val="000000" w:themeColor="text1"/>
        </w:rPr>
        <w:t> </w:t>
      </w:r>
    </w:p>
    <w:p w14:paraId="78E86EAA" w14:textId="77777777" w:rsidR="007E6995" w:rsidRDefault="00384441">
      <w:pPr>
        <w:snapToGrid w:val="0"/>
        <w:ind w:right="440"/>
        <w:rPr>
          <w:rFonts w:ascii="黑体" w:eastAsia="黑体" w:hAnsi="Times New Roman" w:cs="Arial"/>
          <w:color w:val="000000" w:themeColor="text1"/>
        </w:rPr>
      </w:pP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p>
    <w:p w14:paraId="07EA75E2" w14:textId="77777777" w:rsidR="007E6995" w:rsidRDefault="007E6995">
      <w:pPr>
        <w:snapToGrid w:val="0"/>
        <w:ind w:right="440"/>
        <w:rPr>
          <w:color w:val="000000" w:themeColor="text1"/>
        </w:rPr>
      </w:pPr>
    </w:p>
    <w:p w14:paraId="48B917F9" w14:textId="77777777" w:rsidR="007E6995" w:rsidRDefault="007E6995">
      <w:pPr>
        <w:spacing w:line="300" w:lineRule="exact"/>
        <w:ind w:rightChars="-330" w:right="-792"/>
        <w:jc w:val="center"/>
        <w:rPr>
          <w:rFonts w:ascii="黑体" w:eastAsia="黑体"/>
          <w:b/>
          <w:bCs/>
          <w:color w:val="000000" w:themeColor="text1"/>
        </w:rPr>
      </w:pPr>
    </w:p>
    <w:p w14:paraId="64FFE266" w14:textId="77777777" w:rsidR="007E6995" w:rsidRDefault="00384441">
      <w:pPr>
        <w:rPr>
          <w:rFonts w:ascii="黑体" w:eastAsia="黑体" w:cs="黑体"/>
          <w:b/>
          <w:bCs/>
          <w:color w:val="000000" w:themeColor="text1"/>
        </w:rPr>
        <w:sectPr w:rsidR="007E6995">
          <w:headerReference w:type="default" r:id="rId10"/>
          <w:footerReference w:type="default" r:id="rId11"/>
          <w:type w:val="continuous"/>
          <w:pgSz w:w="11906" w:h="16838"/>
          <w:pgMar w:top="1440" w:right="1800" w:bottom="1440" w:left="1800" w:header="851" w:footer="992" w:gutter="0"/>
          <w:pgNumType w:start="1"/>
          <w:cols w:space="720"/>
          <w:docGrid w:linePitch="312"/>
        </w:sectPr>
      </w:pPr>
      <w:r>
        <w:rPr>
          <w:rFonts w:ascii="黑体" w:eastAsia="黑体" w:cs="黑体"/>
          <w:b/>
          <w:bCs/>
          <w:color w:val="000000" w:themeColor="text1"/>
        </w:rPr>
        <w:br w:type="page"/>
      </w:r>
    </w:p>
    <w:p w14:paraId="56152F34" w14:textId="77777777" w:rsidR="007E6995" w:rsidRDefault="00384441">
      <w:pPr>
        <w:spacing w:line="300" w:lineRule="exact"/>
        <w:jc w:val="both"/>
        <w:rPr>
          <w:color w:val="000000" w:themeColor="text1"/>
        </w:rPr>
      </w:pPr>
      <w:r>
        <w:rPr>
          <w:rFonts w:ascii="黑体" w:eastAsia="黑体" w:cs="黑体" w:hint="eastAsia"/>
          <w:b/>
          <w:bCs/>
          <w:color w:val="000000" w:themeColor="text1"/>
        </w:rPr>
        <w:lastRenderedPageBreak/>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【Z7002624000590</w:t>
      </w:r>
      <w:r>
        <w:rPr>
          <w:color w:val="000000" w:themeColor="text1"/>
        </w:rPr>
        <w:t>】</w:t>
      </w:r>
    </w:p>
    <w:p w14:paraId="09B34E63" w14:textId="77777777" w:rsidR="007E6995" w:rsidRDefault="00384441">
      <w:pPr>
        <w:spacing w:line="300" w:lineRule="exact"/>
        <w:jc w:val="both"/>
        <w:rPr>
          <w:rFonts w:ascii="黑体" w:eastAsia="黑体" w:hAnsi="黑体"/>
          <w:color w:val="000000" w:themeColor="text1"/>
          <w:sz w:val="21"/>
          <w:szCs w:val="21"/>
        </w:rPr>
      </w:pPr>
      <w:r>
        <w:rPr>
          <w:rFonts w:ascii="黑体" w:eastAsia="黑体" w:hAnsi="黑体" w:hint="eastAsia"/>
          <w:color w:val="000000" w:themeColor="text1"/>
          <w:sz w:val="21"/>
          <w:szCs w:val="21"/>
        </w:rPr>
        <w:t>理财产品</w:t>
      </w:r>
      <w:r>
        <w:rPr>
          <w:rFonts w:ascii="黑体" w:eastAsia="黑体" w:hAnsi="黑体"/>
          <w:color w:val="000000" w:themeColor="text1"/>
          <w:sz w:val="21"/>
          <w:szCs w:val="21"/>
        </w:rPr>
        <w:t>登记编码为本产品在</w:t>
      </w:r>
      <w:r>
        <w:rPr>
          <w:rFonts w:ascii="黑体" w:eastAsia="黑体" w:hAnsi="黑体" w:hint="eastAsia"/>
          <w:color w:val="000000" w:themeColor="text1"/>
          <w:sz w:val="21"/>
          <w:szCs w:val="21"/>
        </w:rPr>
        <w:t>全国银行业理财信息登记系统</w:t>
      </w:r>
      <w:r>
        <w:rPr>
          <w:rFonts w:ascii="黑体" w:eastAsia="黑体" w:hAnsi="黑体"/>
          <w:color w:val="000000" w:themeColor="text1"/>
          <w:sz w:val="21"/>
          <w:szCs w:val="21"/>
        </w:rPr>
        <w:t>取得的理财产品登记编码，</w:t>
      </w:r>
      <w:r>
        <w:rPr>
          <w:rFonts w:ascii="黑体" w:eastAsia="黑体" w:hAnsi="黑体" w:hint="eastAsia"/>
          <w:color w:val="000000" w:themeColor="text1"/>
          <w:sz w:val="21"/>
          <w:szCs w:val="21"/>
        </w:rPr>
        <w:t>投资者</w:t>
      </w:r>
      <w:r>
        <w:rPr>
          <w:rFonts w:ascii="黑体" w:eastAsia="黑体" w:hAnsi="黑体"/>
          <w:color w:val="000000" w:themeColor="text1"/>
          <w:sz w:val="21"/>
          <w:szCs w:val="21"/>
        </w:rPr>
        <w:t>可以</w:t>
      </w:r>
      <w:r>
        <w:rPr>
          <w:rFonts w:ascii="黑体" w:eastAsia="黑体" w:hAnsi="黑体" w:hint="eastAsia"/>
          <w:color w:val="000000" w:themeColor="text1"/>
          <w:sz w:val="21"/>
          <w:szCs w:val="21"/>
        </w:rPr>
        <w:t>依据</w:t>
      </w:r>
      <w:r>
        <w:rPr>
          <w:rFonts w:ascii="黑体" w:eastAsia="黑体" w:hAnsi="黑体"/>
          <w:color w:val="000000" w:themeColor="text1"/>
          <w:sz w:val="21"/>
          <w:szCs w:val="21"/>
        </w:rPr>
        <w:t>该理财产品登记编码在</w:t>
      </w:r>
      <w:r>
        <w:rPr>
          <w:rFonts w:ascii="黑体" w:eastAsia="黑体" w:hAnsi="黑体" w:hint="eastAsia"/>
          <w:color w:val="000000" w:themeColor="text1"/>
          <w:sz w:val="21"/>
          <w:szCs w:val="21"/>
        </w:rPr>
        <w:t>金融产品查询平台（</w:t>
      </w:r>
      <w:r>
        <w:rPr>
          <w:rFonts w:ascii="黑体" w:eastAsia="黑体" w:hAnsi="黑体"/>
          <w:color w:val="000000" w:themeColor="text1"/>
          <w:sz w:val="21"/>
          <w:szCs w:val="21"/>
        </w:rPr>
        <w:t>www.jrcpcx.cn）或中国理财网（www.chinawealth.com.cn）</w:t>
      </w:r>
      <w:r>
        <w:rPr>
          <w:rFonts w:ascii="黑体" w:eastAsia="黑体" w:hAnsi="黑体" w:hint="eastAsia"/>
          <w:color w:val="000000" w:themeColor="text1"/>
          <w:sz w:val="21"/>
          <w:szCs w:val="21"/>
        </w:rPr>
        <w:t>上查询</w:t>
      </w:r>
      <w:r>
        <w:rPr>
          <w:rFonts w:ascii="黑体" w:eastAsia="黑体" w:hAnsi="黑体"/>
          <w:color w:val="000000" w:themeColor="text1"/>
          <w:sz w:val="21"/>
          <w:szCs w:val="21"/>
        </w:rPr>
        <w:t>本产品相关信息。</w:t>
      </w:r>
    </w:p>
    <w:p w14:paraId="3ED2EBCE" w14:textId="77777777" w:rsidR="007E6995" w:rsidRDefault="007E6995">
      <w:pPr>
        <w:spacing w:line="300" w:lineRule="exact"/>
        <w:jc w:val="both"/>
        <w:rPr>
          <w:rFonts w:ascii="黑体" w:eastAsia="黑体" w:hAnsi="黑体"/>
          <w:color w:val="000000" w:themeColor="text1"/>
          <w:sz w:val="21"/>
          <w:szCs w:val="21"/>
        </w:rPr>
      </w:pPr>
    </w:p>
    <w:p w14:paraId="3CAD0E62" w14:textId="77777777" w:rsidR="007E6995" w:rsidRDefault="00384441">
      <w:pPr>
        <w:spacing w:line="300" w:lineRule="exact"/>
        <w:jc w:val="both"/>
        <w:rPr>
          <w:b/>
          <w:color w:val="000000" w:themeColor="text1"/>
          <w:sz w:val="28"/>
          <w:szCs w:val="28"/>
        </w:rPr>
      </w:pPr>
      <w:r>
        <w:rPr>
          <w:rFonts w:ascii="黑体" w:eastAsia="黑体" w:hAnsi="黑体"/>
          <w:b/>
          <w:color w:val="000000" w:themeColor="text1"/>
          <w:sz w:val="28"/>
          <w:szCs w:val="28"/>
        </w:rPr>
        <w:t>郑重</w:t>
      </w:r>
      <w:r>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themeColor="text1"/>
          <w:sz w:val="28"/>
          <w:szCs w:val="28"/>
        </w:rPr>
        <w:t>您判断</w:t>
      </w:r>
      <w:proofErr w:type="gramEnd"/>
      <w:r>
        <w:rPr>
          <w:rFonts w:ascii="黑体" w:eastAsia="黑体" w:hAnsi="黑体" w:hint="eastAsia"/>
          <w:b/>
          <w:color w:val="000000" w:themeColor="text1"/>
          <w:sz w:val="28"/>
          <w:szCs w:val="28"/>
        </w:rPr>
        <w:t>理财产品是否合法合</w:t>
      </w:r>
      <w:proofErr w:type="gramStart"/>
      <w:r>
        <w:rPr>
          <w:rFonts w:ascii="黑体" w:eastAsia="黑体" w:hAnsi="黑体" w:hint="eastAsia"/>
          <w:b/>
          <w:color w:val="000000" w:themeColor="text1"/>
          <w:sz w:val="28"/>
          <w:szCs w:val="28"/>
        </w:rPr>
        <w:t>规</w:t>
      </w:r>
      <w:proofErr w:type="gramEnd"/>
      <w:r>
        <w:rPr>
          <w:rFonts w:ascii="黑体" w:eastAsia="黑体" w:hAnsi="黑体" w:hint="eastAsia"/>
          <w:b/>
          <w:color w:val="000000" w:themeColor="text1"/>
          <w:sz w:val="28"/>
          <w:szCs w:val="28"/>
        </w:rPr>
        <w:t>、是否真实可靠的重要依据。如您购买的理财产品未公示登记编码，或通过其公示的登记编码无法在金融产品查询平台（</w:t>
      </w:r>
      <w:r>
        <w:rPr>
          <w:rFonts w:ascii="黑体" w:eastAsia="黑体" w:hAnsi="黑体"/>
          <w:b/>
          <w:color w:val="000000" w:themeColor="text1"/>
          <w:sz w:val="28"/>
          <w:szCs w:val="28"/>
        </w:rPr>
        <w:t>www.jrcpcx.cn）或</w:t>
      </w:r>
      <w:r>
        <w:rPr>
          <w:rFonts w:ascii="黑体" w:eastAsia="黑体" w:hAnsi="黑体" w:hint="eastAsia"/>
          <w:b/>
          <w:color w:val="000000" w:themeColor="text1"/>
          <w:sz w:val="28"/>
          <w:szCs w:val="28"/>
        </w:rPr>
        <w:t>中国理财网（</w:t>
      </w:r>
      <w:r>
        <w:rPr>
          <w:rFonts w:ascii="黑体" w:eastAsia="黑体" w:hAnsi="黑体"/>
          <w:b/>
          <w:color w:val="000000" w:themeColor="text1"/>
          <w:sz w:val="28"/>
          <w:szCs w:val="28"/>
        </w:rPr>
        <w:t>www.chinawealth.com.cn）上查询到产品相关信息，</w:t>
      </w:r>
      <w:r>
        <w:rPr>
          <w:rFonts w:ascii="黑体" w:eastAsia="黑体" w:hAnsi="黑体" w:hint="eastAsia"/>
          <w:b/>
          <w:color w:val="000000" w:themeColor="text1"/>
          <w:sz w:val="28"/>
          <w:szCs w:val="28"/>
        </w:rPr>
        <w:t>则该</w:t>
      </w:r>
      <w:r>
        <w:rPr>
          <w:rFonts w:ascii="黑体" w:eastAsia="黑体" w:hAnsi="黑体"/>
          <w:b/>
          <w:color w:val="000000" w:themeColor="text1"/>
          <w:sz w:val="28"/>
          <w:szCs w:val="28"/>
        </w:rPr>
        <w:t>产品</w:t>
      </w:r>
      <w:proofErr w:type="gramStart"/>
      <w:r>
        <w:rPr>
          <w:rFonts w:ascii="黑体" w:eastAsia="黑体" w:hAnsi="黑体"/>
          <w:b/>
          <w:color w:val="000000" w:themeColor="text1"/>
          <w:sz w:val="28"/>
          <w:szCs w:val="28"/>
        </w:rPr>
        <w:t>非</w:t>
      </w:r>
      <w:r>
        <w:rPr>
          <w:rFonts w:ascii="黑体" w:eastAsia="黑体" w:hAnsi="黑体" w:hint="eastAsia"/>
          <w:b/>
          <w:color w:val="000000" w:themeColor="text1"/>
          <w:sz w:val="28"/>
          <w:szCs w:val="28"/>
        </w:rPr>
        <w:t>信银</w:t>
      </w:r>
      <w:r>
        <w:rPr>
          <w:rFonts w:ascii="黑体" w:eastAsia="黑体" w:hAnsi="黑体"/>
          <w:b/>
          <w:color w:val="000000" w:themeColor="text1"/>
          <w:sz w:val="28"/>
          <w:szCs w:val="28"/>
        </w:rPr>
        <w:t>理财</w:t>
      </w:r>
      <w:proofErr w:type="gramEnd"/>
      <w:r>
        <w:rPr>
          <w:rFonts w:ascii="黑体" w:eastAsia="黑体" w:hAnsi="黑体"/>
          <w:b/>
          <w:color w:val="000000" w:themeColor="text1"/>
          <w:sz w:val="28"/>
          <w:szCs w:val="28"/>
        </w:rPr>
        <w:t>发行产品。</w:t>
      </w:r>
    </w:p>
    <w:p w14:paraId="39F867CF" w14:textId="77777777" w:rsidR="007E6995" w:rsidRDefault="007E6995">
      <w:pPr>
        <w:spacing w:line="300" w:lineRule="exact"/>
        <w:ind w:rightChars="-330" w:right="-792"/>
        <w:rPr>
          <w:color w:val="000000" w:themeColor="text1"/>
        </w:rPr>
      </w:pPr>
    </w:p>
    <w:p w14:paraId="19F8132D" w14:textId="77777777" w:rsidR="007E6995" w:rsidRDefault="007E6995">
      <w:pPr>
        <w:spacing w:line="300" w:lineRule="exact"/>
        <w:ind w:rightChars="-330" w:right="-792"/>
        <w:rPr>
          <w:rFonts w:ascii="楷体" w:eastAsia="楷体" w:hAnsi="楷体" w:cs="黑体"/>
          <w:b/>
          <w:bCs/>
          <w:color w:val="000000" w:themeColor="text1"/>
          <w:sz w:val="21"/>
          <w:szCs w:val="21"/>
        </w:rPr>
      </w:pPr>
    </w:p>
    <w:p w14:paraId="5D047405" w14:textId="77777777" w:rsidR="007E6995" w:rsidRDefault="00384441">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7E6995" w:rsidRDefault="00384441">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【信银理财日盈象天天利212号现金管理型理财产品】</w:t>
      </w:r>
      <w:r>
        <w:rPr>
          <w:rFonts w:ascii="黑体" w:eastAsia="黑体" w:hAnsi="Times New Roman" w:cs="黑体"/>
          <w:b/>
          <w:bCs/>
          <w:color w:val="000000" w:themeColor="text1"/>
          <w:sz w:val="20"/>
          <w:szCs w:val="20"/>
        </w:rPr>
        <w:t xml:space="preserve">  </w:t>
      </w:r>
    </w:p>
    <w:p w14:paraId="29AB039D" w14:textId="77777777" w:rsidR="007E6995" w:rsidRDefault="00384441">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产品代码：【AM244162】）</w:t>
      </w:r>
    </w:p>
    <w:p w14:paraId="47080362" w14:textId="77777777" w:rsidR="007E6995" w:rsidRDefault="007E6995">
      <w:pPr>
        <w:spacing w:line="300" w:lineRule="exact"/>
        <w:ind w:rightChars="-330" w:right="-792"/>
        <w:rPr>
          <w:color w:val="000000" w:themeColor="text1"/>
        </w:rPr>
      </w:pPr>
    </w:p>
    <w:p w14:paraId="19769CED" w14:textId="77777777" w:rsidR="007E6995" w:rsidRDefault="00384441">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7E6995" w:rsidRDefault="00384441">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w:t>
      </w:r>
      <w:r>
        <w:rPr>
          <w:rFonts w:ascii="黑体" w:eastAsia="黑体" w:hAnsi="Times New Roman" w:cs="黑体" w:hint="eastAsia"/>
          <w:b/>
          <w:color w:val="000000" w:themeColor="text1"/>
          <w:sz w:val="20"/>
          <w:szCs w:val="20"/>
        </w:rPr>
        <w:t>5</w:t>
      </w:r>
      <w:r>
        <w:rPr>
          <w:rFonts w:ascii="黑体" w:eastAsia="黑体" w:hAnsi="Times New Roman" w:cs="黑体"/>
          <w:b/>
          <w:color w:val="000000" w:themeColor="text1"/>
          <w:sz w:val="20"/>
          <w:szCs w:val="20"/>
        </w:rPr>
        <w:t>】年【</w:t>
      </w:r>
      <w:r>
        <w:rPr>
          <w:rFonts w:ascii="黑体" w:eastAsia="黑体" w:hAnsi="Times New Roman" w:cs="黑体" w:hint="eastAsia"/>
          <w:b/>
          <w:color w:val="000000" w:themeColor="text1"/>
          <w:sz w:val="20"/>
          <w:szCs w:val="20"/>
        </w:rPr>
        <w:t>5</w:t>
      </w:r>
      <w:r>
        <w:rPr>
          <w:rFonts w:ascii="黑体" w:eastAsia="黑体" w:hAnsi="Times New Roman" w:cs="黑体"/>
          <w:b/>
          <w:color w:val="000000" w:themeColor="text1"/>
          <w:sz w:val="20"/>
          <w:szCs w:val="20"/>
        </w:rPr>
        <w:t>】月【</w:t>
      </w:r>
      <w:r>
        <w:rPr>
          <w:rFonts w:ascii="黑体" w:eastAsia="黑体" w:hAnsi="Times New Roman" w:cs="黑体" w:hint="eastAsia"/>
          <w:b/>
          <w:color w:val="000000" w:themeColor="text1"/>
          <w:sz w:val="20"/>
          <w:szCs w:val="20"/>
        </w:rPr>
        <w:t>6</w:t>
      </w:r>
      <w:r>
        <w:rPr>
          <w:rFonts w:ascii="黑体" w:eastAsia="黑体" w:hAnsi="Times New Roman" w:cs="黑体"/>
          <w:b/>
          <w:color w:val="000000" w:themeColor="text1"/>
          <w:sz w:val="20"/>
          <w:szCs w:val="20"/>
        </w:rPr>
        <w:t>】日，之后按【日】为周期进行开放，</w:t>
      </w:r>
      <w:r>
        <w:rPr>
          <w:rFonts w:ascii="黑体" w:eastAsia="黑体" w:hAnsi="Times New Roman" w:cs="黑体" w:hint="eastAsia"/>
          <w:b/>
          <w:color w:val="000000" w:themeColor="text1"/>
          <w:sz w:val="20"/>
          <w:szCs w:val="20"/>
        </w:rPr>
        <w:t>赎回</w:t>
      </w:r>
      <w:r>
        <w:rPr>
          <w:rFonts w:ascii="黑体" w:eastAsia="黑体" w:hAnsi="Times New Roman" w:cs="黑体"/>
          <w:b/>
          <w:color w:val="000000" w:themeColor="text1"/>
          <w:sz w:val="20"/>
          <w:szCs w:val="20"/>
        </w:rPr>
        <w:t>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7E6995" w:rsidRDefault="00384441">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7E6995" w:rsidRDefault="00384441">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7E6995" w:rsidRDefault="00384441">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质押式回购和其他货币市场类资产，以及国债、地方政府债券、中央银行票据、政府机构债券、金融债券、公司信用类债券、在银行间市场和证券交易所市场发行的资产支持证券、非公开定向债务融资工具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7E6995" w:rsidRDefault="00384441">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7E6995" w:rsidRDefault="007E6995">
      <w:pPr>
        <w:snapToGrid w:val="0"/>
        <w:jc w:val="both"/>
        <w:rPr>
          <w:rFonts w:ascii="黑体" w:eastAsia="黑体" w:hAnsi="Times New Roman" w:cs="黑体"/>
          <w:b/>
          <w:bCs/>
          <w:color w:val="000000" w:themeColor="text1"/>
          <w:sz w:val="20"/>
          <w:szCs w:val="20"/>
        </w:rPr>
      </w:pPr>
    </w:p>
    <w:p w14:paraId="4BE6B920" w14:textId="77777777" w:rsidR="007E6995" w:rsidRDefault="00384441">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7E6995" w:rsidRDefault="00384441">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7E6995" w:rsidRDefault="00384441">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12"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7E6995" w:rsidRDefault="007E6995">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7E6995" w:rsidRDefault="00384441">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7E6995" w:rsidRDefault="007E6995">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7E6995" w14:paraId="183E48AF" w14:textId="77777777">
        <w:trPr>
          <w:trHeight w:val="592"/>
        </w:trPr>
        <w:tc>
          <w:tcPr>
            <w:tcW w:w="2710" w:type="dxa"/>
            <w:vAlign w:val="center"/>
          </w:tcPr>
          <w:p w14:paraId="772276BD"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7E6995" w14:paraId="54AF3FFD" w14:textId="77777777">
        <w:trPr>
          <w:trHeight w:val="592"/>
        </w:trPr>
        <w:tc>
          <w:tcPr>
            <w:tcW w:w="2710" w:type="dxa"/>
            <w:vAlign w:val="center"/>
          </w:tcPr>
          <w:p w14:paraId="28771C18"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7E6995" w14:paraId="206290D1" w14:textId="77777777">
        <w:trPr>
          <w:trHeight w:val="592"/>
        </w:trPr>
        <w:tc>
          <w:tcPr>
            <w:tcW w:w="2710" w:type="dxa"/>
            <w:vAlign w:val="center"/>
          </w:tcPr>
          <w:p w14:paraId="6236ADF1"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7E6995" w14:paraId="0BC2022A" w14:textId="77777777">
        <w:trPr>
          <w:trHeight w:val="592"/>
        </w:trPr>
        <w:tc>
          <w:tcPr>
            <w:tcW w:w="2710" w:type="dxa"/>
            <w:vAlign w:val="center"/>
          </w:tcPr>
          <w:p w14:paraId="005A74E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7E6995" w14:paraId="128D3269" w14:textId="77777777">
        <w:trPr>
          <w:trHeight w:val="592"/>
        </w:trPr>
        <w:tc>
          <w:tcPr>
            <w:tcW w:w="2710" w:type="dxa"/>
            <w:vAlign w:val="center"/>
          </w:tcPr>
          <w:p w14:paraId="2CD9B6F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7E6995" w14:paraId="285622AD" w14:textId="77777777">
        <w:trPr>
          <w:trHeight w:val="592"/>
        </w:trPr>
        <w:tc>
          <w:tcPr>
            <w:tcW w:w="2710" w:type="dxa"/>
            <w:vAlign w:val="center"/>
          </w:tcPr>
          <w:p w14:paraId="4DD39353"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7E6995" w:rsidRDefault="00384441">
      <w:pPr>
        <w:snapToGrid w:val="0"/>
        <w:ind w:leftChars="-1" w:left="-2" w:rightChars="22" w:right="53" w:firstLineChars="200" w:firstLine="400"/>
        <w:rPr>
          <w:rFonts w:ascii="黑体" w:eastAsia="黑体" w:hAnsi="Times New Roman"/>
          <w:color w:val="000000" w:themeColor="text1"/>
          <w:sz w:val="20"/>
          <w:szCs w:val="20"/>
        </w:rPr>
      </w:pPr>
      <w:r>
        <w:rPr>
          <w:rFonts w:ascii="黑体" w:eastAsia="黑体" w:hAnsi="Times New Roman"/>
          <w:color w:val="000000" w:themeColor="text1"/>
          <w:sz w:val="20"/>
          <w:szCs w:val="20"/>
        </w:rPr>
        <w:t> </w:t>
      </w:r>
    </w:p>
    <w:p w14:paraId="73A10B9E" w14:textId="77777777" w:rsidR="007E6995" w:rsidRDefault="00384441">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7E6995" w:rsidRDefault="00384441">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7E6995" w:rsidRDefault="00384441">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3B24F25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产品拟通过债券等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在严控产品风险的基础上，通过对宏观经济、利率走势、资金供求、信用风险状况、债券市场走势等方面的分析和预测，把握市场投资机会，提高产品收益。</w:t>
      </w:r>
    </w:p>
    <w:p w14:paraId="662B714F" w14:textId="77777777" w:rsidR="007E6995" w:rsidRDefault="00384441">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7E6995" w:rsidRDefault="00384441">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66F06ADC"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7E6995" w:rsidRDefault="00384441">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7E6995" w:rsidRDefault="00384441">
      <w:pPr>
        <w:spacing w:line="300" w:lineRule="exact"/>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．投资禁止</w:t>
      </w:r>
      <w:r>
        <w:rPr>
          <w:rFonts w:ascii="楷体_GB2312" w:eastAsia="楷体_GB2312" w:cs="楷体_GB2312"/>
          <w:color w:val="000000" w:themeColor="text1"/>
          <w:sz w:val="20"/>
          <w:szCs w:val="20"/>
        </w:rPr>
        <w:t>：</w:t>
      </w:r>
    </w:p>
    <w:p w14:paraId="67DE7EE0" w14:textId="77777777" w:rsidR="007E6995" w:rsidRDefault="00384441">
      <w:pPr>
        <w:spacing w:line="300" w:lineRule="exact"/>
        <w:ind w:firstLineChars="100" w:firstLine="2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本理财产品存续期间，不得投资于以下金融工具：</w:t>
      </w:r>
    </w:p>
    <w:p w14:paraId="5DB6582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）股票；</w:t>
      </w:r>
    </w:p>
    <w:p w14:paraId="3761996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）可转换债券、可交换债券；</w:t>
      </w:r>
    </w:p>
    <w:p w14:paraId="3646E33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）信用等级在</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以下的债券、资产支持证券；</w:t>
      </w:r>
    </w:p>
    <w:p w14:paraId="7C26E24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7E6995" w:rsidRDefault="00384441">
      <w:pPr>
        <w:spacing w:line="300" w:lineRule="exact"/>
        <w:jc w:val="both"/>
        <w:rPr>
          <w:rFonts w:ascii="楷体_GB2312" w:eastAsia="楷体_GB2312" w:hAnsi="Times New Roman" w:cs="楷体_GB2312"/>
          <w:color w:val="000000" w:themeColor="text1"/>
          <w:sz w:val="20"/>
          <w:szCs w:val="20"/>
        </w:rPr>
      </w:pPr>
      <w:r>
        <w:rPr>
          <w:rFonts w:ascii="楷体_GB2312" w:eastAsia="楷体_GB2312" w:hint="eastAsia"/>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投资限制：</w:t>
      </w:r>
    </w:p>
    <w:p w14:paraId="7176E746"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a.（1）本产品投资于同一机构发行的债券及其作为原始权益人的资产支持证券的比例合计不得超过产品资产净值的10%，投资于国债、中央银行票据、政策性金融债券的除外。</w:t>
      </w:r>
    </w:p>
    <w:p w14:paraId="7A626E25"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投资于所有主体信用评级低于AAA的机构发行的金融工具的比例合计不得超过产品资产净值的10%，其中单一机构发行的金融工具的比例合计不得超过产品资产净值的2%；本款所称金融工具包括债券、银行存款、同业存单、相关机构作为原始权益人的资产支持证券及国务院银行业监督管理机构认可的其他金融工具。</w:t>
      </w:r>
    </w:p>
    <w:p w14:paraId="075BFEB7"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于有固定期限银行存款的比例合计不得超过产品资产净值的30%，投资于有存款期限，根据协议可提前支取的银行存款除外；本产品投资于主体信用评级为AAA的同一商业银行的银行存款、同业存单占产品资产净值的比例合计不得超过20%。</w:t>
      </w:r>
    </w:p>
    <w:p w14:paraId="6F3C5E9B"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非主观因素导致突破前款各项比例限制的，管理人应当在10个交易日内调整至符合要求，国务院银行业监督管理机构规定的特殊情形除外。</w:t>
      </w:r>
    </w:p>
    <w:p w14:paraId="5F1581A1"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b.（1）本产品持有不低于产品资产净值5%的现金、国债、中央银行票据、政策性金融债券；</w:t>
      </w:r>
    </w:p>
    <w:p w14:paraId="2B135A2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（2）本产品持有不低于产品资产净值10%的现金、国债、中央银行票据、政策性金融债券以及五个交易日内到期的其他金融工具；</w:t>
      </w:r>
    </w:p>
    <w:p w14:paraId="4089014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（3）本产品投资到期日在10个交易日以上的债券买入返售、银行定期存款（</w:t>
      </w:r>
      <w:proofErr w:type="gramStart"/>
      <w:r>
        <w:rPr>
          <w:rFonts w:ascii="楷体_GB2312" w:eastAsia="楷体_GB2312" w:hAnsi="Times New Roman" w:cs="楷体_GB2312" w:hint="eastAsia"/>
          <w:color w:val="000000" w:themeColor="text1"/>
          <w:sz w:val="20"/>
          <w:szCs w:val="20"/>
        </w:rPr>
        <w:t>含协议</w:t>
      </w:r>
      <w:proofErr w:type="gramEnd"/>
      <w:r>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2164B66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（4）本产品的杠杆水平不得超过120%，发生巨额赎回、连续3个交易日累计赎回20%以上或者连续5个交易日累计赎回30%以上的情形除外。</w:t>
      </w:r>
    </w:p>
    <w:p w14:paraId="4841E8AA"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非主观因素导致突破前款第（2）（4）项比例限制的，管理人应当在10个交易日内调整至符合要求；非主观因素导致突破前款第（3）项比例限制的，管理人不得主动新增流动性受限资产的投资。</w:t>
      </w:r>
    </w:p>
    <w:p w14:paraId="2D41E6F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c.（1）本产品投资组合的平均剩余期限不超过120天，平均剩余存续期限不超过240天。</w:t>
      </w:r>
    </w:p>
    <w:p w14:paraId="323544C9"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当本产品前10名投资者的持有份额合计超过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14:paraId="0809D405"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当本产品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5DE02A6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非因管理人主观因素导致突破前款（2）（3）项比例限制的，管理人应当在10个交易日内调整至符合要求，国务院银行业监督管理机构规定的特殊情形除外。</w:t>
      </w:r>
    </w:p>
    <w:p w14:paraId="467CE6DD"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d.</w:t>
      </w:r>
      <w:r>
        <w:rPr>
          <w:rFonts w:ascii="楷体_GB2312" w:eastAsia="楷体_GB2312" w:hAnsi="Times New Roman" w:cs="楷体_GB2312" w:hint="eastAsia"/>
          <w:color w:val="000000" w:themeColor="text1"/>
          <w:sz w:val="20"/>
          <w:szCs w:val="20"/>
        </w:rPr>
        <w:t>本产品不得同时出现下述情形:</w:t>
      </w:r>
    </w:p>
    <w:p w14:paraId="40B17BE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（1）计划投资不存在活跃交易市场，并且需要采用估值技术确定公允价值的资产；</w:t>
      </w:r>
    </w:p>
    <w:p w14:paraId="73EC5CE2"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（2）计划投资上述资产的比例达到产品净资产50%以上。</w:t>
      </w:r>
    </w:p>
    <w:p w14:paraId="3033FDCD"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e.直接投资于流动性受限资产的市值在开放日不得超过该产品资产净值的15%。因证券市场波动、理财产品规模变动等因素导致理财产品不符合本条规定比例限制的，不得主动新增投资流动性受限资产。</w:t>
      </w:r>
    </w:p>
    <w:p w14:paraId="3A2CBE3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f.在开放日前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工作日内，7个工作日可变现资产的可变现价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不低于产品资产净值的10%。</w:t>
      </w:r>
    </w:p>
    <w:p w14:paraId="17521386" w14:textId="77777777" w:rsidR="007E6995" w:rsidRDefault="00384441">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7E6995" w:rsidRDefault="00384441">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7E6995" w:rsidRDefault="00384441">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7E6995" w:rsidRDefault="00384441">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7E6995" w14:paraId="00072A39" w14:textId="77777777">
        <w:trPr>
          <w:trHeight w:val="361"/>
        </w:trPr>
        <w:tc>
          <w:tcPr>
            <w:tcW w:w="1127" w:type="pct"/>
            <w:vAlign w:val="center"/>
          </w:tcPr>
          <w:p w14:paraId="78DC2269"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7E6995" w:rsidRDefault="00384441">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【信银理财日盈象天天利212号现金管理型理财产品】</w:t>
            </w:r>
          </w:p>
        </w:tc>
      </w:tr>
      <w:tr w:rsidR="007E6995" w14:paraId="3A26CE64" w14:textId="77777777">
        <w:trPr>
          <w:trHeight w:val="361"/>
        </w:trPr>
        <w:tc>
          <w:tcPr>
            <w:tcW w:w="1127" w:type="pct"/>
            <w:vAlign w:val="center"/>
          </w:tcPr>
          <w:p w14:paraId="2DEB7120"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【Z7002624000590</w:t>
            </w:r>
            <w:r>
              <w:rPr>
                <w:rFonts w:ascii="楷体_GB2312" w:eastAsia="楷体_GB2312"/>
                <w:color w:val="000000" w:themeColor="text1"/>
                <w:sz w:val="20"/>
                <w:szCs w:val="20"/>
              </w:rPr>
              <w:t>】</w:t>
            </w:r>
          </w:p>
        </w:tc>
      </w:tr>
      <w:tr w:rsidR="007E6995" w14:paraId="12430016" w14:textId="77777777">
        <w:trPr>
          <w:trHeight w:val="361"/>
        </w:trPr>
        <w:tc>
          <w:tcPr>
            <w:tcW w:w="1127" w:type="pct"/>
            <w:vAlign w:val="center"/>
          </w:tcPr>
          <w:p w14:paraId="4AF52B2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【AM244162</w:t>
            </w:r>
            <w:r>
              <w:rPr>
                <w:rFonts w:ascii="楷体_GB2312" w:eastAsia="楷体_GB2312" w:cs="楷体_GB2312"/>
                <w:color w:val="000000" w:themeColor="text1"/>
                <w:sz w:val="20"/>
                <w:szCs w:val="20"/>
              </w:rPr>
              <w:t>】</w:t>
            </w:r>
          </w:p>
        </w:tc>
      </w:tr>
      <w:tr w:rsidR="007E6995" w14:paraId="616CA139" w14:textId="77777777">
        <w:trPr>
          <w:trHeight w:val="361"/>
        </w:trPr>
        <w:tc>
          <w:tcPr>
            <w:tcW w:w="1127" w:type="pct"/>
            <w:vAlign w:val="center"/>
          </w:tcPr>
          <w:p w14:paraId="7DC8A439"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7E6995" w14:paraId="400E3813" w14:textId="77777777">
        <w:trPr>
          <w:trHeight w:val="361"/>
        </w:trPr>
        <w:tc>
          <w:tcPr>
            <w:tcW w:w="1127" w:type="pct"/>
            <w:vAlign w:val="center"/>
          </w:tcPr>
          <w:p w14:paraId="1F71FAF3" w14:textId="77777777" w:rsidR="007E6995" w:rsidRDefault="00384441">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7E6995" w14:paraId="685D4D57" w14:textId="77777777">
        <w:trPr>
          <w:trHeight w:val="361"/>
        </w:trPr>
        <w:tc>
          <w:tcPr>
            <w:tcW w:w="1127" w:type="pct"/>
            <w:vAlign w:val="center"/>
          </w:tcPr>
          <w:p w14:paraId="58B37E3E"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7E6995" w14:paraId="7F6A435A" w14:textId="77777777">
        <w:trPr>
          <w:trHeight w:val="361"/>
        </w:trPr>
        <w:tc>
          <w:tcPr>
            <w:tcW w:w="1127" w:type="pct"/>
            <w:vAlign w:val="center"/>
          </w:tcPr>
          <w:p w14:paraId="7C89F815" w14:textId="77777777" w:rsidR="007E6995" w:rsidRDefault="00384441">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7E6995" w14:paraId="2C04AB67" w14:textId="77777777">
        <w:trPr>
          <w:trHeight w:val="361"/>
        </w:trPr>
        <w:tc>
          <w:tcPr>
            <w:tcW w:w="1127" w:type="pct"/>
            <w:vAlign w:val="center"/>
          </w:tcPr>
          <w:p w14:paraId="2AA6BEB2"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7E6995" w14:paraId="6EA870C1" w14:textId="77777777">
        <w:trPr>
          <w:trHeight w:val="361"/>
        </w:trPr>
        <w:tc>
          <w:tcPr>
            <w:tcW w:w="1127" w:type="pct"/>
            <w:vAlign w:val="center"/>
          </w:tcPr>
          <w:p w14:paraId="4AF6DAA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7E6995" w14:paraId="1E1AD0E9" w14:textId="77777777">
        <w:trPr>
          <w:trHeight w:val="915"/>
        </w:trPr>
        <w:tc>
          <w:tcPr>
            <w:tcW w:w="1127" w:type="pct"/>
            <w:vAlign w:val="center"/>
          </w:tcPr>
          <w:p w14:paraId="6E93370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50663C93"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A】</w:t>
            </w:r>
          </w:p>
          <w:p w14:paraId="57EC8B17"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D</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D】</w:t>
            </w:r>
          </w:p>
          <w:p w14:paraId="4F3754D4" w14:textId="77777777"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C类份额：份额代码【AM244162C】</w:t>
            </w:r>
          </w:p>
          <w:p w14:paraId="513ABE01" w14:textId="2224F981"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类份额：份额代码【AM244162</w:t>
            </w:r>
            <w:r>
              <w:rPr>
                <w:rFonts w:ascii="楷体_GB2312" w:eastAsia="楷体_GB2312" w:cs="楷体_GB2312"/>
                <w:sz w:val="20"/>
                <w:szCs w:val="20"/>
              </w:rPr>
              <w:t>B</w:t>
            </w:r>
            <w:r>
              <w:rPr>
                <w:rFonts w:ascii="楷体_GB2312" w:eastAsia="楷体_GB2312" w:cs="楷体_GB2312" w:hint="eastAsia"/>
                <w:sz w:val="20"/>
                <w:szCs w:val="20"/>
              </w:rPr>
              <w:t>】</w:t>
            </w:r>
          </w:p>
          <w:p w14:paraId="47D620A9" w14:textId="1B10CA07"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G</w:t>
            </w:r>
            <w:r>
              <w:rPr>
                <w:rFonts w:ascii="楷体_GB2312" w:eastAsia="楷体_GB2312" w:cs="楷体_GB2312" w:hint="eastAsia"/>
                <w:sz w:val="20"/>
                <w:szCs w:val="20"/>
              </w:rPr>
              <w:t>类份额：份额代码【AM244162</w:t>
            </w:r>
            <w:r>
              <w:rPr>
                <w:rFonts w:ascii="楷体_GB2312" w:eastAsia="楷体_GB2312" w:cs="楷体_GB2312"/>
                <w:sz w:val="20"/>
                <w:szCs w:val="20"/>
              </w:rPr>
              <w:t>G</w:t>
            </w:r>
            <w:r>
              <w:rPr>
                <w:rFonts w:ascii="楷体_GB2312" w:eastAsia="楷体_GB2312" w:cs="楷体_GB2312" w:hint="eastAsia"/>
                <w:sz w:val="20"/>
                <w:szCs w:val="20"/>
              </w:rPr>
              <w:t>】</w:t>
            </w:r>
          </w:p>
          <w:p w14:paraId="25301DEE" w14:textId="55EB1F55" w:rsidR="007E6995"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类份额：份额代码【AM244162</w:t>
            </w:r>
            <w:r>
              <w:rPr>
                <w:rFonts w:ascii="楷体_GB2312" w:eastAsia="楷体_GB2312" w:cs="楷体_GB2312"/>
                <w:sz w:val="20"/>
                <w:szCs w:val="20"/>
              </w:rPr>
              <w:t>M</w:t>
            </w:r>
            <w:r>
              <w:rPr>
                <w:rFonts w:ascii="楷体_GB2312" w:eastAsia="楷体_GB2312" w:cs="楷体_GB2312" w:hint="eastAsia"/>
                <w:sz w:val="20"/>
                <w:szCs w:val="20"/>
              </w:rPr>
              <w:t>】</w:t>
            </w:r>
          </w:p>
          <w:p w14:paraId="575893CF" w14:textId="77777777" w:rsidR="007E6995" w:rsidRDefault="007E6995">
            <w:pPr>
              <w:spacing w:line="300" w:lineRule="exact"/>
              <w:ind w:rightChars="15" w:right="36"/>
              <w:rPr>
                <w:rFonts w:ascii="楷体_GB2312" w:eastAsia="楷体_GB2312" w:cs="楷体_GB2312"/>
                <w:color w:val="000000" w:themeColor="text1"/>
                <w:sz w:val="20"/>
                <w:szCs w:val="20"/>
              </w:rPr>
            </w:pPr>
          </w:p>
          <w:p w14:paraId="20B36AF4"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302FFC50" w14:textId="77777777">
        <w:trPr>
          <w:trHeight w:val="395"/>
        </w:trPr>
        <w:tc>
          <w:tcPr>
            <w:tcW w:w="1127" w:type="pct"/>
            <w:vAlign w:val="center"/>
          </w:tcPr>
          <w:p w14:paraId="4EFD9B2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7E6995" w14:paraId="23AF6009" w14:textId="77777777">
        <w:trPr>
          <w:trHeight w:val="915"/>
        </w:trPr>
        <w:tc>
          <w:tcPr>
            <w:tcW w:w="1127" w:type="pct"/>
            <w:vAlign w:val="center"/>
          </w:tcPr>
          <w:p w14:paraId="4A3065B6"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7E6995" w:rsidRDefault="007E6995">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【4】</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【29】</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7E6995" w:rsidRDefault="00384441">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7E6995" w:rsidRDefault="00384441">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7E6995" w14:paraId="3E295E1A" w14:textId="77777777">
        <w:trPr>
          <w:trHeight w:val="361"/>
        </w:trPr>
        <w:tc>
          <w:tcPr>
            <w:tcW w:w="1127" w:type="pct"/>
            <w:vAlign w:val="center"/>
          </w:tcPr>
          <w:p w14:paraId="40CD44BD" w14:textId="77777777" w:rsidR="007E6995" w:rsidRDefault="00384441">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7E6995" w:rsidRDefault="00384441">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【4】</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【30】</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7E6995" w14:paraId="0BDE8D1B" w14:textId="77777777">
        <w:trPr>
          <w:trHeight w:val="361"/>
        </w:trPr>
        <w:tc>
          <w:tcPr>
            <w:tcW w:w="1127" w:type="pct"/>
            <w:vAlign w:val="center"/>
          </w:tcPr>
          <w:p w14:paraId="540BEFA0"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7E6995" w14:paraId="5C94DE88" w14:textId="77777777">
        <w:trPr>
          <w:trHeight w:val="361"/>
        </w:trPr>
        <w:tc>
          <w:tcPr>
            <w:tcW w:w="1127" w:type="pct"/>
            <w:vAlign w:val="center"/>
          </w:tcPr>
          <w:p w14:paraId="24E524A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7E6995" w:rsidRDefault="00384441">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5</w:t>
            </w:r>
            <w:r>
              <w:rPr>
                <w:rFonts w:ascii="楷体_GB2312" w:eastAsia="楷体_GB2312" w:cs="楷体_GB2312"/>
                <w:sz w:val="20"/>
                <w:szCs w:val="20"/>
              </w:rPr>
              <w:t>】月【</w:t>
            </w:r>
            <w:r>
              <w:rPr>
                <w:rFonts w:ascii="楷体_GB2312" w:eastAsia="楷体_GB2312" w:cs="楷体_GB2312" w:hint="eastAsia"/>
                <w:sz w:val="20"/>
                <w:szCs w:val="20"/>
              </w:rPr>
              <w:t>6</w:t>
            </w:r>
            <w:r>
              <w:rPr>
                <w:rFonts w:ascii="楷体_GB2312" w:eastAsia="楷体_GB2312" w:cs="楷体_GB2312"/>
                <w:sz w:val="20"/>
                <w:szCs w:val="20"/>
              </w:rPr>
              <w:t>】日开放申购，之后按【日】为周期进行开放，开放日为【每个工作日】（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5</w:t>
            </w:r>
            <w:r>
              <w:rPr>
                <w:rFonts w:ascii="楷体_GB2312" w:eastAsia="楷体_GB2312" w:cs="楷体_GB2312"/>
                <w:sz w:val="20"/>
                <w:szCs w:val="20"/>
              </w:rPr>
              <w:t>】月【</w:t>
            </w:r>
            <w:r>
              <w:rPr>
                <w:rFonts w:ascii="楷体_GB2312" w:eastAsia="楷体_GB2312" w:cs="楷体_GB2312" w:hint="eastAsia"/>
                <w:sz w:val="20"/>
                <w:szCs w:val="20"/>
              </w:rPr>
              <w:t>6</w:t>
            </w:r>
            <w:r>
              <w:rPr>
                <w:rFonts w:ascii="楷体_GB2312" w:eastAsia="楷体_GB2312" w:cs="楷体_GB2312"/>
                <w:sz w:val="20"/>
                <w:szCs w:val="20"/>
              </w:rPr>
              <w:t>】日，之后按【日】为周期进行开放，开放日为【每个工作日】（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7E6995" w:rsidRDefault="00384441">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7E6995" w14:paraId="7A206BAC" w14:textId="77777777">
        <w:trPr>
          <w:trHeight w:val="361"/>
        </w:trPr>
        <w:tc>
          <w:tcPr>
            <w:tcW w:w="1127" w:type="pct"/>
            <w:vAlign w:val="center"/>
          </w:tcPr>
          <w:p w14:paraId="5629E7D7"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7E6995" w14:paraId="1C72D9A5" w14:textId="77777777">
        <w:trPr>
          <w:trHeight w:val="361"/>
        </w:trPr>
        <w:tc>
          <w:tcPr>
            <w:tcW w:w="1127" w:type="pct"/>
            <w:vAlign w:val="center"/>
          </w:tcPr>
          <w:p w14:paraId="48CF949A" w14:textId="77777777" w:rsidR="007E6995" w:rsidRDefault="00384441">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73C12042"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A类份额：【中国人民银行公布的同期七天通知存款利率】</w:t>
            </w:r>
          </w:p>
          <w:p w14:paraId="6FC06E14"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D类份额：【中国人民银行公布的同期七天通知存款利率】</w:t>
            </w:r>
          </w:p>
          <w:p w14:paraId="69EBD2EF"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C类份额：【中国人民银行公布的同期七天通知存款利率】</w:t>
            </w:r>
          </w:p>
          <w:p w14:paraId="0DDEE90E" w14:textId="468C5617"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B类份额：【中国人民银行公布的同期七天通知存款利率】</w:t>
            </w:r>
          </w:p>
          <w:p w14:paraId="3B9F73E3" w14:textId="04547915"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G类份额：【中国人民银行公布的同期七天通知存款利率】</w:t>
            </w:r>
          </w:p>
          <w:p w14:paraId="6F2D8EF9" w14:textId="54B67339"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类份额：【中国人民银行公布的同期七天通知存款利率】</w:t>
            </w:r>
          </w:p>
          <w:p w14:paraId="18FD1834" w14:textId="77777777" w:rsidR="007E6995" w:rsidRPr="00384441" w:rsidRDefault="007E6995">
            <w:pPr>
              <w:spacing w:line="300" w:lineRule="exact"/>
              <w:ind w:leftChars="-1" w:left="-2" w:rightChars="15" w:right="36"/>
              <w:jc w:val="both"/>
              <w:rPr>
                <w:rFonts w:ascii="楷体_GB2312" w:eastAsia="楷体_GB2312" w:cs="楷体_GB2312"/>
                <w:color w:val="000000" w:themeColor="text1"/>
                <w:sz w:val="20"/>
                <w:szCs w:val="20"/>
              </w:rPr>
            </w:pPr>
          </w:p>
          <w:p w14:paraId="3D86CB1C"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业绩比较基准测算依据：【本理财产品为固定收益类产品，主要投向为存单、存款以及剩余期限在397天内债券，根据同业均广泛采用中国人民银行公布的同期</w:t>
            </w:r>
            <w:r>
              <w:rPr>
                <w:rFonts w:ascii="楷体_GB2312" w:eastAsia="楷体_GB2312" w:cs="楷体_GB2312"/>
                <w:color w:val="000000" w:themeColor="text1"/>
                <w:sz w:val="20"/>
                <w:szCs w:val="20"/>
              </w:rPr>
              <w:t>七</w:t>
            </w:r>
            <w:r>
              <w:rPr>
                <w:rFonts w:ascii="楷体_GB2312" w:eastAsia="楷体_GB2312" w:cs="楷体_GB2312" w:hint="eastAsia"/>
                <w:color w:val="000000" w:themeColor="text1"/>
                <w:sz w:val="20"/>
                <w:szCs w:val="20"/>
              </w:rPr>
              <w:t>天通知存款利率作为业绩基准，因此本产品业绩基准为中国人民银行公布的同期</w:t>
            </w:r>
            <w:r>
              <w:rPr>
                <w:rFonts w:ascii="楷体_GB2312" w:eastAsia="楷体_GB2312" w:cs="楷体_GB2312"/>
                <w:color w:val="000000" w:themeColor="text1"/>
                <w:sz w:val="20"/>
                <w:szCs w:val="20"/>
              </w:rPr>
              <w:t>七</w:t>
            </w:r>
            <w:r>
              <w:rPr>
                <w:rFonts w:ascii="楷体_GB2312" w:eastAsia="楷体_GB2312" w:cs="楷体_GB2312" w:hint="eastAsia"/>
                <w:color w:val="000000" w:themeColor="text1"/>
                <w:sz w:val="20"/>
                <w:szCs w:val="20"/>
              </w:rPr>
              <w:t>天通知存款利率</w:t>
            </w:r>
            <w:r>
              <w:rPr>
                <w:rFonts w:ascii="楷体_GB2312" w:eastAsia="楷体_GB2312" w:cs="楷体_GB2312"/>
                <w:color w:val="000000" w:themeColor="text1"/>
                <w:sz w:val="20"/>
                <w:szCs w:val="20"/>
              </w:rPr>
              <w:t>】。</w:t>
            </w:r>
          </w:p>
          <w:p w14:paraId="1D4E1FDC" w14:textId="77777777" w:rsidR="007E6995" w:rsidRDefault="00384441">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7E6995" w14:paraId="3DF912A9" w14:textId="77777777">
        <w:trPr>
          <w:trHeight w:val="361"/>
        </w:trPr>
        <w:tc>
          <w:tcPr>
            <w:tcW w:w="1127" w:type="pct"/>
            <w:vAlign w:val="center"/>
          </w:tcPr>
          <w:p w14:paraId="7D14561F"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7E6995" w14:paraId="40B527DB" w14:textId="77777777">
        <w:trPr>
          <w:trHeight w:val="361"/>
        </w:trPr>
        <w:tc>
          <w:tcPr>
            <w:tcW w:w="1127" w:type="pct"/>
            <w:vAlign w:val="center"/>
          </w:tcPr>
          <w:p w14:paraId="682A08E0"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72FAC6F0" w14:textId="77777777">
        <w:trPr>
          <w:trHeight w:val="361"/>
        </w:trPr>
        <w:tc>
          <w:tcPr>
            <w:tcW w:w="1127" w:type="pct"/>
            <w:vAlign w:val="center"/>
          </w:tcPr>
          <w:p w14:paraId="57537027"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7E6995" w14:paraId="39D28D4C" w14:textId="77777777">
        <w:trPr>
          <w:trHeight w:val="361"/>
        </w:trPr>
        <w:tc>
          <w:tcPr>
            <w:tcW w:w="1127" w:type="pct"/>
            <w:vAlign w:val="center"/>
          </w:tcPr>
          <w:p w14:paraId="42DE827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2FB3ECE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75B6E84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D类份额：初始认购金额不低于【人民币】【1】元，以【人民币】【0.01】元的整数倍增加。追加认购金额不低于【人民币】【0.01】元，以【人民币】【0.01】元的整数倍增加。</w:t>
            </w:r>
          </w:p>
          <w:p w14:paraId="3277788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D类份额：首次申购金额不低于【人民币】【100】万元，以【人民币】【0.01】元的整数倍增加。追加申购金额不低于【人民币】【0.01】元，以【人民币】【0.01】元的整数倍增加。</w:t>
            </w:r>
          </w:p>
          <w:p w14:paraId="6DDC489F" w14:textId="7777777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C类份额：初始认购/首次申购金额不低于【人民币】【1】元，以【人民币】【0.01】元的整数倍增加。追加认购/申购金额不低于【人民币】【0.01】元，以【人民币】【0.01】元的整数倍增加。</w:t>
            </w:r>
          </w:p>
          <w:p w14:paraId="08DBD1AC" w14:textId="5BA97068"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B</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BC094A2" w14:textId="50E797AD"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41A49DDB" w14:textId="65C32E26" w:rsidR="007E6995"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2940763" w14:textId="77777777" w:rsidR="007E6995" w:rsidRDefault="007E6995">
            <w:pPr>
              <w:spacing w:line="300" w:lineRule="exact"/>
              <w:ind w:leftChars="-1" w:left="-2" w:rightChars="15" w:right="36"/>
              <w:rPr>
                <w:rFonts w:ascii="楷体_GB2312" w:eastAsia="楷体_GB2312" w:cs="楷体_GB2312"/>
                <w:color w:val="000000" w:themeColor="text1"/>
                <w:sz w:val="20"/>
                <w:szCs w:val="20"/>
              </w:rPr>
            </w:pPr>
          </w:p>
          <w:p w14:paraId="351F53C4"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7E6995" w14:paraId="5876F464" w14:textId="77777777">
        <w:trPr>
          <w:trHeight w:val="361"/>
        </w:trPr>
        <w:tc>
          <w:tcPr>
            <w:tcW w:w="1127" w:type="pct"/>
            <w:vAlign w:val="center"/>
          </w:tcPr>
          <w:p w14:paraId="5CB389DC"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7E6995" w:rsidRDefault="00384441">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7E6995" w:rsidRDefault="00384441">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7E6995" w:rsidRDefault="00384441">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7E6995" w14:paraId="4F437762" w14:textId="77777777">
        <w:trPr>
          <w:trHeight w:val="361"/>
        </w:trPr>
        <w:tc>
          <w:tcPr>
            <w:tcW w:w="1127" w:type="pct"/>
            <w:vAlign w:val="center"/>
          </w:tcPr>
          <w:p w14:paraId="4D777C0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62AAE1AD"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277AF26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13969A27" w14:textId="7777777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C类份额：单个投资者持仓份额下限为【0.01】份。投资者提出部分赎回时，如赎回后投资者持有份额不足【0.01】份，则管理人将对投资者剩余份额发起强制赎回。</w:t>
            </w:r>
          </w:p>
          <w:p w14:paraId="29ED83AC" w14:textId="7B50B19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598A263" w14:textId="336798C9"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53E3B863" w14:textId="18E36836" w:rsidR="007E6995"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4BE1C74" w14:textId="77777777" w:rsidR="007E6995" w:rsidRDefault="007E6995">
            <w:pPr>
              <w:spacing w:line="300" w:lineRule="exact"/>
              <w:ind w:leftChars="-1" w:left="-2" w:rightChars="15" w:right="36"/>
              <w:rPr>
                <w:rFonts w:ascii="楷体_GB2312" w:eastAsia="楷体_GB2312" w:cs="楷体_GB2312"/>
                <w:color w:val="000000" w:themeColor="text1"/>
                <w:sz w:val="20"/>
                <w:szCs w:val="20"/>
              </w:rPr>
            </w:pPr>
          </w:p>
          <w:p w14:paraId="32E9D2A9" w14:textId="77777777" w:rsidR="007E6995" w:rsidRDefault="00384441">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lastRenderedPageBreak/>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7E6995" w14:paraId="34B2102E" w14:textId="77777777">
        <w:trPr>
          <w:trHeight w:val="361"/>
        </w:trPr>
        <w:tc>
          <w:tcPr>
            <w:tcW w:w="1127" w:type="pct"/>
            <w:vAlign w:val="center"/>
          </w:tcPr>
          <w:p w14:paraId="6A47CA35"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份额单位</w:t>
            </w:r>
          </w:p>
        </w:tc>
        <w:tc>
          <w:tcPr>
            <w:tcW w:w="3873" w:type="pct"/>
            <w:vAlign w:val="center"/>
          </w:tcPr>
          <w:p w14:paraId="5F254AC3"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7E6995" w14:paraId="7C63D32C" w14:textId="77777777">
        <w:trPr>
          <w:trHeight w:val="361"/>
        </w:trPr>
        <w:tc>
          <w:tcPr>
            <w:tcW w:w="1127" w:type="pct"/>
            <w:vAlign w:val="center"/>
          </w:tcPr>
          <w:p w14:paraId="2E23796C"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3" w:type="pct"/>
            <w:vAlign w:val="center"/>
          </w:tcPr>
          <w:p w14:paraId="1413D3E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7F4FFBFF" w14:textId="77777777" w:rsidR="007E6995" w:rsidRDefault="00384441">
            <w:pPr>
              <w:spacing w:line="300" w:lineRule="exact"/>
              <w:ind w:rightChars="12" w:right="29"/>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本产品采用</w:t>
            </w:r>
            <w:r>
              <w:rPr>
                <w:rFonts w:ascii="楷体_GB2312" w:eastAsia="楷体_GB2312"/>
                <w:color w:val="000000" w:themeColor="text1"/>
                <w:sz w:val="20"/>
                <w:szCs w:val="20"/>
              </w:rPr>
              <w:t>1.00元固定份额净值交易方式，自产品运作起始日起每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将实现的产品净收益【结转为份额】，以使每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的产品份额净值始终保持1.00元。</w:t>
            </w:r>
          </w:p>
          <w:p w14:paraId="729FED69" w14:textId="77777777" w:rsidR="007E6995" w:rsidRDefault="00384441">
            <w:p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7E6995" w14:paraId="57EAC0AE" w14:textId="77777777">
        <w:trPr>
          <w:trHeight w:val="361"/>
        </w:trPr>
        <w:tc>
          <w:tcPr>
            <w:tcW w:w="1127" w:type="pct"/>
            <w:vAlign w:val="center"/>
          </w:tcPr>
          <w:p w14:paraId="638E573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t>每万份理财产品已实现收益</w:t>
            </w:r>
          </w:p>
        </w:tc>
        <w:tc>
          <w:tcPr>
            <w:tcW w:w="3873" w:type="pct"/>
            <w:vAlign w:val="center"/>
          </w:tcPr>
          <w:p w14:paraId="41EDA658" w14:textId="77777777" w:rsidR="007E6995" w:rsidRDefault="00384441">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7E6995" w14:paraId="43C5AC43" w14:textId="77777777">
        <w:trPr>
          <w:trHeight w:val="361"/>
        </w:trPr>
        <w:tc>
          <w:tcPr>
            <w:tcW w:w="1127" w:type="pct"/>
            <w:vAlign w:val="center"/>
          </w:tcPr>
          <w:p w14:paraId="7B74C65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7E6995" w14:paraId="3CF2EFF4" w14:textId="77777777">
        <w:trPr>
          <w:trHeight w:val="361"/>
        </w:trPr>
        <w:tc>
          <w:tcPr>
            <w:tcW w:w="1127" w:type="pct"/>
            <w:vAlign w:val="center"/>
          </w:tcPr>
          <w:p w14:paraId="1CA92CE8"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7E6995" w:rsidRDefault="00384441">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7E6995" w14:paraId="26761B43" w14:textId="77777777">
        <w:trPr>
          <w:trHeight w:val="361"/>
        </w:trPr>
        <w:tc>
          <w:tcPr>
            <w:tcW w:w="1127" w:type="pct"/>
            <w:vAlign w:val="center"/>
          </w:tcPr>
          <w:p w14:paraId="4EEC3F0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7E6995" w:rsidRDefault="00384441">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7E6995" w14:paraId="1FDCB8E2" w14:textId="77777777">
        <w:trPr>
          <w:trHeight w:val="361"/>
        </w:trPr>
        <w:tc>
          <w:tcPr>
            <w:tcW w:w="1127" w:type="pct"/>
            <w:vAlign w:val="center"/>
          </w:tcPr>
          <w:p w14:paraId="1F22906B"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7E6995" w14:paraId="5A00A566" w14:textId="77777777">
        <w:trPr>
          <w:trHeight w:val="361"/>
        </w:trPr>
        <w:tc>
          <w:tcPr>
            <w:tcW w:w="1127" w:type="pct"/>
            <w:vAlign w:val="center"/>
          </w:tcPr>
          <w:p w14:paraId="71AD8659"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7E6995" w:rsidRDefault="00384441">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3FCD61DE" w:rsidR="007E6995" w:rsidRDefault="00384441">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1.</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D类份额不收取认购费</w:t>
            </w:r>
            <w:r>
              <w:rPr>
                <w:rFonts w:ascii="楷体_GB2312" w:eastAsia="楷体_GB2312" w:cs="楷体_GB2312" w:hint="eastAsia"/>
                <w:b/>
                <w:color w:val="000000" w:themeColor="text1"/>
                <w:sz w:val="20"/>
                <w:szCs w:val="20"/>
              </w:rPr>
              <w:t>，C类份额不收取认购费，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p>
          <w:p w14:paraId="2C4E7E6D" w14:textId="6894DA36" w:rsidR="007E6995" w:rsidRDefault="00384441">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D类份额不收取申购费</w:t>
            </w:r>
            <w:r>
              <w:rPr>
                <w:rFonts w:ascii="楷体_GB2312" w:eastAsia="楷体_GB2312" w:cs="楷体_GB2312" w:hint="eastAsia"/>
                <w:b/>
                <w:color w:val="000000" w:themeColor="text1"/>
                <w:sz w:val="20"/>
                <w:szCs w:val="20"/>
              </w:rPr>
              <w:t>，C类份额不收取申购费，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14:paraId="5A54F5BC" w14:textId="3B2AADCC" w:rsidR="007E6995" w:rsidRDefault="00384441">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D类份额不收取赎回费</w:t>
            </w:r>
            <w:r>
              <w:rPr>
                <w:rFonts w:ascii="楷体_GB2312" w:eastAsia="楷体_GB2312" w:cs="楷体_GB2312" w:hint="eastAsia"/>
                <w:b/>
                <w:color w:val="000000" w:themeColor="text1"/>
                <w:sz w:val="20"/>
                <w:szCs w:val="20"/>
              </w:rPr>
              <w:t>，C类份额不收取赎回费，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08641AD9" w14:textId="75338E86" w:rsidR="007E6995" w:rsidRDefault="00384441">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w:t>
            </w: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D类份额费率【0.40%】/年</w:t>
            </w:r>
            <w:r>
              <w:rPr>
                <w:rFonts w:ascii="楷体_GB2312" w:eastAsia="楷体_GB2312" w:cs="楷体_GB2312" w:hint="eastAsia"/>
                <w:b/>
                <w:color w:val="000000" w:themeColor="text1"/>
                <w:sz w:val="20"/>
                <w:szCs w:val="20"/>
              </w:rPr>
              <w:t>，C类份额费率【0.40%】/年，</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w:t>
            </w:r>
          </w:p>
          <w:p w14:paraId="03669961"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 xml:space="preserve">【0.05%】/年。 </w:t>
            </w:r>
          </w:p>
          <w:p w14:paraId="1216C79A"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w:t>
            </w:r>
            <w:r>
              <w:rPr>
                <w:rFonts w:ascii="楷体_GB2312" w:eastAsia="楷体_GB2312" w:cs="楷体_GB2312" w:hint="eastAsia"/>
                <w:b/>
                <w:color w:val="000000" w:themeColor="text1"/>
                <w:sz w:val="20"/>
                <w:szCs w:val="20"/>
              </w:rPr>
              <w:t>固定管理费：费率【0.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w:t>
            </w:r>
          </w:p>
          <w:p w14:paraId="2091BEE2"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浮动管理费：</w:t>
            </w:r>
          </w:p>
          <w:p w14:paraId="65D772AB"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424CC8C1"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D类份额不收取浮动管理费</w:t>
            </w:r>
            <w:r>
              <w:rPr>
                <w:rFonts w:ascii="楷体_GB2312" w:eastAsia="楷体_GB2312" w:cs="楷体_GB2312" w:hint="eastAsia"/>
                <w:b/>
                <w:color w:val="000000" w:themeColor="text1"/>
                <w:sz w:val="20"/>
                <w:szCs w:val="20"/>
              </w:rPr>
              <w:t>。</w:t>
            </w:r>
          </w:p>
          <w:p w14:paraId="50B8FB80" w14:textId="77777777"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C类份额不收取浮动管理费。</w:t>
            </w:r>
          </w:p>
          <w:p w14:paraId="70CBDB81" w14:textId="776A7DBC"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类份额不收取浮动管理费。</w:t>
            </w:r>
          </w:p>
          <w:p w14:paraId="36BD2246" w14:textId="206DBA08"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类份额不收取浮动管理费。</w:t>
            </w:r>
          </w:p>
          <w:p w14:paraId="1F3A8E78" w14:textId="6561BE85" w:rsidR="007E6995"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130B9B0F" w14:textId="77777777" w:rsidR="007E6995" w:rsidRDefault="007E6995">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7E6995" w:rsidRDefault="00384441">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7E6995" w:rsidRDefault="00384441">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7E6995" w:rsidRDefault="00384441">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7E6995" w:rsidRDefault="00384441">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7E6995" w14:paraId="2611E42F" w14:textId="77777777">
        <w:trPr>
          <w:trHeight w:val="361"/>
        </w:trPr>
        <w:tc>
          <w:tcPr>
            <w:tcW w:w="1127" w:type="pct"/>
            <w:vAlign w:val="center"/>
          </w:tcPr>
          <w:p w14:paraId="65D624A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7E6995" w:rsidRDefault="00384441">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7E6995" w14:paraId="5DAA4C41" w14:textId="77777777">
        <w:trPr>
          <w:trHeight w:val="361"/>
        </w:trPr>
        <w:tc>
          <w:tcPr>
            <w:tcW w:w="1127" w:type="pct"/>
            <w:vAlign w:val="center"/>
          </w:tcPr>
          <w:p w14:paraId="36EAE5E5"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7953729F"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A】</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11612B3C"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57C45ECF"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3760604"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01D180A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54B048A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2.企业名称：【中信银行股份有限公司】</w:t>
            </w:r>
          </w:p>
          <w:p w14:paraId="09E04E58"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D2A3C5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5807EB27"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2B2CF332" w14:textId="77777777" w:rsidR="007E6995" w:rsidRDefault="007E6995">
            <w:pPr>
              <w:spacing w:line="300" w:lineRule="exact"/>
              <w:ind w:rightChars="15" w:right="36"/>
              <w:rPr>
                <w:rFonts w:ascii="楷体_GB2312" w:eastAsia="楷体_GB2312" w:cs="楷体_GB2312"/>
                <w:color w:val="000000" w:themeColor="text1"/>
                <w:sz w:val="20"/>
                <w:szCs w:val="20"/>
              </w:rPr>
            </w:pPr>
          </w:p>
          <w:p w14:paraId="018701AD"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D类份额（份额代码【</w:t>
            </w:r>
            <w:r>
              <w:rPr>
                <w:rFonts w:ascii="楷体_GB2312" w:eastAsia="楷体_GB2312" w:cs="楷体_GB2312" w:hint="eastAsia"/>
                <w:color w:val="000000" w:themeColor="text1"/>
                <w:sz w:val="20"/>
                <w:szCs w:val="20"/>
              </w:rPr>
              <w:t>AM244162</w:t>
            </w:r>
            <w:r>
              <w:rPr>
                <w:rFonts w:ascii="楷体_GB2312" w:eastAsia="楷体_GB2312" w:cs="楷体_GB2312"/>
                <w:color w:val="000000" w:themeColor="text1"/>
                <w:sz w:val="20"/>
                <w:szCs w:val="20"/>
              </w:rPr>
              <w:t>D】）合作销售机构信息：</w:t>
            </w:r>
          </w:p>
          <w:p w14:paraId="335801F8"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525062C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70EB6AC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126BAEF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950950】</w:t>
            </w:r>
          </w:p>
          <w:p w14:paraId="35AD5861"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2.企业名称：【中信银行股份有限公司】</w:t>
            </w:r>
          </w:p>
          <w:p w14:paraId="562461BF"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4CC6B46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7E04A3D8"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5C51EE42" w14:textId="77777777" w:rsidR="007E6995" w:rsidRDefault="007E6995">
            <w:pPr>
              <w:spacing w:line="300" w:lineRule="exact"/>
              <w:ind w:rightChars="15" w:right="36"/>
              <w:rPr>
                <w:rFonts w:ascii="楷体_GB2312" w:eastAsia="楷体_GB2312" w:cs="楷体_GB2312"/>
                <w:color w:val="000000" w:themeColor="text1"/>
                <w:sz w:val="20"/>
                <w:szCs w:val="20"/>
              </w:rPr>
            </w:pPr>
          </w:p>
          <w:p w14:paraId="7EF47FAE"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C类份额（份额代码【AM244162C】）合作销售机构信息：</w:t>
            </w:r>
          </w:p>
          <w:p w14:paraId="0106A5E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AC7E9D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4CAD727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A6A6AEC"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0943706D" w14:textId="7D6641BA" w:rsidR="00771D6B" w:rsidRPr="00771D6B" w:rsidRDefault="00771D6B" w:rsidP="00771D6B">
            <w:pPr>
              <w:spacing w:line="300" w:lineRule="exact"/>
              <w:ind w:rightChars="15" w:right="36"/>
              <w:rPr>
                <w:rFonts w:ascii="楷体_GB2312" w:eastAsia="楷体_GB2312" w:cs="楷体_GB2312"/>
                <w:color w:val="000000" w:themeColor="text1"/>
                <w:sz w:val="20"/>
                <w:szCs w:val="20"/>
              </w:rPr>
            </w:pPr>
            <w:bookmarkStart w:id="0" w:name="_GoBack"/>
            <w:r>
              <w:rPr>
                <w:rFonts w:ascii="楷体_GB2312" w:eastAsia="楷体_GB2312" w:cs="楷体_GB2312"/>
                <w:color w:val="000000" w:themeColor="text1"/>
                <w:sz w:val="20"/>
                <w:szCs w:val="20"/>
              </w:rPr>
              <w:t>2</w:t>
            </w:r>
            <w:r w:rsidRPr="00771D6B">
              <w:rPr>
                <w:rFonts w:ascii="楷体_GB2312" w:eastAsia="楷体_GB2312" w:cs="楷体_GB2312"/>
                <w:color w:val="000000" w:themeColor="text1"/>
                <w:sz w:val="20"/>
                <w:szCs w:val="20"/>
              </w:rPr>
              <w:t>.企业名称：【中信银行股份有限公司】</w:t>
            </w:r>
          </w:p>
          <w:p w14:paraId="7B3CAB82" w14:textId="77777777" w:rsidR="00771D6B" w:rsidRPr="00771D6B"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统一社会信用代码：【</w:t>
            </w:r>
            <w:r w:rsidRPr="00771D6B">
              <w:rPr>
                <w:rFonts w:ascii="楷体_GB2312" w:eastAsia="楷体_GB2312" w:cs="楷体_GB2312"/>
                <w:color w:val="000000" w:themeColor="text1"/>
                <w:sz w:val="20"/>
                <w:szCs w:val="20"/>
              </w:rPr>
              <w:t>91110000101690725E】</w:t>
            </w:r>
          </w:p>
          <w:p w14:paraId="618C96FB" w14:textId="77777777" w:rsidR="00771D6B" w:rsidRPr="00771D6B"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住所：【北京市朝阳区光华路</w:t>
            </w:r>
            <w:r w:rsidRPr="00771D6B">
              <w:rPr>
                <w:rFonts w:ascii="楷体_GB2312" w:eastAsia="楷体_GB2312" w:cs="楷体_GB2312"/>
                <w:color w:val="000000" w:themeColor="text1"/>
                <w:sz w:val="20"/>
                <w:szCs w:val="20"/>
              </w:rPr>
              <w:t>10号中信大厦】</w:t>
            </w:r>
          </w:p>
          <w:p w14:paraId="2E8BECD5" w14:textId="698905A8" w:rsidR="00384441"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客户服务热线：【</w:t>
            </w:r>
            <w:r w:rsidRPr="00771D6B">
              <w:rPr>
                <w:rFonts w:ascii="楷体_GB2312" w:eastAsia="楷体_GB2312" w:cs="楷体_GB2312"/>
                <w:color w:val="000000" w:themeColor="text1"/>
                <w:sz w:val="20"/>
                <w:szCs w:val="20"/>
              </w:rPr>
              <w:t>95558】</w:t>
            </w:r>
          </w:p>
          <w:bookmarkEnd w:id="0"/>
          <w:p w14:paraId="48AADC24" w14:textId="77777777" w:rsidR="00771D6B" w:rsidRDefault="00771D6B" w:rsidP="00771D6B">
            <w:pPr>
              <w:spacing w:line="300" w:lineRule="exact"/>
              <w:ind w:rightChars="15" w:right="36"/>
              <w:rPr>
                <w:rFonts w:ascii="楷体_GB2312" w:eastAsia="楷体_GB2312" w:cs="楷体_GB2312"/>
                <w:color w:val="000000" w:themeColor="text1"/>
                <w:sz w:val="20"/>
                <w:szCs w:val="20"/>
              </w:rPr>
            </w:pPr>
          </w:p>
          <w:p w14:paraId="490974DB" w14:textId="0D0A7456"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】）合作销售机构信息：</w:t>
            </w:r>
          </w:p>
          <w:p w14:paraId="0AD4C85C"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01719E3"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3148D03D"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51698588"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B6F6717" w14:textId="7CDD6FC2"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.企业名称：【江苏射阳农村商业银行股份有限公司】</w:t>
            </w:r>
          </w:p>
          <w:p w14:paraId="0BD2BD31"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913209001405584874】</w:t>
            </w:r>
          </w:p>
          <w:p w14:paraId="2EB0C07E"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住所：【江苏省盐城市射阳县合德镇解放路</w:t>
            </w:r>
            <w:r w:rsidRPr="00F71168">
              <w:rPr>
                <w:rFonts w:ascii="楷体_GB2312" w:eastAsia="楷体_GB2312" w:cs="楷体_GB2312"/>
                <w:color w:val="000000" w:themeColor="text1"/>
                <w:sz w:val="20"/>
                <w:szCs w:val="20"/>
              </w:rPr>
              <w:t>385号】</w:t>
            </w:r>
          </w:p>
          <w:p w14:paraId="4DD56462"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0515-69966666】</w:t>
            </w:r>
          </w:p>
          <w:p w14:paraId="0E78EFCD" w14:textId="5A1A2BA6"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.企业名称：【江苏句容农村商业银行股份有限公司】</w:t>
            </w:r>
          </w:p>
          <w:p w14:paraId="50944A09"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91321100576724933U】</w:t>
            </w:r>
          </w:p>
          <w:p w14:paraId="63E92ECF"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住所：【江苏省句容市福地东路</w:t>
            </w:r>
            <w:r w:rsidRPr="00F71168">
              <w:rPr>
                <w:rFonts w:ascii="楷体_GB2312" w:eastAsia="楷体_GB2312" w:cs="楷体_GB2312"/>
                <w:color w:val="000000" w:themeColor="text1"/>
                <w:sz w:val="20"/>
                <w:szCs w:val="20"/>
              </w:rPr>
              <w:t>66号】</w:t>
            </w:r>
          </w:p>
          <w:p w14:paraId="03B5987D"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0513-96008】</w:t>
            </w:r>
          </w:p>
          <w:p w14:paraId="68A7AC5A" w14:textId="390C36D4"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.企业名称：【江苏镇江农村商业银行股份有限公司】</w:t>
            </w:r>
          </w:p>
          <w:p w14:paraId="038BFAB3"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913211005691909538】</w:t>
            </w:r>
          </w:p>
          <w:p w14:paraId="2C1D5E20"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住所：【江苏省镇江市润州区长江路</w:t>
            </w:r>
            <w:r w:rsidRPr="00F71168">
              <w:rPr>
                <w:rFonts w:ascii="楷体_GB2312" w:eastAsia="楷体_GB2312" w:cs="楷体_GB2312"/>
                <w:color w:val="000000" w:themeColor="text1"/>
                <w:sz w:val="20"/>
                <w:szCs w:val="20"/>
              </w:rPr>
              <w:t>97号】</w:t>
            </w:r>
          </w:p>
          <w:p w14:paraId="7DB0B4D5"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0513-96008】</w:t>
            </w:r>
          </w:p>
          <w:p w14:paraId="7F164CF5" w14:textId="2E65FC1C"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F71168">
              <w:rPr>
                <w:rFonts w:ascii="楷体_GB2312" w:eastAsia="楷体_GB2312" w:cs="楷体_GB2312"/>
                <w:color w:val="000000" w:themeColor="text1"/>
                <w:sz w:val="20"/>
                <w:szCs w:val="20"/>
              </w:rPr>
              <w:t>.企业名称：【江苏民丰农村商业银行股份有限公司】</w:t>
            </w:r>
          </w:p>
          <w:p w14:paraId="15933D54"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9132130068353983XJ】</w:t>
            </w:r>
          </w:p>
          <w:p w14:paraId="4CA48FC3"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住所：【江苏省宿迁市宿城区高宝湖路</w:t>
            </w:r>
            <w:r w:rsidRPr="00F71168">
              <w:rPr>
                <w:rFonts w:ascii="楷体_GB2312" w:eastAsia="楷体_GB2312" w:cs="楷体_GB2312"/>
                <w:color w:val="000000" w:themeColor="text1"/>
                <w:sz w:val="20"/>
                <w:szCs w:val="20"/>
              </w:rPr>
              <w:t>1号】</w:t>
            </w:r>
          </w:p>
          <w:p w14:paraId="58349649" w14:textId="602C1A48" w:rsidR="00384441"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16F93252" w14:textId="77777777" w:rsidR="00F71168" w:rsidRDefault="00F71168" w:rsidP="00F71168">
            <w:pPr>
              <w:spacing w:line="300" w:lineRule="exact"/>
              <w:ind w:rightChars="15" w:right="36"/>
              <w:rPr>
                <w:rFonts w:ascii="楷体_GB2312" w:eastAsia="楷体_GB2312" w:cs="楷体_GB2312"/>
                <w:color w:val="000000" w:themeColor="text1"/>
                <w:sz w:val="20"/>
                <w:szCs w:val="20"/>
              </w:rPr>
            </w:pPr>
          </w:p>
          <w:p w14:paraId="74764D3A" w14:textId="5CFF565B"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】）合作销售机构信息：</w:t>
            </w:r>
          </w:p>
          <w:p w14:paraId="797D9AAF"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62A42C13"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4F3BC286"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2A25E8E"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6E8B3849" w14:textId="28E42D8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.企业名称：【江苏大丰农村商业银行股份有限公司】</w:t>
            </w:r>
          </w:p>
          <w:p w14:paraId="6DFB498B"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91320900782094063W】</w:t>
            </w:r>
          </w:p>
          <w:p w14:paraId="5C41519B"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住所：【江苏省盐城市大丰区常新中路</w:t>
            </w:r>
            <w:r w:rsidRPr="00F71168">
              <w:rPr>
                <w:rFonts w:ascii="楷体_GB2312" w:eastAsia="楷体_GB2312" w:cs="楷体_GB2312"/>
                <w:color w:val="000000" w:themeColor="text1"/>
                <w:sz w:val="20"/>
                <w:szCs w:val="20"/>
              </w:rPr>
              <w:t>9号】</w:t>
            </w:r>
          </w:p>
          <w:p w14:paraId="50E487BE"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lastRenderedPageBreak/>
              <w:t>客户服务热线：【</w:t>
            </w:r>
            <w:r w:rsidRPr="00F71168">
              <w:rPr>
                <w:rFonts w:ascii="楷体_GB2312" w:eastAsia="楷体_GB2312" w:cs="楷体_GB2312"/>
                <w:color w:val="000000" w:themeColor="text1"/>
                <w:sz w:val="20"/>
                <w:szCs w:val="20"/>
              </w:rPr>
              <w:t>96008】</w:t>
            </w:r>
          </w:p>
          <w:p w14:paraId="6A385518" w14:textId="61143369"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.企业名称：【江苏响水农村商业银行股份有限公司】</w:t>
            </w:r>
          </w:p>
          <w:p w14:paraId="0E256817"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91320900703856446L】</w:t>
            </w:r>
          </w:p>
          <w:p w14:paraId="4C17032F"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住所：【江苏省盐城市响水县双园路</w:t>
            </w:r>
            <w:r w:rsidRPr="00F71168">
              <w:rPr>
                <w:rFonts w:ascii="楷体_GB2312" w:eastAsia="楷体_GB2312" w:cs="楷体_GB2312"/>
                <w:color w:val="000000" w:themeColor="text1"/>
                <w:sz w:val="20"/>
                <w:szCs w:val="20"/>
              </w:rPr>
              <w:t>84号】</w:t>
            </w:r>
          </w:p>
          <w:p w14:paraId="29E21132"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60BA6CF3" w14:textId="63805258"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.企业名称：【江苏靖江农村商业银行股份有限公司】</w:t>
            </w:r>
          </w:p>
          <w:p w14:paraId="6AF2928C"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913212001411273988】</w:t>
            </w:r>
          </w:p>
          <w:p w14:paraId="76ECF0C1"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住所：【江苏省靖江市南环西路</w:t>
            </w:r>
            <w:r w:rsidRPr="00F71168">
              <w:rPr>
                <w:rFonts w:ascii="楷体_GB2312" w:eastAsia="楷体_GB2312" w:cs="楷体_GB2312"/>
                <w:color w:val="000000" w:themeColor="text1"/>
                <w:sz w:val="20"/>
                <w:szCs w:val="20"/>
              </w:rPr>
              <w:t>12号】</w:t>
            </w:r>
          </w:p>
          <w:p w14:paraId="6A123930" w14:textId="7ADD0B87" w:rsidR="00384441"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0D103E25" w14:textId="77777777" w:rsidR="00F71168" w:rsidRDefault="00F71168" w:rsidP="00F71168">
            <w:pPr>
              <w:spacing w:line="300" w:lineRule="exact"/>
              <w:ind w:rightChars="15" w:right="36"/>
              <w:rPr>
                <w:rFonts w:ascii="楷体_GB2312" w:eastAsia="楷体_GB2312" w:cs="楷体_GB2312"/>
                <w:color w:val="000000" w:themeColor="text1"/>
                <w:sz w:val="20"/>
                <w:szCs w:val="20"/>
              </w:rPr>
            </w:pPr>
          </w:p>
          <w:p w14:paraId="5828CAD7" w14:textId="2982811E"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】）合作销售机构信息：</w:t>
            </w:r>
          </w:p>
          <w:p w14:paraId="2FFA833B"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38894234"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4BDA195"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79EC78B0"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2A14883" w14:textId="0E965D9F"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.企业名称：【江苏江南农村商业银行股份有限公司】</w:t>
            </w:r>
          </w:p>
          <w:p w14:paraId="5067890E"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91320400699343815D】</w:t>
            </w:r>
          </w:p>
          <w:p w14:paraId="2F01B228"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住所：【江苏省常州市武进区延政中路</w:t>
            </w:r>
            <w:r w:rsidRPr="00F71168">
              <w:rPr>
                <w:rFonts w:ascii="楷体_GB2312" w:eastAsia="楷体_GB2312" w:cs="楷体_GB2312"/>
                <w:color w:val="000000" w:themeColor="text1"/>
                <w:sz w:val="20"/>
                <w:szCs w:val="20"/>
              </w:rPr>
              <w:t>9号】</w:t>
            </w:r>
          </w:p>
          <w:p w14:paraId="6F1C7AB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0519-96005】</w:t>
            </w:r>
          </w:p>
          <w:p w14:paraId="329D1560" w14:textId="3BDB1451"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.企业名称：【江苏邳州农村商业银行股份有限公司】</w:t>
            </w:r>
          </w:p>
          <w:p w14:paraId="4F49DB9E"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91320300552524785P】</w:t>
            </w:r>
          </w:p>
          <w:p w14:paraId="5F7B0AC6"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住所：【江苏省邳州市建设中路</w:t>
            </w:r>
            <w:r w:rsidRPr="00F71168">
              <w:rPr>
                <w:rFonts w:ascii="楷体_GB2312" w:eastAsia="楷体_GB2312" w:cs="楷体_GB2312"/>
                <w:color w:val="000000" w:themeColor="text1"/>
                <w:sz w:val="20"/>
                <w:szCs w:val="20"/>
              </w:rPr>
              <w:t>16号】</w:t>
            </w:r>
          </w:p>
          <w:p w14:paraId="0E59279F"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0D51C280" w14:textId="519C5E15"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.企业名称：【江苏宜兴农村商业银行股份有限公司】</w:t>
            </w:r>
          </w:p>
          <w:p w14:paraId="149F63C5"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913202007910522609】</w:t>
            </w:r>
          </w:p>
          <w:p w14:paraId="41C34A0B"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住所：【江苏省宜兴市宜城街道解放东路</w:t>
            </w:r>
            <w:r w:rsidRPr="00F71168">
              <w:rPr>
                <w:rFonts w:ascii="楷体_GB2312" w:eastAsia="楷体_GB2312" w:cs="楷体_GB2312"/>
                <w:color w:val="000000" w:themeColor="text1"/>
                <w:sz w:val="20"/>
                <w:szCs w:val="20"/>
              </w:rPr>
              <w:t>579号】</w:t>
            </w:r>
          </w:p>
          <w:p w14:paraId="7BFC5AC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1B33EC93" w14:textId="7675C3F4"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F71168">
              <w:rPr>
                <w:rFonts w:ascii="楷体_GB2312" w:eastAsia="楷体_GB2312" w:cs="楷体_GB2312"/>
                <w:color w:val="000000" w:themeColor="text1"/>
                <w:sz w:val="20"/>
                <w:szCs w:val="20"/>
              </w:rPr>
              <w:t>.企业名称：【江苏紫金农村商业银行股份有限公司】</w:t>
            </w:r>
          </w:p>
          <w:p w14:paraId="32077A2D"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91320000571433432L】</w:t>
            </w:r>
          </w:p>
          <w:p w14:paraId="63E6E1B8"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住所：【南京市建邺区江东中路</w:t>
            </w:r>
            <w:r w:rsidRPr="00F71168">
              <w:rPr>
                <w:rFonts w:ascii="楷体_GB2312" w:eastAsia="楷体_GB2312" w:cs="楷体_GB2312"/>
                <w:color w:val="000000" w:themeColor="text1"/>
                <w:sz w:val="20"/>
                <w:szCs w:val="20"/>
              </w:rPr>
              <w:t>381号】</w:t>
            </w:r>
          </w:p>
          <w:p w14:paraId="2B6E33B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3DC31EEB" w14:textId="465DADD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sidRPr="00F71168">
              <w:rPr>
                <w:rFonts w:ascii="楷体_GB2312" w:eastAsia="楷体_GB2312" w:cs="楷体_GB2312"/>
                <w:color w:val="000000" w:themeColor="text1"/>
                <w:sz w:val="20"/>
                <w:szCs w:val="20"/>
              </w:rPr>
              <w:t>.企业名称：【江苏姜堰农村商业银行股份有限公司】</w:t>
            </w:r>
          </w:p>
          <w:p w14:paraId="0185E7A1"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913212001419478711】</w:t>
            </w:r>
          </w:p>
          <w:p w14:paraId="0913BF31"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住所：【泰州市姜堰区姜堰大道</w:t>
            </w:r>
            <w:r w:rsidRPr="00F71168">
              <w:rPr>
                <w:rFonts w:ascii="楷体_GB2312" w:eastAsia="楷体_GB2312" w:cs="楷体_GB2312"/>
                <w:color w:val="000000" w:themeColor="text1"/>
                <w:sz w:val="20"/>
                <w:szCs w:val="20"/>
              </w:rPr>
              <w:t>128号】</w:t>
            </w:r>
          </w:p>
          <w:p w14:paraId="559A7B04"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226E20FC" w14:textId="24484F83"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sidRPr="00F71168">
              <w:rPr>
                <w:rFonts w:ascii="楷体_GB2312" w:eastAsia="楷体_GB2312" w:cs="楷体_GB2312"/>
                <w:color w:val="000000" w:themeColor="text1"/>
                <w:sz w:val="20"/>
                <w:szCs w:val="20"/>
              </w:rPr>
              <w:t>.企业名称：【江苏南通农村商业银行股份有限公司】</w:t>
            </w:r>
          </w:p>
          <w:p w14:paraId="75F41B24"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913206005643389713】</w:t>
            </w:r>
          </w:p>
          <w:p w14:paraId="30C22BBD"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住所：【南通市崇川区工农南路</w:t>
            </w:r>
            <w:r w:rsidRPr="00F71168">
              <w:rPr>
                <w:rFonts w:ascii="楷体_GB2312" w:eastAsia="楷体_GB2312" w:cs="楷体_GB2312"/>
                <w:color w:val="000000" w:themeColor="text1"/>
                <w:sz w:val="20"/>
                <w:szCs w:val="20"/>
              </w:rPr>
              <w:t>89号】</w:t>
            </w:r>
          </w:p>
          <w:p w14:paraId="149187BB" w14:textId="2414CEA6" w:rsidR="007E6995"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4D4879BD" w14:textId="77777777" w:rsidR="00F71168" w:rsidRDefault="00F71168" w:rsidP="00F71168">
            <w:pPr>
              <w:spacing w:line="300" w:lineRule="exact"/>
              <w:ind w:leftChars="-1" w:left="-2" w:rightChars="15" w:right="36"/>
              <w:rPr>
                <w:rFonts w:ascii="楷体_GB2312" w:eastAsia="楷体_GB2312" w:cs="楷体_GB2312"/>
                <w:color w:val="000000" w:themeColor="text1"/>
                <w:sz w:val="20"/>
                <w:szCs w:val="20"/>
              </w:rPr>
            </w:pPr>
          </w:p>
          <w:p w14:paraId="6C824BF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7C23E3F8" w14:textId="77777777">
        <w:trPr>
          <w:trHeight w:val="361"/>
        </w:trPr>
        <w:tc>
          <w:tcPr>
            <w:tcW w:w="1127" w:type="pct"/>
            <w:vAlign w:val="center"/>
          </w:tcPr>
          <w:p w14:paraId="6454A04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协助管理人与投资者订立相关协议；</w:t>
            </w:r>
          </w:p>
          <w:p w14:paraId="7C4E04C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协助管理人与投资者沟通及进行信息披露；</w:t>
            </w:r>
          </w:p>
          <w:p w14:paraId="28878C4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7E6995" w14:paraId="5F49170D" w14:textId="77777777">
        <w:trPr>
          <w:trHeight w:val="361"/>
        </w:trPr>
        <w:tc>
          <w:tcPr>
            <w:tcW w:w="1127" w:type="pct"/>
            <w:vAlign w:val="center"/>
          </w:tcPr>
          <w:p w14:paraId="176BB47F"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托管人</w:t>
            </w:r>
          </w:p>
        </w:tc>
        <w:tc>
          <w:tcPr>
            <w:tcW w:w="3873" w:type="pct"/>
            <w:vAlign w:val="center"/>
          </w:tcPr>
          <w:p w14:paraId="53EC2F3A"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7E6995" w14:paraId="04A6C349" w14:textId="77777777">
        <w:trPr>
          <w:trHeight w:val="361"/>
        </w:trPr>
        <w:tc>
          <w:tcPr>
            <w:tcW w:w="1127" w:type="pct"/>
            <w:vAlign w:val="center"/>
          </w:tcPr>
          <w:p w14:paraId="12062C36"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7E6995" w14:paraId="164E4EA1" w14:textId="77777777">
        <w:trPr>
          <w:trHeight w:val="361"/>
        </w:trPr>
        <w:tc>
          <w:tcPr>
            <w:tcW w:w="1127" w:type="pct"/>
            <w:vAlign w:val="center"/>
          </w:tcPr>
          <w:p w14:paraId="5DD3C0F4"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7E6995" w14:paraId="5B212DE4" w14:textId="77777777">
        <w:trPr>
          <w:trHeight w:val="361"/>
        </w:trPr>
        <w:tc>
          <w:tcPr>
            <w:tcW w:w="1127" w:type="pct"/>
            <w:vAlign w:val="center"/>
          </w:tcPr>
          <w:p w14:paraId="6D47F05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7E6995" w14:paraId="36BFB163" w14:textId="77777777">
        <w:trPr>
          <w:trHeight w:val="361"/>
        </w:trPr>
        <w:tc>
          <w:tcPr>
            <w:tcW w:w="1127" w:type="pct"/>
            <w:vAlign w:val="center"/>
          </w:tcPr>
          <w:p w14:paraId="4AD38458"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7E6995" w:rsidRDefault="00384441">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7E6995" w14:paraId="6BFD9BFE" w14:textId="77777777">
        <w:trPr>
          <w:trHeight w:val="361"/>
        </w:trPr>
        <w:tc>
          <w:tcPr>
            <w:tcW w:w="1127" w:type="pct"/>
            <w:vAlign w:val="center"/>
          </w:tcPr>
          <w:p w14:paraId="12711384"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w:t>
            </w:r>
            <w:r>
              <w:rPr>
                <w:rFonts w:ascii="楷体_GB2312" w:eastAsia="楷体_GB2312" w:cs="楷体_GB2312" w:hint="eastAsia"/>
                <w:color w:val="000000" w:themeColor="text1"/>
                <w:sz w:val="20"/>
                <w:szCs w:val="20"/>
              </w:rPr>
              <w:lastRenderedPageBreak/>
              <w:t>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7E6995" w14:paraId="086030E0" w14:textId="77777777">
        <w:trPr>
          <w:trHeight w:val="361"/>
        </w:trPr>
        <w:tc>
          <w:tcPr>
            <w:tcW w:w="1127" w:type="pct"/>
            <w:vAlign w:val="center"/>
          </w:tcPr>
          <w:p w14:paraId="0C9E6CD6"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信息披露</w:t>
            </w:r>
          </w:p>
        </w:tc>
        <w:tc>
          <w:tcPr>
            <w:tcW w:w="3873" w:type="pct"/>
            <w:vAlign w:val="center"/>
          </w:tcPr>
          <w:p w14:paraId="34C212C1"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将通过【信银理财官方网站（http://www.citic-wealth.com</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本理财产品的各类信息。</w:t>
            </w:r>
          </w:p>
          <w:p w14:paraId="19C6D1AE"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w:t>
            </w:r>
            <w:r>
              <w:rPr>
                <w:rFonts w:ascii="楷体_GB2312" w:eastAsia="楷体_GB2312" w:cs="楷体_GB2312"/>
                <w:color w:val="000000" w:themeColor="text1"/>
                <w:sz w:val="20"/>
                <w:szCs w:val="20"/>
              </w:rPr>
              <w:t>通知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符合监管规定的方式</w:t>
            </w:r>
            <w:r>
              <w:rPr>
                <w:rFonts w:ascii="楷体_GB2312" w:eastAsia="楷体_GB2312" w:cs="楷体_GB2312" w:hint="eastAsia"/>
                <w:color w:val="000000" w:themeColor="text1"/>
                <w:sz w:val="20"/>
                <w:szCs w:val="20"/>
              </w:rPr>
              <w:t>对说明书条款进行补充、说明和修改，投资者不接受的，可于最近</w:t>
            </w:r>
            <w:r>
              <w:rPr>
                <w:rFonts w:ascii="楷体_GB2312" w:eastAsia="楷体_GB2312" w:cs="楷体_GB2312"/>
                <w:color w:val="000000" w:themeColor="text1"/>
                <w:sz w:val="20"/>
                <w:szCs w:val="20"/>
              </w:rPr>
              <w:t>一个</w:t>
            </w:r>
            <w:r>
              <w:rPr>
                <w:rFonts w:ascii="楷体_GB2312" w:eastAsia="楷体_GB2312" w:cs="楷体_GB2312" w:hint="eastAsia"/>
                <w:color w:val="000000" w:themeColor="text1"/>
                <w:sz w:val="20"/>
                <w:szCs w:val="20"/>
              </w:rPr>
              <w:t>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w:t>
            </w:r>
            <w:r>
              <w:rPr>
                <w:rFonts w:ascii="楷体_GB2312" w:eastAsia="楷体_GB2312" w:cs="楷体_GB2312"/>
                <w:color w:val="000000" w:themeColor="text1"/>
                <w:sz w:val="20"/>
                <w:szCs w:val="20"/>
              </w:rPr>
              <w:t>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、监管</w:t>
            </w:r>
            <w:r>
              <w:rPr>
                <w:rFonts w:ascii="楷体_GB2312" w:eastAsia="楷体_GB2312" w:cs="楷体_GB2312"/>
                <w:color w:val="000000" w:themeColor="text1"/>
                <w:sz w:val="20"/>
                <w:szCs w:val="20"/>
              </w:rPr>
              <w:t>规定</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强制性要求</w:t>
            </w:r>
            <w:r>
              <w:rPr>
                <w:rFonts w:ascii="楷体_GB2312" w:eastAsia="楷体_GB2312" w:cs="楷体_GB2312" w:hint="eastAsia"/>
                <w:color w:val="000000" w:themeColor="text1"/>
                <w:sz w:val="20"/>
                <w:szCs w:val="20"/>
              </w:rPr>
              <w:t>对产品</w:t>
            </w:r>
            <w:r>
              <w:rPr>
                <w:rFonts w:ascii="楷体_GB2312" w:eastAsia="楷体_GB2312" w:cs="楷体_GB2312"/>
                <w:color w:val="000000" w:themeColor="text1"/>
                <w:sz w:val="20"/>
                <w:szCs w:val="20"/>
              </w:rPr>
              <w:t>说明书做出修改的，无须</w:t>
            </w:r>
            <w:r>
              <w:rPr>
                <w:rFonts w:ascii="楷体_GB2312" w:eastAsia="楷体_GB2312" w:cs="楷体_GB2312" w:hint="eastAsia"/>
                <w:color w:val="000000" w:themeColor="text1"/>
                <w:sz w:val="20"/>
                <w:szCs w:val="20"/>
              </w:rPr>
              <w:t>取得</w:t>
            </w:r>
            <w:r>
              <w:rPr>
                <w:rFonts w:ascii="楷体_GB2312" w:eastAsia="楷体_GB2312" w:cs="楷体_GB2312"/>
                <w:color w:val="000000" w:themeColor="text1"/>
                <w:sz w:val="20"/>
                <w:szCs w:val="20"/>
              </w:rPr>
              <w:t>投资</w:t>
            </w:r>
            <w:r>
              <w:rPr>
                <w:rFonts w:ascii="楷体_GB2312" w:eastAsia="楷体_GB2312" w:cs="楷体_GB2312" w:hint="eastAsia"/>
                <w:color w:val="000000" w:themeColor="text1"/>
                <w:sz w:val="20"/>
                <w:szCs w:val="20"/>
              </w:rPr>
              <w:t>者</w:t>
            </w:r>
            <w:r>
              <w:rPr>
                <w:rFonts w:ascii="楷体_GB2312" w:eastAsia="楷体_GB2312" w:cs="楷体_GB2312"/>
                <w:color w:val="000000" w:themeColor="text1"/>
                <w:sz w:val="20"/>
                <w:szCs w:val="20"/>
              </w:rPr>
              <w:t>同意。</w:t>
            </w:r>
          </w:p>
          <w:p w14:paraId="13D45125"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内向</w:t>
            </w:r>
            <w:r>
              <w:rPr>
                <w:rFonts w:ascii="楷体_GB2312" w:eastAsia="楷体_GB2312" w:cs="楷体_GB2312"/>
                <w:color w:val="000000" w:themeColor="text1"/>
                <w:sz w:val="20"/>
                <w:szCs w:val="20"/>
              </w:rPr>
              <w:t>投资者发布信息。</w:t>
            </w:r>
          </w:p>
          <w:p w14:paraId="5339B1C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w:t>
            </w:r>
            <w:r>
              <w:rPr>
                <w:rFonts w:ascii="楷体_GB2312" w:eastAsia="楷体_GB2312" w:cs="楷体_GB2312" w:hint="eastAsia"/>
                <w:color w:val="000000" w:themeColor="text1"/>
                <w:sz w:val="20"/>
                <w:szCs w:val="20"/>
              </w:rPr>
              <w:t>结束募集期或</w:t>
            </w:r>
            <w:r>
              <w:rPr>
                <w:rFonts w:ascii="楷体_GB2312" w:eastAsia="楷体_GB2312" w:cs="楷体_GB2312"/>
                <w:color w:val="000000" w:themeColor="text1"/>
                <w:sz w:val="20"/>
                <w:szCs w:val="20"/>
              </w:rPr>
              <w:t>延长募集期</w:t>
            </w:r>
            <w:r>
              <w:rPr>
                <w:rFonts w:ascii="楷体_GB2312" w:eastAsia="楷体_GB2312" w:cs="楷体_GB2312" w:hint="eastAsia"/>
                <w:color w:val="000000" w:themeColor="text1"/>
                <w:sz w:val="20"/>
                <w:szCs w:val="20"/>
              </w:rPr>
              <w:t>的，将在</w:t>
            </w:r>
            <w:r>
              <w:rPr>
                <w:rFonts w:ascii="楷体_GB2312" w:eastAsia="楷体_GB2312" w:cs="楷体_GB2312"/>
                <w:color w:val="000000" w:themeColor="text1"/>
                <w:sz w:val="20"/>
                <w:szCs w:val="20"/>
              </w:rPr>
              <w:t>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w:t>
            </w:r>
            <w:r>
              <w:rPr>
                <w:rFonts w:ascii="楷体_GB2312" w:eastAsia="楷体_GB2312" w:cs="楷体_GB2312" w:hint="eastAsia"/>
                <w:color w:val="000000" w:themeColor="text1"/>
                <w:sz w:val="20"/>
                <w:szCs w:val="20"/>
              </w:rPr>
              <w:t>投资者发布</w:t>
            </w:r>
            <w:r>
              <w:rPr>
                <w:rFonts w:ascii="楷体_GB2312" w:eastAsia="楷体_GB2312" w:cs="楷体_GB2312"/>
                <w:color w:val="000000" w:themeColor="text1"/>
                <w:sz w:val="20"/>
                <w:szCs w:val="20"/>
              </w:rPr>
              <w:t>相关信息。</w:t>
            </w:r>
          </w:p>
          <w:p w14:paraId="67655DF4"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在本产品成立后【5】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内披露发行公告。</w:t>
            </w:r>
          </w:p>
          <w:p w14:paraId="3C8E9F02"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每个开放日结束后【2】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该开放日的份额净值、份额累计净值、认购/申购价格和赎回价格</w:t>
            </w:r>
            <w:r>
              <w:rPr>
                <w:rFonts w:ascii="楷体_GB2312" w:eastAsia="楷体_GB2312" w:cs="楷体_GB2312" w:hint="eastAsia"/>
                <w:color w:val="000000" w:themeColor="text1"/>
                <w:sz w:val="20"/>
                <w:szCs w:val="20"/>
              </w:rPr>
              <w:t>。</w:t>
            </w:r>
          </w:p>
          <w:p w14:paraId="3D4F067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4676D556"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14:paraId="57E31444"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3D8D4E3E"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w:t>
            </w:r>
            <w:r>
              <w:rPr>
                <w:rFonts w:ascii="楷体_GB2312" w:eastAsia="楷体_GB2312" w:cs="楷体_GB2312"/>
                <w:color w:val="000000" w:themeColor="text1"/>
                <w:sz w:val="20"/>
                <w:szCs w:val="20"/>
              </w:rPr>
              <w:t>（包括</w:t>
            </w:r>
            <w:r>
              <w:rPr>
                <w:rFonts w:ascii="楷体_GB2312" w:eastAsia="楷体_GB2312" w:cs="楷体_GB2312" w:hint="eastAsia"/>
                <w:color w:val="000000" w:themeColor="text1"/>
                <w:sz w:val="20"/>
                <w:szCs w:val="20"/>
              </w:rPr>
              <w:t>到期和</w:t>
            </w:r>
            <w:r>
              <w:rPr>
                <w:rFonts w:ascii="楷体_GB2312" w:eastAsia="楷体_GB2312" w:cs="楷体_GB2312"/>
                <w:color w:val="000000" w:themeColor="text1"/>
                <w:sz w:val="20"/>
                <w:szCs w:val="20"/>
              </w:rPr>
              <w:t>提前终止）</w:t>
            </w:r>
            <w:r>
              <w:rPr>
                <w:rFonts w:ascii="楷体_GB2312" w:eastAsia="楷体_GB2312" w:cs="楷体_GB2312" w:hint="eastAsia"/>
                <w:color w:val="000000" w:themeColor="text1"/>
                <w:sz w:val="20"/>
                <w:szCs w:val="20"/>
              </w:rPr>
              <w:t>日后【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w:t>
            </w:r>
            <w:r>
              <w:rPr>
                <w:rFonts w:ascii="楷体_GB2312" w:eastAsia="楷体_GB2312" w:cs="楷体_GB2312"/>
                <w:color w:val="000000" w:themeColor="text1"/>
                <w:sz w:val="20"/>
                <w:szCs w:val="20"/>
              </w:rPr>
              <w:t>到期公告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w:t>
            </w:r>
            <w:r>
              <w:rPr>
                <w:rFonts w:ascii="楷体_GB2312" w:eastAsia="楷体_GB2312" w:cs="楷体_GB2312" w:hint="eastAsia"/>
                <w:color w:val="000000" w:themeColor="text1"/>
                <w:sz w:val="20"/>
                <w:szCs w:val="20"/>
              </w:rPr>
              <w:t>到期相关信息。</w:t>
            </w:r>
          </w:p>
          <w:p w14:paraId="70FF7CAF"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在运用收取短期赎回费等措施后，</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拒绝认/申购、延期办理巨额赎回申请、暂停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拒绝接受赎回申请、延缓支付赎回款项、暂停理财产品估值等措施后，</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Pr>
                <w:rFonts w:ascii="楷体_GB2312" w:eastAsia="楷体_GB2312" w:cs="楷体_GB2312" w:hint="eastAsia"/>
                <w:color w:val="000000" w:themeColor="text1"/>
                <w:sz w:val="20"/>
                <w:szCs w:val="20"/>
              </w:rPr>
              <w:t>。</w:t>
            </w:r>
          </w:p>
          <w:p w14:paraId="145F2F7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w:t>
            </w:r>
          </w:p>
          <w:p w14:paraId="22AC1B9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w:t>
            </w:r>
            <w:r>
              <w:rPr>
                <w:rFonts w:ascii="楷体_GB2312" w:eastAsia="楷体_GB2312" w:cs="楷体_GB2312"/>
                <w:color w:val="000000" w:themeColor="text1"/>
                <w:sz w:val="20"/>
                <w:szCs w:val="20"/>
              </w:rPr>
              <w:t>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市场情况对投资范围、投资品种或投资比例进行调整</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提前【2】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w:t>
            </w:r>
          </w:p>
          <w:p w14:paraId="3FAADD9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w:t>
            </w:r>
            <w:r>
              <w:rPr>
                <w:rFonts w:ascii="楷体_GB2312" w:eastAsia="楷体_GB2312"/>
                <w:color w:val="000000" w:themeColor="text1"/>
                <w:sz w:val="20"/>
                <w:szCs w:val="20"/>
              </w:rPr>
              <w:t>生效前</w:t>
            </w: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w:t>
            </w:r>
            <w:r>
              <w:rPr>
                <w:rFonts w:ascii="楷体_GB2312" w:eastAsia="楷体_GB2312" w:hint="eastAsia"/>
                <w:color w:val="000000" w:themeColor="text1"/>
                <w:sz w:val="20"/>
                <w:szCs w:val="20"/>
              </w:rPr>
              <w:t>告知投资者。</w:t>
            </w:r>
          </w:p>
          <w:p w14:paraId="19031DF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将在【</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proofErr w:type="gramStart"/>
            <w:r>
              <w:rPr>
                <w:rFonts w:ascii="楷体_GB2312" w:eastAsia="楷体_GB2312" w:hAnsi="Times New Roman" w:cs="楷体_GB2312" w:hint="eastAsia"/>
                <w:color w:val="000000" w:themeColor="text1"/>
                <w:sz w:val="20"/>
                <w:szCs w:val="20"/>
              </w:rPr>
              <w:t>个</w:t>
            </w:r>
            <w:proofErr w:type="gramEnd"/>
            <w:r>
              <w:rPr>
                <w:rFonts w:ascii="楷体_GB2312" w:eastAsia="楷体_GB2312" w:hAnsi="Times New Roman" w:cs="楷体_GB2312" w:hint="eastAsia"/>
                <w:color w:val="000000" w:themeColor="text1"/>
                <w:sz w:val="20"/>
                <w:szCs w:val="20"/>
              </w:rPr>
              <w:t>工作日内告知投资者。</w:t>
            </w:r>
          </w:p>
          <w:p w14:paraId="27A0F368"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Pr>
                <w:rFonts w:ascii="楷体_GB2312" w:eastAsia="楷体_GB2312" w:hAnsi="Times New Roman" w:cs="楷体_GB2312" w:hint="eastAsia"/>
                <w:color w:val="000000" w:themeColor="text1"/>
                <w:sz w:val="20"/>
                <w:szCs w:val="20"/>
              </w:rPr>
              <w:t>通过信银理财</w:t>
            </w:r>
            <w:proofErr w:type="gramEnd"/>
            <w:r>
              <w:rPr>
                <w:rFonts w:ascii="楷体_GB2312" w:eastAsia="楷体_GB2312" w:hAnsi="Times New Roman" w:cs="楷体_GB2312" w:hint="eastAsia"/>
                <w:color w:val="000000" w:themeColor="text1"/>
                <w:sz w:val="20"/>
                <w:szCs w:val="20"/>
              </w:rPr>
              <w:t>营业网点等渠道进行查询，也可</w:t>
            </w:r>
            <w:proofErr w:type="gramStart"/>
            <w:r>
              <w:rPr>
                <w:rFonts w:ascii="楷体_GB2312" w:eastAsia="楷体_GB2312" w:hAnsi="Times New Roman" w:cs="楷体_GB2312" w:hint="eastAsia"/>
                <w:color w:val="000000" w:themeColor="text1"/>
                <w:sz w:val="20"/>
                <w:szCs w:val="20"/>
              </w:rPr>
              <w:lastRenderedPageBreak/>
              <w:t>致电信银</w:t>
            </w:r>
            <w:proofErr w:type="gramEnd"/>
            <w:r>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w:t>
            </w:r>
            <w:r>
              <w:rPr>
                <w:rFonts w:ascii="楷体_GB2312" w:eastAsia="楷体_GB2312" w:cs="楷体_GB2312" w:hint="eastAsia"/>
                <w:color w:val="000000" w:themeColor="text1"/>
                <w:sz w:val="20"/>
                <w:szCs w:val="20"/>
              </w:rPr>
              <w:t>发布</w:t>
            </w:r>
            <w:r>
              <w:rPr>
                <w:rFonts w:ascii="楷体_GB2312" w:eastAsia="楷体_GB2312" w:cs="楷体_GB2312"/>
                <w:color w:val="000000" w:themeColor="text1"/>
                <w:sz w:val="20"/>
                <w:szCs w:val="20"/>
              </w:rPr>
              <w:t>定期报告，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但不限于季度、半年和年度报告。</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半年和年度报告中，</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披露</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产品前10名投资者的类别、持有份额及占总份额的比例等信息。产品存续期间，如出现单一投资者持有产品份额达到或者超过该产品总份额20%的情形，为保障其他投资者的权益，</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将在理财产品季度、半年和年度报告中披露理财产品组合资产情况及其流动性风险分析等；</w:t>
            </w:r>
            <w:r>
              <w:rPr>
                <w:rFonts w:ascii="楷体_GB2312" w:eastAsia="楷体_GB2312" w:cs="楷体_GB2312" w:hint="eastAsia"/>
                <w:color w:val="000000" w:themeColor="text1"/>
                <w:sz w:val="20"/>
                <w:szCs w:val="20"/>
              </w:rPr>
              <w:t>理财产品成立不足</w:t>
            </w:r>
            <w:r>
              <w:rPr>
                <w:rFonts w:ascii="楷体_GB2312" w:eastAsia="楷体_GB2312" w:cs="楷体_GB2312"/>
                <w:color w:val="000000" w:themeColor="text1"/>
                <w:sz w:val="20"/>
                <w:szCs w:val="20"/>
              </w:rPr>
              <w:t>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w:t>
            </w:r>
          </w:p>
          <w:p w14:paraId="1870C382"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本产品拟投资于主体信用评级低于</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的商业银行的银行存款与同业存单</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，在履行必要程序后，</w:t>
            </w:r>
            <w:r>
              <w:rPr>
                <w:rFonts w:ascii="楷体_GB2312" w:eastAsia="楷体_GB2312" w:cs="楷体_GB2312"/>
                <w:color w:val="000000" w:themeColor="text1"/>
                <w:sz w:val="20"/>
                <w:szCs w:val="20"/>
              </w:rPr>
              <w:t>将作为重大事项履行信息披露程序</w:t>
            </w:r>
            <w:r>
              <w:rPr>
                <w:rFonts w:ascii="楷体_GB2312" w:eastAsia="楷体_GB2312" w:cs="楷体_GB2312" w:hint="eastAsia"/>
                <w:color w:val="000000" w:themeColor="text1"/>
                <w:sz w:val="20"/>
                <w:szCs w:val="20"/>
              </w:rPr>
              <w:t>。</w:t>
            </w:r>
          </w:p>
          <w:p w14:paraId="631B37FE" w14:textId="77777777" w:rsidR="007E6995" w:rsidRDefault="00384441">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19. </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本理财产品存续</w:t>
            </w:r>
            <w:proofErr w:type="gramStart"/>
            <w:r>
              <w:rPr>
                <w:rFonts w:ascii="楷体_GB2312" w:eastAsia="楷体_GB2312" w:cs="楷体_GB2312"/>
                <w:color w:val="000000" w:themeColor="text1"/>
                <w:sz w:val="20"/>
                <w:szCs w:val="20"/>
              </w:rPr>
              <w:t>期间</w:t>
            </w:r>
            <w:r>
              <w:rPr>
                <w:rFonts w:ascii="楷体_GB2312" w:eastAsia="楷体_GB2312" w:cs="楷体_GB2312" w:hint="eastAsia"/>
                <w:color w:val="000000" w:themeColor="text1"/>
                <w:sz w:val="20"/>
                <w:szCs w:val="20"/>
              </w:rPr>
              <w:t>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获知</w:t>
            </w:r>
            <w:r>
              <w:rPr>
                <w:rFonts w:ascii="楷体_GB2312" w:eastAsia="楷体_GB2312" w:cs="楷体_GB2312" w:hint="eastAsia"/>
                <w:color w:val="000000" w:themeColor="text1"/>
                <w:sz w:val="20"/>
                <w:szCs w:val="20"/>
              </w:rPr>
              <w:t>并</w:t>
            </w:r>
            <w:proofErr w:type="gramStart"/>
            <w:r>
              <w:rPr>
                <w:rFonts w:ascii="楷体_GB2312" w:eastAsia="楷体_GB2312" w:cs="楷体_GB2312"/>
                <w:color w:val="000000" w:themeColor="text1"/>
                <w:sz w:val="20"/>
                <w:szCs w:val="20"/>
              </w:rPr>
              <w:t>经</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合理判断认为对</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产品、投资者权益、投资收益等有重大影响的事件，将</w:t>
            </w:r>
            <w:r>
              <w:rPr>
                <w:rFonts w:ascii="楷体_GB2312" w:eastAsia="楷体_GB2312" w:cs="楷体_GB2312" w:hint="eastAsia"/>
                <w:color w:val="000000" w:themeColor="text1"/>
                <w:sz w:val="20"/>
                <w:szCs w:val="20"/>
              </w:rPr>
              <w:t>按照</w:t>
            </w:r>
            <w:r>
              <w:rPr>
                <w:rFonts w:ascii="楷体_GB2312" w:eastAsia="楷体_GB2312" w:cs="楷体_GB2312"/>
                <w:color w:val="000000" w:themeColor="text1"/>
                <w:sz w:val="20"/>
                <w:szCs w:val="20"/>
              </w:rPr>
              <w:t>法律法规、监管规定及时向投资者发布相关信息。</w:t>
            </w:r>
          </w:p>
          <w:p w14:paraId="6ABA4E71" w14:textId="77777777" w:rsidR="007E6995" w:rsidRDefault="00384441">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20. </w:t>
            </w:r>
            <w:r>
              <w:rPr>
                <w:rFonts w:ascii="楷体_GB2312" w:eastAsia="楷体_GB2312" w:cs="楷体_GB2312" w:hint="eastAsia"/>
                <w:color w:val="000000" w:themeColor="text1"/>
                <w:sz w:val="20"/>
                <w:szCs w:val="20"/>
              </w:rPr>
              <w:t>法律法规、</w:t>
            </w:r>
            <w:r>
              <w:rPr>
                <w:rFonts w:ascii="楷体_GB2312" w:eastAsia="楷体_GB2312" w:cs="楷体_GB2312"/>
                <w:color w:val="000000" w:themeColor="text1"/>
                <w:sz w:val="20"/>
                <w:szCs w:val="20"/>
              </w:rPr>
              <w:t>规范性文件、</w:t>
            </w:r>
            <w:r>
              <w:rPr>
                <w:rFonts w:ascii="楷体_GB2312" w:eastAsia="楷体_GB2312" w:cs="楷体_GB2312" w:hint="eastAsia"/>
                <w:color w:val="000000" w:themeColor="text1"/>
                <w:sz w:val="20"/>
                <w:szCs w:val="20"/>
              </w:rPr>
              <w:t>监管政策规定或本说明书约定其他应向投资者进行</w:t>
            </w:r>
            <w:r>
              <w:rPr>
                <w:rFonts w:ascii="楷体_GB2312" w:eastAsia="楷体_GB2312" w:cs="楷体_GB2312"/>
                <w:color w:val="000000" w:themeColor="text1"/>
                <w:sz w:val="20"/>
                <w:szCs w:val="20"/>
              </w:rPr>
              <w:t>信息</w:t>
            </w:r>
            <w:r>
              <w:rPr>
                <w:rFonts w:ascii="楷体_GB2312" w:eastAsia="楷体_GB2312" w:cs="楷体_GB2312" w:hint="eastAsia"/>
                <w:color w:val="000000" w:themeColor="text1"/>
                <w:sz w:val="20"/>
                <w:szCs w:val="20"/>
              </w:rPr>
              <w:t>披露的情形</w:t>
            </w:r>
            <w:r>
              <w:rPr>
                <w:rFonts w:ascii="楷体_GB2312" w:eastAsia="楷体_GB2312" w:cs="楷体_GB2312"/>
                <w:color w:val="000000" w:themeColor="text1"/>
                <w:sz w:val="20"/>
                <w:szCs w:val="20"/>
              </w:rPr>
              <w:t>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r>
              <w:rPr>
                <w:rFonts w:ascii="楷体_GB2312" w:eastAsia="楷体_GB2312" w:cs="楷体_GB2312" w:hint="eastAsia"/>
                <w:color w:val="000000" w:themeColor="text1"/>
                <w:sz w:val="20"/>
                <w:szCs w:val="20"/>
              </w:rPr>
              <w:t>。</w:t>
            </w:r>
          </w:p>
        </w:tc>
      </w:tr>
    </w:tbl>
    <w:p w14:paraId="08880B46" w14:textId="77777777" w:rsidR="007E6995" w:rsidRDefault="007E6995">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7E6995" w:rsidRDefault="00384441">
      <w:pPr>
        <w:pStyle w:val="ab"/>
        <w:numPr>
          <w:ilvl w:val="0"/>
          <w:numId w:val="5"/>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7E6995" w:rsidRDefault="00384441">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lastRenderedPageBreak/>
        <w:t>管理人有权按照法律规定和监管机构的要求将投资者的信息向有权部门或相关机构披露。</w:t>
      </w:r>
    </w:p>
    <w:p w14:paraId="67F580BF" w14:textId="77777777" w:rsidR="007E6995" w:rsidRDefault="007E6995">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7E6995" w:rsidRDefault="00384441">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7E6995" w:rsidRDefault="00384441">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7E6995" w:rsidRDefault="007E6995">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7E6995" w:rsidRDefault="00384441">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08272BE1"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A类份额单次最低赎回份额为【0.01】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D类份额单次最低赎回份额为【0.01】</w:t>
      </w:r>
      <w:r>
        <w:rPr>
          <w:rFonts w:ascii="楷体_GB2312" w:eastAsia="楷体_GB2312" w:cs="楷体_GB2312" w:hint="eastAsia"/>
          <w:color w:val="000000" w:themeColor="text1"/>
          <w:sz w:val="20"/>
          <w:szCs w:val="20"/>
        </w:rPr>
        <w:t>份，C类份额单次最低赎回份额为【0.01】份，</w:t>
      </w:r>
      <w:r>
        <w:rPr>
          <w:rFonts w:ascii="楷体_GB2312" w:eastAsia="楷体_GB2312" w:cs="楷体_GB2312"/>
          <w:color w:val="000000" w:themeColor="text1"/>
          <w:sz w:val="20"/>
          <w:szCs w:val="20"/>
        </w:rPr>
        <w:t>B类份额单次最低赎回份额为【0.01】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G类份额单次最低赎回份额为【0.01】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类份额单次最低赎回份额为【0.01】份。</w:t>
      </w:r>
    </w:p>
    <w:p w14:paraId="3BE78815"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w:t>
      </w:r>
    </w:p>
    <w:p w14:paraId="3C5C6D03"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当理财产品份额全部被赎回时，为保证投资者利益，管理人有权调整单位净值小数点取位规则。</w:t>
      </w:r>
    </w:p>
    <w:p w14:paraId="2105B1BB"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7E6995" w:rsidRDefault="00384441">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1A422E66"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．管理人保留不接受赎回申请的权利。</w:t>
      </w:r>
    </w:p>
    <w:p w14:paraId="77FAAE8E" w14:textId="77777777" w:rsidR="007E6995" w:rsidRDefault="007E6995">
      <w:pPr>
        <w:spacing w:line="300" w:lineRule="exact"/>
        <w:ind w:rightChars="40" w:right="96" w:firstLineChars="213" w:firstLine="426"/>
        <w:rPr>
          <w:rFonts w:ascii="楷体_GB2312" w:eastAsia="楷体_GB2312"/>
          <w:color w:val="000000" w:themeColor="text1"/>
          <w:sz w:val="20"/>
          <w:szCs w:val="20"/>
        </w:rPr>
      </w:pPr>
    </w:p>
    <w:p w14:paraId="670783EE" w14:textId="77777777" w:rsidR="007E6995" w:rsidRDefault="00384441">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7E6995" w:rsidRDefault="007E6995">
      <w:pPr>
        <w:spacing w:line="300" w:lineRule="exact"/>
        <w:ind w:rightChars="15" w:right="36" w:firstLineChars="213" w:firstLine="426"/>
        <w:rPr>
          <w:rFonts w:ascii="楷体_GB2312" w:eastAsia="楷体_GB2312"/>
          <w:color w:val="000000" w:themeColor="text1"/>
          <w:sz w:val="20"/>
          <w:szCs w:val="20"/>
        </w:rPr>
      </w:pPr>
    </w:p>
    <w:p w14:paraId="721F9312" w14:textId="77777777" w:rsidR="007E6995" w:rsidRDefault="00384441">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14:paraId="748843B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w:t>
      </w:r>
      <w:r>
        <w:rPr>
          <w:rFonts w:ascii="楷体_GB2312" w:eastAsia="楷体_GB2312" w:cs="楷体_GB2312"/>
          <w:color w:val="000000" w:themeColor="text1"/>
          <w:sz w:val="20"/>
          <w:szCs w:val="20"/>
        </w:rPr>
        <w:lastRenderedPageBreak/>
        <w:t>额赎回申请、暂停接受赎回申请、延缓支付赎回款项、收取短期赎回费、暂停理财产品估值，以及国务院银行业监督管理机构规定的其他措施。</w:t>
      </w:r>
    </w:p>
    <w:p w14:paraId="405A06B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7E6995" w:rsidRDefault="00384441">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7E6995" w:rsidRDefault="00384441">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Ansi="楷体"/>
          <w:color w:val="000000"/>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当本产品前10名投资者的持有份额合计超过该产品总份额50%的，投资组合中现金、国债、中央银行票据、政策性金融债券以及5个交易日内到期的其他金融工具占该产品资产净值的比例合计低于10%且偏离度为负时，管理人将对投资者超过该产品总份额1%以上的赎回申请征收1%的强制赎回费用。</w:t>
      </w:r>
      <w:r>
        <w:rPr>
          <w:rFonts w:ascii="楷体_GB2312" w:eastAsia="楷体_GB2312" w:cs="楷体_GB2312" w:hint="eastAsia"/>
          <w:color w:val="000000" w:themeColor="text1"/>
          <w:sz w:val="20"/>
          <w:szCs w:val="20"/>
        </w:rPr>
        <w:t>上述赎回费用全额计入本产品财产。</w:t>
      </w:r>
    </w:p>
    <w:p w14:paraId="6CFCE88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7E6995" w:rsidRDefault="007E6995">
      <w:pPr>
        <w:spacing w:line="300" w:lineRule="exact"/>
        <w:ind w:rightChars="40" w:right="96"/>
        <w:rPr>
          <w:rFonts w:ascii="楷体_GB2312" w:eastAsia="楷体_GB2312"/>
          <w:color w:val="000000" w:themeColor="text1"/>
          <w:sz w:val="20"/>
          <w:szCs w:val="20"/>
        </w:rPr>
      </w:pPr>
    </w:p>
    <w:p w14:paraId="37E9FB15" w14:textId="77777777" w:rsidR="007E6995" w:rsidRDefault="00384441">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lastRenderedPageBreak/>
        <w:t>八、理财资金分配</w:t>
      </w:r>
    </w:p>
    <w:p w14:paraId="26211046" w14:textId="77777777" w:rsidR="007E6995" w:rsidRDefault="00384441">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7E6995" w:rsidRDefault="00384441">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50FF29D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本产品存续期间理财收益分配的具体规则及投资者赎回时未付收益处理规则如下：</w:t>
      </w:r>
    </w:p>
    <w:p w14:paraId="6D10E52C" w14:textId="77777777" w:rsidR="007E6995" w:rsidRDefault="00384441">
      <w:pPr>
        <w:spacing w:line="300" w:lineRule="exact"/>
        <w:ind w:firstLineChars="200" w:firstLine="400"/>
        <w:jc w:val="both"/>
        <w:rPr>
          <w:rFonts w:ascii="楷体_GB2312" w:eastAsia="楷体_GB2312"/>
          <w:sz w:val="20"/>
          <w:szCs w:val="20"/>
        </w:rPr>
      </w:pPr>
      <w:proofErr w:type="gramStart"/>
      <w:r>
        <w:rPr>
          <w:rFonts w:ascii="楷体_GB2312" w:eastAsia="楷体_GB2312" w:cs="楷体_GB2312"/>
          <w:color w:val="000000" w:themeColor="text1"/>
          <w:sz w:val="20"/>
          <w:szCs w:val="20"/>
        </w:rPr>
        <w:t>【</w:t>
      </w:r>
      <w:proofErr w:type="gramEnd"/>
      <w:r>
        <w:rPr>
          <w:rFonts w:ascii="楷体_GB2312" w:eastAsia="楷体_GB2312" w:hint="eastAsia"/>
          <w:sz w:val="20"/>
          <w:szCs w:val="20"/>
        </w:rPr>
        <w:t>（</w:t>
      </w:r>
      <w:r>
        <w:rPr>
          <w:rFonts w:ascii="楷体_GB2312" w:eastAsia="楷体_GB2312"/>
          <w:sz w:val="20"/>
          <w:szCs w:val="20"/>
        </w:rPr>
        <w:t>1）本理财产品每个</w:t>
      </w:r>
      <w:r>
        <w:rPr>
          <w:rFonts w:ascii="楷体_GB2312" w:eastAsia="楷体_GB2312" w:hint="eastAsia"/>
          <w:color w:val="000000" w:themeColor="text1"/>
          <w:sz w:val="20"/>
          <w:szCs w:val="20"/>
        </w:rPr>
        <w:t>自然日</w:t>
      </w:r>
      <w:r>
        <w:rPr>
          <w:rFonts w:ascii="楷体_GB2312" w:eastAsia="楷体_GB2312"/>
          <w:sz w:val="20"/>
          <w:szCs w:val="20"/>
        </w:rPr>
        <w:t>进行收益分配；</w:t>
      </w:r>
    </w:p>
    <w:p w14:paraId="3C34BCE6"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2）投资者持有理财产品每个</w:t>
      </w:r>
      <w:r>
        <w:rPr>
          <w:rFonts w:ascii="楷体_GB2312" w:eastAsia="楷体_GB2312" w:hint="eastAsia"/>
          <w:color w:val="000000" w:themeColor="text1"/>
          <w:sz w:val="20"/>
          <w:szCs w:val="20"/>
        </w:rPr>
        <w:t>自然日</w:t>
      </w:r>
      <w:r>
        <w:rPr>
          <w:rFonts w:ascii="楷体_GB2312" w:eastAsia="楷体_GB2312"/>
          <w:sz w:val="20"/>
          <w:szCs w:val="20"/>
        </w:rPr>
        <w:t>分配的收益=【当日总未付理财收益/理财产品总份额</w:t>
      </w:r>
      <w:r>
        <w:rPr>
          <w:rFonts w:ascii="楷体_GB2312" w:eastAsia="楷体_GB2312"/>
          <w:sz w:val="20"/>
          <w:szCs w:val="20"/>
        </w:rPr>
        <w:t>×</w:t>
      </w:r>
      <w:r>
        <w:rPr>
          <w:rFonts w:ascii="楷体_GB2312" w:eastAsia="楷体_GB2312"/>
          <w:sz w:val="20"/>
          <w:szCs w:val="20"/>
        </w:rPr>
        <w:t>投资者持有理财产品份额】（保留两位小数，去尾并进行再次分配，直到分完为止）。</w:t>
      </w:r>
    </w:p>
    <w:p w14:paraId="4E3F9D65"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3）投资者每个</w:t>
      </w:r>
      <w:r>
        <w:rPr>
          <w:rFonts w:ascii="楷体_GB2312" w:eastAsia="楷体_GB2312" w:hint="eastAsia"/>
          <w:color w:val="000000" w:themeColor="text1"/>
          <w:sz w:val="20"/>
          <w:szCs w:val="20"/>
        </w:rPr>
        <w:t>自然日</w:t>
      </w:r>
      <w:r>
        <w:rPr>
          <w:rFonts w:ascii="楷体_GB2312" w:eastAsia="楷体_GB2312"/>
          <w:sz w:val="20"/>
          <w:szCs w:val="20"/>
        </w:rPr>
        <w:t>分配的收益结转为理财产品份额并参与下一个</w:t>
      </w:r>
      <w:r>
        <w:rPr>
          <w:rFonts w:ascii="楷体_GB2312" w:eastAsia="楷体_GB2312" w:hint="eastAsia"/>
          <w:color w:val="000000" w:themeColor="text1"/>
          <w:sz w:val="20"/>
          <w:szCs w:val="20"/>
        </w:rPr>
        <w:t>自然</w:t>
      </w:r>
      <w:proofErr w:type="gramStart"/>
      <w:r>
        <w:rPr>
          <w:rFonts w:ascii="楷体_GB2312" w:eastAsia="楷体_GB2312" w:hint="eastAsia"/>
          <w:color w:val="000000" w:themeColor="text1"/>
          <w:sz w:val="20"/>
          <w:szCs w:val="20"/>
        </w:rPr>
        <w:t>日</w:t>
      </w:r>
      <w:r>
        <w:rPr>
          <w:rFonts w:ascii="楷体_GB2312" w:eastAsia="楷体_GB2312"/>
          <w:sz w:val="20"/>
          <w:szCs w:val="20"/>
        </w:rPr>
        <w:t>收益</w:t>
      </w:r>
      <w:proofErr w:type="gramEnd"/>
      <w:r>
        <w:rPr>
          <w:rFonts w:ascii="楷体_GB2312" w:eastAsia="楷体_GB2312"/>
          <w:sz w:val="20"/>
          <w:szCs w:val="20"/>
        </w:rPr>
        <w:t>分配；</w:t>
      </w:r>
    </w:p>
    <w:p w14:paraId="7985FD5C"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A82FD49"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int="eastAsia"/>
          <w:sz w:val="20"/>
          <w:szCs w:val="20"/>
        </w:rPr>
        <w:t>（</w:t>
      </w:r>
      <w:r>
        <w:rPr>
          <w:rFonts w:ascii="楷体_GB2312" w:eastAsia="楷体_GB2312"/>
          <w:sz w:val="20"/>
          <w:szCs w:val="20"/>
        </w:rPr>
        <w:t>5）当日申购的理财份额自下一个工作日起，享有理财的收益分配权益；当日赎回的理财份额自下一个工作日起，不享有理财的收益分配权益</w:t>
      </w:r>
      <w:r>
        <w:rPr>
          <w:rFonts w:ascii="楷体_GB2312" w:eastAsia="楷体_GB2312" w:hint="eastAsia"/>
          <w:sz w:val="20"/>
          <w:szCs w:val="20"/>
        </w:rPr>
        <w:t>。</w:t>
      </w:r>
      <w:r>
        <w:rPr>
          <w:rFonts w:ascii="楷体_GB2312" w:eastAsia="楷体_GB2312" w:cs="楷体_GB2312"/>
          <w:color w:val="000000" w:themeColor="text1"/>
          <w:sz w:val="20"/>
          <w:szCs w:val="20"/>
        </w:rPr>
        <w:t>】</w:t>
      </w:r>
    </w:p>
    <w:p w14:paraId="4B71AF2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7E6995" w:rsidRDefault="00384441">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7E6995" w:rsidRDefault="00384441">
      <w:pPr>
        <w:pStyle w:val="ab"/>
        <w:numPr>
          <w:ilvl w:val="0"/>
          <w:numId w:val="8"/>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7E6995" w:rsidRDefault="00384441">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7E6995" w:rsidRDefault="00384441">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7E6995" w:rsidRDefault="00384441">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7E6995" w:rsidRDefault="00384441">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7E6995" w:rsidRDefault="00384441">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7E6995" w:rsidRDefault="007E6995">
      <w:pPr>
        <w:spacing w:line="300" w:lineRule="exact"/>
        <w:ind w:leftChars="-1" w:left="-2" w:rightChars="15" w:right="36"/>
        <w:rPr>
          <w:color w:val="000000" w:themeColor="text1"/>
        </w:rPr>
      </w:pPr>
    </w:p>
    <w:p w14:paraId="077AB4B2" w14:textId="77777777" w:rsidR="007E6995" w:rsidRDefault="00384441">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2E6F62C4"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D类份额不收取认购费</w:t>
      </w:r>
      <w:r>
        <w:rPr>
          <w:rFonts w:ascii="楷体_GB2312" w:eastAsia="楷体_GB2312" w:cs="楷体_GB2312" w:hint="eastAsia"/>
          <w:b/>
          <w:color w:val="000000" w:themeColor="text1"/>
          <w:sz w:val="20"/>
          <w:szCs w:val="20"/>
        </w:rPr>
        <w:t>，C类份额不收取认购费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类份额不收取认购费，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类份额不收取认购费，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类份额不收取认购费</w:t>
      </w:r>
      <w:r>
        <w:rPr>
          <w:rFonts w:ascii="楷体_GB2312" w:eastAsia="楷体_GB2312" w:cs="楷体_GB2312" w:hint="eastAsia"/>
          <w:b/>
          <w:color w:val="000000" w:themeColor="text1"/>
          <w:sz w:val="20"/>
          <w:szCs w:val="20"/>
        </w:rPr>
        <w:t>。</w:t>
      </w:r>
    </w:p>
    <w:p w14:paraId="3C520487" w14:textId="0D1379E3"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D类份额不收取申购费</w:t>
      </w:r>
      <w:r>
        <w:rPr>
          <w:rFonts w:ascii="楷体_GB2312" w:eastAsia="楷体_GB2312" w:cs="楷体_GB2312" w:hint="eastAsia"/>
          <w:b/>
          <w:color w:val="000000" w:themeColor="text1"/>
          <w:sz w:val="20"/>
          <w:szCs w:val="20"/>
        </w:rPr>
        <w:t>，C类份额不收取申购费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类份额不收取申购费，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类份额不收取申购费，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类份额不收取申购费</w:t>
      </w:r>
      <w:r>
        <w:rPr>
          <w:rFonts w:ascii="楷体_GB2312" w:eastAsia="楷体_GB2312" w:cs="楷体_GB2312" w:hint="eastAsia"/>
          <w:b/>
          <w:color w:val="000000" w:themeColor="text1"/>
          <w:sz w:val="20"/>
          <w:szCs w:val="20"/>
        </w:rPr>
        <w:t>。</w:t>
      </w:r>
    </w:p>
    <w:p w14:paraId="0E9E9CF0" w14:textId="5606A14F"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4．赎回费：A类份额不收取赎回费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D类份额不收取赎回费</w:t>
      </w:r>
      <w:r>
        <w:rPr>
          <w:rFonts w:ascii="楷体_GB2312" w:eastAsia="楷体_GB2312" w:cs="楷体_GB2312" w:hint="eastAsia"/>
          <w:b/>
          <w:color w:val="000000" w:themeColor="text1"/>
          <w:sz w:val="20"/>
          <w:szCs w:val="20"/>
        </w:rPr>
        <w:t>，C类份额不收取赎回费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类份额不收取赎回费，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类份额不收取赎回费，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449B16BD"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2FC030F9"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D类份额费率【0.40%】/年</w:t>
      </w:r>
      <w:r>
        <w:rPr>
          <w:rFonts w:ascii="楷体_GB2312" w:eastAsia="楷体_GB2312" w:cs="楷体_GB2312" w:hint="eastAsia"/>
          <w:b/>
          <w:color w:val="000000" w:themeColor="text1"/>
          <w:sz w:val="20"/>
          <w:szCs w:val="20"/>
        </w:rPr>
        <w:t>，C类份额费率【0.40%】/年</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lastRenderedPageBreak/>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7E6995" w:rsidRDefault="00384441">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【0.05%】/年，计算方式为【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7E6995" w:rsidRDefault="00384441">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托管费每日计提，按【年】支付，由管理人向托管人发送指令，托管人复核后从资产中一次性支付。</w:t>
      </w:r>
    </w:p>
    <w:p w14:paraId="4B8A8D54"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．固定管理费</w:t>
      </w:r>
    </w:p>
    <w:p w14:paraId="1D5CB8F1"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34586A07"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p>
    <w:p w14:paraId="3264B1CB" w14:textId="77777777" w:rsidR="007E6995" w:rsidRDefault="00384441">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D类份额不收取浮动管理费。</w:t>
      </w:r>
    </w:p>
    <w:p w14:paraId="0A508C0C" w14:textId="77777777" w:rsidR="00685FA5" w:rsidRDefault="00384441"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C类份额不收取浮动管理费。</w:t>
      </w:r>
    </w:p>
    <w:p w14:paraId="1969837D" w14:textId="4765CBE8" w:rsidR="00685FA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类份额不收取浮动管理费。</w:t>
      </w:r>
    </w:p>
    <w:p w14:paraId="3773DC04" w14:textId="36866C7B" w:rsidR="00685FA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类份额不收取浮动管理费。</w:t>
      </w:r>
    </w:p>
    <w:p w14:paraId="725D51A6" w14:textId="380DE18A" w:rsidR="007E699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0E5981A1"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7E6995" w:rsidRDefault="007E6995">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7E6995" w:rsidRDefault="00384441">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14:paraId="707C1CD5"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7E6995" w:rsidRDefault="007E6995">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7E6995" w:rsidRDefault="00384441">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7E6995" w:rsidRDefault="00384441">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7E6995" w:rsidRDefault="00384441">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7E6995" w:rsidRDefault="007E6995">
      <w:pPr>
        <w:spacing w:line="300" w:lineRule="exact"/>
        <w:ind w:leftChars="-1" w:left="-2" w:rightChars="15" w:right="36" w:firstLineChars="200" w:firstLine="480"/>
        <w:jc w:val="both"/>
        <w:rPr>
          <w:color w:val="000000" w:themeColor="text1"/>
        </w:rPr>
      </w:pPr>
    </w:p>
    <w:p w14:paraId="1A62C1FE" w14:textId="77777777" w:rsidR="007E6995" w:rsidRDefault="00384441">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7E6995" w:rsidRDefault="00384441">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7E6995" w:rsidRDefault="00384441">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7E6995" w:rsidRDefault="00384441">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7E6995" w:rsidRDefault="007E6995">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7E6995" w:rsidRDefault="00384441">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7E6995" w:rsidRDefault="00384441">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7E6995" w:rsidRDefault="00384441">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7E6995" w:rsidRDefault="00384441">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7E6995" w:rsidRDefault="00384441">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代销机构开展投资者身份识别、交易记录保存、投资者身份及交易背景尽职调查、大额和可疑交易报告等各项反洗钱工作，并按要求提供相关证明材料；</w:t>
      </w:r>
    </w:p>
    <w:p w14:paraId="3F72C00D"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lastRenderedPageBreak/>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7E6995" w:rsidRDefault="007E6995">
      <w:pPr>
        <w:spacing w:line="300" w:lineRule="exact"/>
        <w:ind w:left="400" w:hangingChars="200" w:hanging="400"/>
        <w:jc w:val="both"/>
        <w:rPr>
          <w:rFonts w:ascii="黑体" w:eastAsia="黑体" w:cs="黑体"/>
          <w:color w:val="000000" w:themeColor="text1"/>
          <w:sz w:val="20"/>
          <w:szCs w:val="20"/>
        </w:rPr>
      </w:pPr>
    </w:p>
    <w:p w14:paraId="26415CC7" w14:textId="77777777" w:rsidR="007E6995" w:rsidRDefault="00384441">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7E6995" w:rsidRDefault="007E6995">
      <w:pPr>
        <w:spacing w:line="300" w:lineRule="exact"/>
        <w:ind w:rightChars="12" w:right="29"/>
        <w:rPr>
          <w:rFonts w:ascii="黑体" w:eastAsia="黑体" w:cs="黑体"/>
          <w:color w:val="000000" w:themeColor="text1"/>
          <w:sz w:val="20"/>
          <w:szCs w:val="20"/>
        </w:rPr>
      </w:pPr>
    </w:p>
    <w:p w14:paraId="5CAB5F76" w14:textId="77777777" w:rsidR="007E6995" w:rsidRDefault="00384441">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7E6995" w:rsidRDefault="00384441">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7E6995" w:rsidRDefault="00384441">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lastRenderedPageBreak/>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7E6995" w:rsidRDefault="007E6995">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7E6995" w:rsidRDefault="007E6995">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7E6995" w:rsidRDefault="00384441">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7E6995" w:rsidRDefault="00384441">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7E6995" w:rsidRDefault="007E6995">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7E6995" w:rsidRDefault="00384441">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7E6995" w:rsidRDefault="00384441">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7E6995" w:rsidRDefault="007E6995">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7E6995" w:rsidRDefault="00384441">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7E6995" w:rsidRDefault="00384441">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7E6995" w:rsidRDefault="00384441">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7E6995" w:rsidRDefault="00384441">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7E6995" w:rsidRDefault="00384441">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7E6995" w:rsidRDefault="007E6995">
      <w:pPr>
        <w:spacing w:line="300" w:lineRule="exact"/>
        <w:ind w:leftChars="-1" w:left="-2" w:rightChars="15" w:right="36"/>
        <w:rPr>
          <w:rFonts w:ascii="黑体" w:eastAsia="黑体" w:hAnsi="Times New Roman"/>
          <w:color w:val="000000" w:themeColor="text1"/>
        </w:rPr>
      </w:pPr>
    </w:p>
    <w:p w14:paraId="07BABF14" w14:textId="77777777" w:rsidR="007E6995" w:rsidRDefault="00384441">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7E6995" w:rsidRDefault="00384441">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7E6995" w:rsidRDefault="00384441">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7E6995" w:rsidRDefault="00384441">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7E6995" w:rsidRDefault="007E6995">
      <w:pPr>
        <w:ind w:rightChars="-376" w:right="-902"/>
        <w:rPr>
          <w:rFonts w:ascii="黑体" w:eastAsia="黑体" w:hAnsi="Times New Roman"/>
          <w:color w:val="000000" w:themeColor="text1"/>
        </w:rPr>
      </w:pPr>
    </w:p>
    <w:p w14:paraId="699E1322" w14:textId="77777777" w:rsidR="007E6995" w:rsidRDefault="00384441">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7E6995" w:rsidRDefault="00384441">
      <w:pPr>
        <w:ind w:rightChars="-376" w:right="-902"/>
        <w:rPr>
          <w:color w:val="000000" w:themeColor="text1"/>
        </w:rPr>
      </w:pPr>
      <w:r>
        <w:rPr>
          <w:rFonts w:ascii="黑体" w:eastAsia="黑体" w:hAnsi="Times New Roman"/>
          <w:color w:val="000000" w:themeColor="text1"/>
        </w:rPr>
        <w:t> </w:t>
      </w:r>
    </w:p>
    <w:p w14:paraId="6D494930" w14:textId="77777777" w:rsidR="007E6995" w:rsidRDefault="00384441">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7E6995" w:rsidRDefault="00384441">
      <w:pPr>
        <w:ind w:rightChars="-376" w:right="-902"/>
        <w:rPr>
          <w:color w:val="000000" w:themeColor="text1"/>
        </w:rPr>
      </w:pPr>
      <w:r>
        <w:rPr>
          <w:rFonts w:ascii="黑体" w:eastAsia="黑体" w:hAnsi="Times New Roman"/>
          <w:color w:val="000000" w:themeColor="text1"/>
        </w:rPr>
        <w:t> </w:t>
      </w:r>
    </w:p>
    <w:p w14:paraId="4FA994EA" w14:textId="77777777" w:rsidR="007E6995" w:rsidRDefault="00384441">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7E6995" w:rsidRDefault="007E6995">
      <w:pPr>
        <w:ind w:rightChars="-376" w:right="-902"/>
        <w:rPr>
          <w:rFonts w:ascii="黑体" w:eastAsia="黑体" w:hAnsi="Times New Roman"/>
          <w:color w:val="000000" w:themeColor="text1"/>
        </w:rPr>
      </w:pPr>
    </w:p>
    <w:p w14:paraId="10DB7BCE" w14:textId="77777777" w:rsidR="007E6995" w:rsidRDefault="007E6995">
      <w:pPr>
        <w:ind w:rightChars="-376" w:right="-902"/>
        <w:rPr>
          <w:color w:val="000000" w:themeColor="text1"/>
        </w:rPr>
      </w:pPr>
    </w:p>
    <w:p w14:paraId="37C2A661" w14:textId="77777777" w:rsidR="007E6995" w:rsidRDefault="007E6995">
      <w:pPr>
        <w:spacing w:line="300" w:lineRule="exact"/>
        <w:ind w:leftChars="-1" w:left="-2" w:rightChars="15" w:right="36"/>
        <w:rPr>
          <w:rFonts w:ascii="黑体" w:eastAsia="黑体" w:hAnsi="Times New Roman"/>
          <w:color w:val="000000" w:themeColor="text1"/>
        </w:rPr>
      </w:pPr>
    </w:p>
    <w:p w14:paraId="4175BB1E" w14:textId="77777777" w:rsidR="007E6995" w:rsidRDefault="007E6995">
      <w:pPr>
        <w:spacing w:line="300" w:lineRule="exact"/>
        <w:ind w:leftChars="-1" w:left="-2" w:rightChars="15" w:right="36"/>
        <w:rPr>
          <w:color w:val="000000" w:themeColor="text1"/>
        </w:rPr>
      </w:pPr>
    </w:p>
    <w:sectPr w:rsidR="007E6995">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4D61A" w14:textId="77777777" w:rsidR="00C159F6" w:rsidRDefault="00C159F6">
      <w:r>
        <w:separator/>
      </w:r>
    </w:p>
  </w:endnote>
  <w:endnote w:type="continuationSeparator" w:id="0">
    <w:p w14:paraId="3A7C941F" w14:textId="77777777" w:rsidR="00C159F6" w:rsidRDefault="00C1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3A47" w14:textId="77777777" w:rsidR="00384441" w:rsidRDefault="00384441">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561A81" w:rsidRPr="00561A81">
      <w:rPr>
        <w:noProof/>
        <w:color w:val="000000" w:themeColor="text1"/>
        <w:lang w:val="zh-CN"/>
      </w:rPr>
      <w:t>4</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561A81">
      <w:rPr>
        <w:noProof/>
        <w:color w:val="000000" w:themeColor="text1"/>
      </w:rPr>
      <w:t>4</w:t>
    </w:r>
    <w:r>
      <w:rPr>
        <w:color w:val="000000" w:themeColor="text1"/>
      </w:rPr>
      <w:fldChar w:fldCharType="end"/>
    </w:r>
    <w:r>
      <w:rPr>
        <w:rFonts w:hint="eastAsia"/>
        <w:color w:val="000000" w:themeColor="text1"/>
      </w:rPr>
      <w:t>页</w:t>
    </w:r>
  </w:p>
  <w:p w14:paraId="3F5FB0EA" w14:textId="77777777" w:rsidR="00384441" w:rsidRDefault="00384441">
    <w:pPr>
      <w:pStyle w:val="a5"/>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384441" w:rsidRDefault="00384441">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561A81" w:rsidRPr="00561A81">
      <w:rPr>
        <w:noProof/>
        <w:color w:val="000000" w:themeColor="text1"/>
        <w:lang w:val="zh-CN"/>
      </w:rPr>
      <w:t>12</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561A81">
      <w:rPr>
        <w:noProof/>
        <w:color w:val="000000" w:themeColor="text1"/>
      </w:rPr>
      <w:t>27</w:t>
    </w:r>
    <w:r>
      <w:rPr>
        <w:color w:val="000000" w:themeColor="text1"/>
      </w:rPr>
      <w:fldChar w:fldCharType="end"/>
    </w:r>
    <w:r>
      <w:rPr>
        <w:rFonts w:hint="eastAsia"/>
        <w:color w:val="000000" w:themeColor="text1"/>
      </w:rPr>
      <w:t>页</w:t>
    </w:r>
  </w:p>
  <w:p w14:paraId="7ACD776D" w14:textId="77777777" w:rsidR="00384441" w:rsidRDefault="00384441">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C78C4" w14:textId="77777777" w:rsidR="00C159F6" w:rsidRDefault="00C159F6">
      <w:r>
        <w:separator/>
      </w:r>
    </w:p>
  </w:footnote>
  <w:footnote w:type="continuationSeparator" w:id="0">
    <w:p w14:paraId="17EBAF38" w14:textId="77777777" w:rsidR="00C159F6" w:rsidRDefault="00C15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73A0" w14:textId="77777777" w:rsidR="00384441" w:rsidRDefault="00384441">
    <w:pPr>
      <w:pStyle w:val="a6"/>
      <w:jc w:val="right"/>
    </w:pP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77777777" w:rsidR="00384441" w:rsidRDefault="00384441">
    <w:pPr>
      <w:pStyle w:val="a6"/>
      <w:jc w:val="left"/>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1">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2">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3">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4">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5">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7">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5"/>
  </w:num>
  <w:num w:numId="2">
    <w:abstractNumId w:val="1"/>
  </w:num>
  <w:num w:numId="3">
    <w:abstractNumId w:val="4"/>
  </w:num>
  <w:num w:numId="4">
    <w:abstractNumId w:val="8"/>
  </w:num>
  <w:num w:numId="5">
    <w:abstractNumId w:val="7"/>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95913CFA"/>
    <w:rsid w:val="DDF3BB9D"/>
    <w:rsid w:val="000006C6"/>
    <w:rsid w:val="00000C25"/>
    <w:rsid w:val="00001864"/>
    <w:rsid w:val="00001DC5"/>
    <w:rsid w:val="000028EC"/>
    <w:rsid w:val="00004264"/>
    <w:rsid w:val="000051C4"/>
    <w:rsid w:val="000062BE"/>
    <w:rsid w:val="00010F77"/>
    <w:rsid w:val="000126B2"/>
    <w:rsid w:val="00013F5B"/>
    <w:rsid w:val="00014B73"/>
    <w:rsid w:val="00014F92"/>
    <w:rsid w:val="00015427"/>
    <w:rsid w:val="00015BF2"/>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2E19"/>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1009D"/>
    <w:rsid w:val="00110BCF"/>
    <w:rsid w:val="0011109A"/>
    <w:rsid w:val="001118D5"/>
    <w:rsid w:val="00111E93"/>
    <w:rsid w:val="00115112"/>
    <w:rsid w:val="00115683"/>
    <w:rsid w:val="00115D73"/>
    <w:rsid w:val="0011687B"/>
    <w:rsid w:val="00123C90"/>
    <w:rsid w:val="0012457D"/>
    <w:rsid w:val="00124FBD"/>
    <w:rsid w:val="00125B1F"/>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728"/>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5578"/>
    <w:rsid w:val="001B712B"/>
    <w:rsid w:val="001C05E6"/>
    <w:rsid w:val="001C0F22"/>
    <w:rsid w:val="001C19C0"/>
    <w:rsid w:val="001C2A78"/>
    <w:rsid w:val="001C3B8D"/>
    <w:rsid w:val="001C3D71"/>
    <w:rsid w:val="001C4FAF"/>
    <w:rsid w:val="001C5D78"/>
    <w:rsid w:val="001C72BC"/>
    <w:rsid w:val="001C7B49"/>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225E"/>
    <w:rsid w:val="00222850"/>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C9E"/>
    <w:rsid w:val="002465F7"/>
    <w:rsid w:val="00251071"/>
    <w:rsid w:val="00253360"/>
    <w:rsid w:val="0025354B"/>
    <w:rsid w:val="00255F6F"/>
    <w:rsid w:val="00263626"/>
    <w:rsid w:val="002648B0"/>
    <w:rsid w:val="00264BCA"/>
    <w:rsid w:val="00266F6D"/>
    <w:rsid w:val="00274DDE"/>
    <w:rsid w:val="002754B9"/>
    <w:rsid w:val="002761EB"/>
    <w:rsid w:val="00276B5D"/>
    <w:rsid w:val="002808D0"/>
    <w:rsid w:val="002821DF"/>
    <w:rsid w:val="0028307C"/>
    <w:rsid w:val="002830E3"/>
    <w:rsid w:val="00283D0E"/>
    <w:rsid w:val="00284292"/>
    <w:rsid w:val="00287049"/>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0CB"/>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4AA"/>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14AF"/>
    <w:rsid w:val="00355030"/>
    <w:rsid w:val="003576A4"/>
    <w:rsid w:val="003600CB"/>
    <w:rsid w:val="00362735"/>
    <w:rsid w:val="00362C3B"/>
    <w:rsid w:val="00364694"/>
    <w:rsid w:val="00364ECC"/>
    <w:rsid w:val="0036565F"/>
    <w:rsid w:val="00365828"/>
    <w:rsid w:val="00365DFE"/>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3E0"/>
    <w:rsid w:val="00382F22"/>
    <w:rsid w:val="00384441"/>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141F"/>
    <w:rsid w:val="003D1B3B"/>
    <w:rsid w:val="003D58E2"/>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49B1"/>
    <w:rsid w:val="00475662"/>
    <w:rsid w:val="00475C7B"/>
    <w:rsid w:val="004768B2"/>
    <w:rsid w:val="004775B1"/>
    <w:rsid w:val="00480BC2"/>
    <w:rsid w:val="00480C2E"/>
    <w:rsid w:val="00480DD4"/>
    <w:rsid w:val="0048246F"/>
    <w:rsid w:val="0048358D"/>
    <w:rsid w:val="00484A79"/>
    <w:rsid w:val="00487B67"/>
    <w:rsid w:val="004919C6"/>
    <w:rsid w:val="004921D0"/>
    <w:rsid w:val="004933E0"/>
    <w:rsid w:val="00493FBA"/>
    <w:rsid w:val="0049560E"/>
    <w:rsid w:val="00496112"/>
    <w:rsid w:val="00497519"/>
    <w:rsid w:val="00497A0F"/>
    <w:rsid w:val="004A0105"/>
    <w:rsid w:val="004A2030"/>
    <w:rsid w:val="004A266E"/>
    <w:rsid w:val="004A373D"/>
    <w:rsid w:val="004A3CBA"/>
    <w:rsid w:val="004A40EE"/>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7038"/>
    <w:rsid w:val="0055764D"/>
    <w:rsid w:val="00561A81"/>
    <w:rsid w:val="0056219D"/>
    <w:rsid w:val="0056232A"/>
    <w:rsid w:val="00566105"/>
    <w:rsid w:val="00566428"/>
    <w:rsid w:val="00566FE0"/>
    <w:rsid w:val="005744F2"/>
    <w:rsid w:val="005755E0"/>
    <w:rsid w:val="005762EC"/>
    <w:rsid w:val="005769C1"/>
    <w:rsid w:val="00576A77"/>
    <w:rsid w:val="00580CAC"/>
    <w:rsid w:val="00582D53"/>
    <w:rsid w:val="005865C3"/>
    <w:rsid w:val="00587E1F"/>
    <w:rsid w:val="00591C11"/>
    <w:rsid w:val="0059212E"/>
    <w:rsid w:val="00592F42"/>
    <w:rsid w:val="0059395C"/>
    <w:rsid w:val="00593F4B"/>
    <w:rsid w:val="005941CF"/>
    <w:rsid w:val="00594FA7"/>
    <w:rsid w:val="0059646B"/>
    <w:rsid w:val="00597429"/>
    <w:rsid w:val="0059788F"/>
    <w:rsid w:val="00597DBA"/>
    <w:rsid w:val="005A099D"/>
    <w:rsid w:val="005A20DA"/>
    <w:rsid w:val="005A2821"/>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2D2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1803"/>
    <w:rsid w:val="00645222"/>
    <w:rsid w:val="00646BE5"/>
    <w:rsid w:val="006509E5"/>
    <w:rsid w:val="00651A71"/>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6136"/>
    <w:rsid w:val="006804CB"/>
    <w:rsid w:val="00680BF4"/>
    <w:rsid w:val="00682617"/>
    <w:rsid w:val="00683ADB"/>
    <w:rsid w:val="00685FA5"/>
    <w:rsid w:val="00691B6B"/>
    <w:rsid w:val="0069257C"/>
    <w:rsid w:val="00692C48"/>
    <w:rsid w:val="00693589"/>
    <w:rsid w:val="006935BB"/>
    <w:rsid w:val="00693B97"/>
    <w:rsid w:val="00695C0D"/>
    <w:rsid w:val="00696736"/>
    <w:rsid w:val="006975BC"/>
    <w:rsid w:val="006975F5"/>
    <w:rsid w:val="006976C9"/>
    <w:rsid w:val="006A0C97"/>
    <w:rsid w:val="006A19F9"/>
    <w:rsid w:val="006A3AC1"/>
    <w:rsid w:val="006A3FF4"/>
    <w:rsid w:val="006A7A6A"/>
    <w:rsid w:val="006B325C"/>
    <w:rsid w:val="006B3F3F"/>
    <w:rsid w:val="006B6A45"/>
    <w:rsid w:val="006B6ACD"/>
    <w:rsid w:val="006B6D13"/>
    <w:rsid w:val="006B7C78"/>
    <w:rsid w:val="006C0090"/>
    <w:rsid w:val="006C0EF7"/>
    <w:rsid w:val="006C284C"/>
    <w:rsid w:val="006C3842"/>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1DD7"/>
    <w:rsid w:val="006F2A40"/>
    <w:rsid w:val="006F3B31"/>
    <w:rsid w:val="006F465C"/>
    <w:rsid w:val="006F4AA3"/>
    <w:rsid w:val="006F7210"/>
    <w:rsid w:val="006F7AC2"/>
    <w:rsid w:val="00701C15"/>
    <w:rsid w:val="00703815"/>
    <w:rsid w:val="0070415D"/>
    <w:rsid w:val="00704595"/>
    <w:rsid w:val="007059F4"/>
    <w:rsid w:val="00705C15"/>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1D6B"/>
    <w:rsid w:val="0077204B"/>
    <w:rsid w:val="00772F06"/>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25B3"/>
    <w:rsid w:val="007B5C7C"/>
    <w:rsid w:val="007B7D9D"/>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E6995"/>
    <w:rsid w:val="007F08EA"/>
    <w:rsid w:val="007F15B7"/>
    <w:rsid w:val="007F2E34"/>
    <w:rsid w:val="007F4528"/>
    <w:rsid w:val="007F52AA"/>
    <w:rsid w:val="007F7B1B"/>
    <w:rsid w:val="00801AA5"/>
    <w:rsid w:val="00802033"/>
    <w:rsid w:val="00803588"/>
    <w:rsid w:val="00803B53"/>
    <w:rsid w:val="008069CD"/>
    <w:rsid w:val="00807324"/>
    <w:rsid w:val="00807588"/>
    <w:rsid w:val="00810BD4"/>
    <w:rsid w:val="00811FF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77131"/>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1E5A"/>
    <w:rsid w:val="008B2747"/>
    <w:rsid w:val="008B2E6D"/>
    <w:rsid w:val="008B3B04"/>
    <w:rsid w:val="008B4408"/>
    <w:rsid w:val="008B48FE"/>
    <w:rsid w:val="008B4D28"/>
    <w:rsid w:val="008B52FB"/>
    <w:rsid w:val="008B6441"/>
    <w:rsid w:val="008C46F8"/>
    <w:rsid w:val="008C6708"/>
    <w:rsid w:val="008C6EB3"/>
    <w:rsid w:val="008C721D"/>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45F"/>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47A3"/>
    <w:rsid w:val="00974963"/>
    <w:rsid w:val="00976AFC"/>
    <w:rsid w:val="00984204"/>
    <w:rsid w:val="00985220"/>
    <w:rsid w:val="00985402"/>
    <w:rsid w:val="00985A10"/>
    <w:rsid w:val="00986603"/>
    <w:rsid w:val="00986EBC"/>
    <w:rsid w:val="00987519"/>
    <w:rsid w:val="00991685"/>
    <w:rsid w:val="00993F17"/>
    <w:rsid w:val="009944E8"/>
    <w:rsid w:val="00994FCB"/>
    <w:rsid w:val="009A1012"/>
    <w:rsid w:val="009A18DB"/>
    <w:rsid w:val="009A303C"/>
    <w:rsid w:val="009A3561"/>
    <w:rsid w:val="009A689E"/>
    <w:rsid w:val="009B0089"/>
    <w:rsid w:val="009B1DC4"/>
    <w:rsid w:val="009B4622"/>
    <w:rsid w:val="009B56EF"/>
    <w:rsid w:val="009B58EC"/>
    <w:rsid w:val="009B65B0"/>
    <w:rsid w:val="009B69B9"/>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2506"/>
    <w:rsid w:val="00A53420"/>
    <w:rsid w:val="00A53B68"/>
    <w:rsid w:val="00A56C74"/>
    <w:rsid w:val="00A6018C"/>
    <w:rsid w:val="00A61C27"/>
    <w:rsid w:val="00A62F85"/>
    <w:rsid w:val="00A632C2"/>
    <w:rsid w:val="00A64D92"/>
    <w:rsid w:val="00A66CCC"/>
    <w:rsid w:val="00A7040A"/>
    <w:rsid w:val="00A7596B"/>
    <w:rsid w:val="00A7690D"/>
    <w:rsid w:val="00A8302E"/>
    <w:rsid w:val="00A84324"/>
    <w:rsid w:val="00A84AFC"/>
    <w:rsid w:val="00A84B44"/>
    <w:rsid w:val="00A86406"/>
    <w:rsid w:val="00A90F6A"/>
    <w:rsid w:val="00A9114E"/>
    <w:rsid w:val="00A9276D"/>
    <w:rsid w:val="00A93BF6"/>
    <w:rsid w:val="00A955B4"/>
    <w:rsid w:val="00A96C65"/>
    <w:rsid w:val="00AA3BFD"/>
    <w:rsid w:val="00AA5CB2"/>
    <w:rsid w:val="00AA701F"/>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2A"/>
    <w:rsid w:val="00AF0C5C"/>
    <w:rsid w:val="00AF2041"/>
    <w:rsid w:val="00AF2C00"/>
    <w:rsid w:val="00AF3730"/>
    <w:rsid w:val="00AF3BA8"/>
    <w:rsid w:val="00AF3CF7"/>
    <w:rsid w:val="00AF5B03"/>
    <w:rsid w:val="00AF7872"/>
    <w:rsid w:val="00B011EE"/>
    <w:rsid w:val="00B020D7"/>
    <w:rsid w:val="00B04C6D"/>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3080"/>
    <w:rsid w:val="00B331C0"/>
    <w:rsid w:val="00B3407C"/>
    <w:rsid w:val="00B34DC0"/>
    <w:rsid w:val="00B35851"/>
    <w:rsid w:val="00B37D26"/>
    <w:rsid w:val="00B41274"/>
    <w:rsid w:val="00B41994"/>
    <w:rsid w:val="00B43C8F"/>
    <w:rsid w:val="00B45671"/>
    <w:rsid w:val="00B47537"/>
    <w:rsid w:val="00B5086D"/>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E4F"/>
    <w:rsid w:val="00B80194"/>
    <w:rsid w:val="00B80717"/>
    <w:rsid w:val="00B83072"/>
    <w:rsid w:val="00B83367"/>
    <w:rsid w:val="00B8483F"/>
    <w:rsid w:val="00B90835"/>
    <w:rsid w:val="00B94821"/>
    <w:rsid w:val="00B953B7"/>
    <w:rsid w:val="00B95A27"/>
    <w:rsid w:val="00B95A88"/>
    <w:rsid w:val="00BA03A6"/>
    <w:rsid w:val="00BA03F3"/>
    <w:rsid w:val="00BA445B"/>
    <w:rsid w:val="00BA5172"/>
    <w:rsid w:val="00BA707B"/>
    <w:rsid w:val="00BB0C5E"/>
    <w:rsid w:val="00BB3AC1"/>
    <w:rsid w:val="00BB7026"/>
    <w:rsid w:val="00BB7504"/>
    <w:rsid w:val="00BB78FE"/>
    <w:rsid w:val="00BC3524"/>
    <w:rsid w:val="00BC4F45"/>
    <w:rsid w:val="00BC641A"/>
    <w:rsid w:val="00BC6A31"/>
    <w:rsid w:val="00BC7731"/>
    <w:rsid w:val="00BD1B90"/>
    <w:rsid w:val="00BD60FE"/>
    <w:rsid w:val="00BE0C23"/>
    <w:rsid w:val="00BE2C84"/>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03"/>
    <w:rsid w:val="00C04640"/>
    <w:rsid w:val="00C0465C"/>
    <w:rsid w:val="00C04919"/>
    <w:rsid w:val="00C05C2D"/>
    <w:rsid w:val="00C10AA1"/>
    <w:rsid w:val="00C11D5A"/>
    <w:rsid w:val="00C1317E"/>
    <w:rsid w:val="00C14A77"/>
    <w:rsid w:val="00C159F6"/>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CA3"/>
    <w:rsid w:val="00C55E45"/>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5B26"/>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3B5D"/>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00AB"/>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65AF"/>
    <w:rsid w:val="00D505D6"/>
    <w:rsid w:val="00D50A1F"/>
    <w:rsid w:val="00D51402"/>
    <w:rsid w:val="00D51CF4"/>
    <w:rsid w:val="00D52357"/>
    <w:rsid w:val="00D525E0"/>
    <w:rsid w:val="00D52C21"/>
    <w:rsid w:val="00D53318"/>
    <w:rsid w:val="00D5357C"/>
    <w:rsid w:val="00D54678"/>
    <w:rsid w:val="00D55BB3"/>
    <w:rsid w:val="00D55D57"/>
    <w:rsid w:val="00D56C5A"/>
    <w:rsid w:val="00D604D3"/>
    <w:rsid w:val="00D6285C"/>
    <w:rsid w:val="00D63339"/>
    <w:rsid w:val="00D66591"/>
    <w:rsid w:val="00D671C9"/>
    <w:rsid w:val="00D6722E"/>
    <w:rsid w:val="00D704DC"/>
    <w:rsid w:val="00D70920"/>
    <w:rsid w:val="00D71335"/>
    <w:rsid w:val="00D71B68"/>
    <w:rsid w:val="00D7235D"/>
    <w:rsid w:val="00D73784"/>
    <w:rsid w:val="00D73B6B"/>
    <w:rsid w:val="00D76059"/>
    <w:rsid w:val="00D762AE"/>
    <w:rsid w:val="00D76403"/>
    <w:rsid w:val="00D80A88"/>
    <w:rsid w:val="00D82026"/>
    <w:rsid w:val="00D82D1E"/>
    <w:rsid w:val="00D844A0"/>
    <w:rsid w:val="00D85186"/>
    <w:rsid w:val="00D854DF"/>
    <w:rsid w:val="00D873B1"/>
    <w:rsid w:val="00D904BD"/>
    <w:rsid w:val="00D91398"/>
    <w:rsid w:val="00D94E7D"/>
    <w:rsid w:val="00D95999"/>
    <w:rsid w:val="00DA04DC"/>
    <w:rsid w:val="00DA1D20"/>
    <w:rsid w:val="00DA2A7E"/>
    <w:rsid w:val="00DA311D"/>
    <w:rsid w:val="00DA428A"/>
    <w:rsid w:val="00DA4877"/>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4C81"/>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3534"/>
    <w:rsid w:val="00E141D2"/>
    <w:rsid w:val="00E1713B"/>
    <w:rsid w:val="00E20339"/>
    <w:rsid w:val="00E21EC7"/>
    <w:rsid w:val="00E227B8"/>
    <w:rsid w:val="00E25218"/>
    <w:rsid w:val="00E30099"/>
    <w:rsid w:val="00E31691"/>
    <w:rsid w:val="00E33422"/>
    <w:rsid w:val="00E35975"/>
    <w:rsid w:val="00E3618F"/>
    <w:rsid w:val="00E40D1A"/>
    <w:rsid w:val="00E416AB"/>
    <w:rsid w:val="00E42C66"/>
    <w:rsid w:val="00E43BED"/>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323D"/>
    <w:rsid w:val="00E8406D"/>
    <w:rsid w:val="00E840F8"/>
    <w:rsid w:val="00E84389"/>
    <w:rsid w:val="00E84473"/>
    <w:rsid w:val="00E84C7E"/>
    <w:rsid w:val="00E87647"/>
    <w:rsid w:val="00E90299"/>
    <w:rsid w:val="00E908AC"/>
    <w:rsid w:val="00E90AB7"/>
    <w:rsid w:val="00E90D93"/>
    <w:rsid w:val="00E915D5"/>
    <w:rsid w:val="00E9174B"/>
    <w:rsid w:val="00E92364"/>
    <w:rsid w:val="00E92830"/>
    <w:rsid w:val="00E9579F"/>
    <w:rsid w:val="00E97E88"/>
    <w:rsid w:val="00EA3989"/>
    <w:rsid w:val="00EA47D9"/>
    <w:rsid w:val="00EA63D7"/>
    <w:rsid w:val="00EB26CB"/>
    <w:rsid w:val="00EB2996"/>
    <w:rsid w:val="00EB3DA7"/>
    <w:rsid w:val="00EB537A"/>
    <w:rsid w:val="00EB7989"/>
    <w:rsid w:val="00EB7E23"/>
    <w:rsid w:val="00EC1664"/>
    <w:rsid w:val="00EC23DA"/>
    <w:rsid w:val="00EC47F1"/>
    <w:rsid w:val="00EC4B03"/>
    <w:rsid w:val="00ED13CF"/>
    <w:rsid w:val="00ED1D88"/>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446E"/>
    <w:rsid w:val="00EF6729"/>
    <w:rsid w:val="00F05863"/>
    <w:rsid w:val="00F05BB4"/>
    <w:rsid w:val="00F070D0"/>
    <w:rsid w:val="00F074B1"/>
    <w:rsid w:val="00F12654"/>
    <w:rsid w:val="00F12B7D"/>
    <w:rsid w:val="00F13747"/>
    <w:rsid w:val="00F14D24"/>
    <w:rsid w:val="00F156B8"/>
    <w:rsid w:val="00F17933"/>
    <w:rsid w:val="00F17B31"/>
    <w:rsid w:val="00F2222F"/>
    <w:rsid w:val="00F2301C"/>
    <w:rsid w:val="00F240ED"/>
    <w:rsid w:val="00F256E9"/>
    <w:rsid w:val="00F31BB4"/>
    <w:rsid w:val="00F31BC7"/>
    <w:rsid w:val="00F330D4"/>
    <w:rsid w:val="00F333B1"/>
    <w:rsid w:val="00F34E02"/>
    <w:rsid w:val="00F355F6"/>
    <w:rsid w:val="00F356FC"/>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25D5"/>
    <w:rsid w:val="00F6312C"/>
    <w:rsid w:val="00F636DC"/>
    <w:rsid w:val="00F65DC9"/>
    <w:rsid w:val="00F70DB2"/>
    <w:rsid w:val="00F71168"/>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1340439"/>
    <w:rsid w:val="01826255"/>
    <w:rsid w:val="03970A41"/>
    <w:rsid w:val="05692B8B"/>
    <w:rsid w:val="09F150BA"/>
    <w:rsid w:val="0B821EDB"/>
    <w:rsid w:val="132263AA"/>
    <w:rsid w:val="13F0597D"/>
    <w:rsid w:val="160A63EE"/>
    <w:rsid w:val="161B6747"/>
    <w:rsid w:val="16766474"/>
    <w:rsid w:val="218F3476"/>
    <w:rsid w:val="26EB3B0D"/>
    <w:rsid w:val="28B22368"/>
    <w:rsid w:val="2A7953AD"/>
    <w:rsid w:val="2C76540D"/>
    <w:rsid w:val="2E3B5379"/>
    <w:rsid w:val="31A070B0"/>
    <w:rsid w:val="337D0B61"/>
    <w:rsid w:val="35846110"/>
    <w:rsid w:val="3E1218F1"/>
    <w:rsid w:val="3F7B4EEC"/>
    <w:rsid w:val="435049F0"/>
    <w:rsid w:val="457895B9"/>
    <w:rsid w:val="46CA7CEE"/>
    <w:rsid w:val="4D2A334E"/>
    <w:rsid w:val="4DED180A"/>
    <w:rsid w:val="529675D7"/>
    <w:rsid w:val="54B56A3A"/>
    <w:rsid w:val="54F974BE"/>
    <w:rsid w:val="55743214"/>
    <w:rsid w:val="598A78EB"/>
    <w:rsid w:val="5A380F0B"/>
    <w:rsid w:val="5F484E51"/>
    <w:rsid w:val="650B63FE"/>
    <w:rsid w:val="66BF992E"/>
    <w:rsid w:val="6D1019A4"/>
    <w:rsid w:val="6F5722CF"/>
    <w:rsid w:val="73AE7E86"/>
    <w:rsid w:val="7592B155"/>
    <w:rsid w:val="77E52F29"/>
    <w:rsid w:val="79FF4AFC"/>
    <w:rsid w:val="7AF545E8"/>
    <w:rsid w:val="7E374D98"/>
    <w:rsid w:val="7EA26A01"/>
    <w:rsid w:val="7FFB3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32D99E-F465-4493-9AAF-8F23F83E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ic-wealt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E23F5490-0879-4E0F-B22D-DFCF55613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33</Pages>
  <Words>5859</Words>
  <Characters>33398</Characters>
  <Application>Microsoft Office Word</Application>
  <DocSecurity>0</DocSecurity>
  <Lines>278</Lines>
  <Paragraphs>78</Paragraphs>
  <ScaleCrop>false</ScaleCrop>
  <Company>citicbank</Company>
  <LinksUpToDate>false</LinksUpToDate>
  <CharactersWithSpaces>39179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137</cp:revision>
  <cp:lastPrinted>2025-09-08T09:57:00Z</cp:lastPrinted>
  <dcterms:created xsi:type="dcterms:W3CDTF">2023-09-15T17:52:00Z</dcterms:created>
  <dcterms:modified xsi:type="dcterms:W3CDTF">2025-09-08T09:58:00Z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42B4DBBF006E4F8DBF8C5DBCD8DED9DC_12</vt:lpwstr>
  </property>
</Properties>
</file>