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DD04E8C">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r>
        <w:rPr>
          <w:rFonts w:hint="eastAsia" w:ascii="黑体" w:hAnsi="楷体_GB2312" w:eastAsia="黑体" w:cs="黑体"/>
          <w:b/>
          <w:bCs/>
          <w:color w:val="000000" w:themeColor="text1"/>
          <w14:textFill>
            <w14:solidFill>
              <w14:schemeClr w14:val="tx1"/>
            </w14:solidFill>
          </w14:textFill>
        </w:rPr>
        <w:t>信银理财理财产品风险揭示书</w:t>
      </w:r>
    </w:p>
    <w:p w14:paraId="0B61FC9F">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4925163C">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2ED2D7A9">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2F4004D0">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46055F40">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【信银理财日盈象天天利212号现金管理型理财产品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，产品代码为【AM244162】，类型为公募、固定收益类、开放式产品，产品无固定期限，风险评级为【</w:t>
      </w:r>
      <w:r>
        <w:rPr>
          <w:rFonts w:ascii="楷体_GB2312" w:hAnsi="Arial" w:eastAsia="楷体_GB2312" w:cs="楷体_GB2312"/>
          <w:color w:val="000000" w:themeColor="text1"/>
          <w14:textFill>
            <w14:solidFill>
              <w14:schemeClr w14:val="tx1"/>
            </w14:solidFill>
          </w14:textFill>
        </w:rPr>
        <w:t>PR1</w:t>
      </w:r>
      <w:r>
        <w:rPr>
          <w:rFonts w:hint="eastAsia" w:ascii="楷体_GB2312" w:hAnsi="Arial" w:eastAsia="楷体_GB2312" w:cs="楷体_GB2312"/>
          <w:color w:val="000000" w:themeColor="text1"/>
          <w14:textFill>
            <w14:solidFill>
              <w14:schemeClr w14:val="tx1"/>
            </w14:solidFill>
          </w14:textFill>
        </w:rPr>
        <w:t>】，适合购买客户为风险承受能力为【谨慎型】及以上的客户。</w:t>
      </w:r>
      <w:r>
        <w:rPr>
          <w:rFonts w:hint="eastAsia" w:ascii="楷体_GB2312" w:hAnsi="Arial" w:eastAsia="楷体_GB2312"/>
          <w:color w:val="000000" w:themeColor="text1"/>
          <w14:textFill>
            <w14:solidFill>
              <w14:schemeClr w14:val="tx1"/>
            </w14:solidFill>
          </w14:textFill>
        </w:rPr>
        <w:t>固定收益类产品仅是按照投资性质分类，并非指收益固定或保本。</w:t>
      </w:r>
    </w:p>
    <w:p w14:paraId="57240339">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：信银理财作为本理财产品管理人承诺以诚实守信、勤勉尽职的原则管理和运用理财产品资金，但</w:t>
      </w:r>
      <w:r>
        <w:rPr>
          <w:rFonts w:hint="eastAsia" w:ascii="楷体_GB2312" w:hAnsi="Arial" w:eastAsia="楷体_GB2312" w:cs="楷体_GB2312"/>
          <w:b/>
          <w:color w:val="000000" w:themeColor="text1"/>
          <w14:textFill>
            <w14:solidFill>
              <w14:schemeClr w14:val="tx1"/>
            </w14:solidFill>
          </w14:textFill>
        </w:rPr>
        <w:t>不保证本金和收益，您可能因市场变动而损失全部本金且无法取得任何收益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信银理财提醒您理财产品投资风险由买者自负，您应充分认识投资风险，谨慎投资！</w:t>
      </w:r>
      <w:r>
        <w:rPr>
          <w:rFonts w:ascii="楷体_GB2312" w:hAnsi="Arial" w:eastAsia="楷体_GB2312"/>
          <w:color w:val="000000" w:themeColor="text1"/>
          <w14:textFill>
            <w14:solidFill>
              <w14:schemeClr w14:val="tx1"/>
            </w14:solidFill>
          </w14:textFill>
        </w:rPr>
        <w:t> </w:t>
      </w:r>
    </w:p>
    <w:p w14:paraId="1B9C8DE8">
      <w:pPr>
        <w:ind w:firstLine="480" w:firstLineChars="200"/>
        <w:jc w:val="both"/>
        <w:rPr>
          <w:rFonts w:ascii="楷体_GB2312" w:hAnsi="Arial" w:eastAsia="楷体_GB2312"/>
          <w:color w:val="000000" w:themeColor="text1"/>
          <w14:textFill>
            <w14:solidFill>
              <w14:schemeClr w14:val="tx1"/>
            </w14:solidFill>
          </w14:textFill>
        </w:rPr>
      </w:pPr>
    </w:p>
    <w:p w14:paraId="5FFCBBD8">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1.00亿元，在最不利情况下，理财本金及收益全部损失。</w:t>
      </w:r>
    </w:p>
    <w:p w14:paraId="7DBF4101">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2D2DC704">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50389D79">
      <w:pPr>
        <w:ind w:firstLine="482" w:firstLineChars="200"/>
        <w:jc w:val="both"/>
        <w:rPr>
          <w:rFonts w:ascii="黑体" w:hAnsi="黑体" w:eastAsia="黑体"/>
          <w:b/>
          <w:color w:val="000000" w:themeColor="text1"/>
          <w14:textFill>
            <w14:solidFill>
              <w14:schemeClr w14:val="tx1"/>
            </w14:solidFill>
          </w14:textFill>
        </w:rPr>
      </w:pPr>
    </w:p>
    <w:p w14:paraId="26FE0D91">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如影响您风险承受能力的因素发生变化，请及时告知信银理财或代销机构并重新进行风险承受能力评估。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7B5B28A6">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73335240">
      <w:pPr>
        <w:jc w:val="right"/>
        <w:rPr>
          <w:rFonts w:ascii="楷体_GB2312" w:eastAsia="楷体_GB2312"/>
          <w:color w:val="000000" w:themeColor="text1"/>
          <w14:textFill>
            <w14:solidFill>
              <w14:schemeClr w14:val="tx1"/>
            </w14:solidFill>
          </w14:textFill>
        </w:rPr>
      </w:pPr>
    </w:p>
    <w:p w14:paraId="12E75B76">
      <w:pPr>
        <w:jc w:val="center"/>
        <w:rPr>
          <w:rFonts w:ascii="楷体_GB2312" w:hAnsi="Arial" w:eastAsia="楷体_GB2312" w:cs="楷体_GB2312"/>
          <w:b/>
          <w:bCs/>
          <w:color w:val="000000" w:themeColor="text1"/>
          <w:u w:val="single"/>
          <w14:textFill>
            <w14:solidFill>
              <w14:schemeClr w14:val="tx1"/>
            </w14:solidFill>
          </w14:textFill>
        </w:rPr>
      </w:pPr>
    </w:p>
    <w:p w14:paraId="1F4F47D8">
      <w:pPr>
        <w:snapToGrid w:val="0"/>
        <w:ind w:right="440"/>
        <w:rPr>
          <w:rFonts w:ascii="黑体" w:hAnsi="Times New Roman" w:eastAsia="黑体" w:cs="Arial"/>
          <w:color w:val="000000" w:themeColor="text1"/>
          <w14:textFill>
            <w14:solidFill>
              <w14:schemeClr w14:val="tx1"/>
            </w14:solidFill>
          </w14:textFill>
        </w:rPr>
      </w:pPr>
    </w:p>
    <w:p w14:paraId="50AC7B3C">
      <w:pPr>
        <w:jc w:val="center"/>
        <w:rPr>
          <w:rFonts w:ascii="楷体_GB2312" w:hAnsi="Arial" w:eastAsia="楷体_GB2312" w:cs="楷体_GB2312"/>
          <w:b/>
          <w:bCs/>
          <w:color w:val="000000" w:themeColor="text1"/>
          <w:u w:val="single"/>
          <w14:textFill>
            <w14:solidFill>
              <w14:schemeClr w14:val="tx1"/>
            </w14:solidFill>
          </w14:textFill>
        </w:rPr>
      </w:pPr>
    </w:p>
    <w:p w14:paraId="04007D93">
      <w:pPr>
        <w:jc w:val="center"/>
        <w:rPr>
          <w:rFonts w:ascii="楷体_GB2312" w:hAnsi="Arial" w:eastAsia="楷体_GB2312" w:cs="楷体_GB2312"/>
          <w:b/>
          <w:bCs/>
          <w:color w:val="000000" w:themeColor="text1"/>
          <w:u w:val="single"/>
          <w14:textFill>
            <w14:solidFill>
              <w14:schemeClr w14:val="tx1"/>
            </w14:solidFill>
          </w14:textFill>
        </w:rPr>
      </w:pPr>
    </w:p>
    <w:p w14:paraId="21DE1C8A">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60F98D15">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机构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6952FD7D">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将向本理财产品销售机构真实提供信息，自主作出认（申）购/赎回等决定，独立对销售文件进行签字/盖章确认，自主承担投资风险。本人/本单位拒绝向销售机构提供或者未按照要求提供信息的，销售机构有权告知本人/本单位相应的后果和责任，并有权拒绝向本人/本单位提供销售服务。</w:t>
      </w:r>
    </w:p>
    <w:p w14:paraId="60A64C3F">
      <w:pPr>
        <w:pStyle w:val="18"/>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66C8031F">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150D3449">
      <w:pPr>
        <w:ind w:firstLine="480" w:firstLineChars="200"/>
        <w:jc w:val="both"/>
        <w:rPr>
          <w:color w:val="000000" w:themeColor="text1"/>
          <w14:textFill>
            <w14:solidFill>
              <w14:schemeClr w14:val="tx1"/>
            </w14:solidFill>
          </w14:textFill>
        </w:rPr>
      </w:pPr>
    </w:p>
    <w:p w14:paraId="222CAE3B">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0664AE8A">
      <w:pPr>
        <w:jc w:val="both"/>
        <w:rPr>
          <w:rFonts w:ascii="楷体_GB2312" w:hAnsi="Arial" w:eastAsia="楷体_GB2312" w:cs="楷体_GB2312"/>
          <w:color w:val="000000" w:themeColor="text1"/>
          <w14:textFill>
            <w14:solidFill>
              <w14:schemeClr w14:val="tx1"/>
            </w14:solidFill>
          </w14:textFill>
        </w:rPr>
      </w:pPr>
    </w:p>
    <w:p w14:paraId="05C20C51">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理财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16BFA6C0">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3D6D8A06">
      <w:pPr>
        <w:ind w:firstLine="480" w:firstLineChars="200"/>
        <w:jc w:val="both"/>
        <w:rPr>
          <w:rFonts w:ascii="楷体_GB2312" w:eastAsia="楷体_GB2312"/>
          <w:color w:val="000000" w:themeColor="text1"/>
          <w14:textFill>
            <w14:solidFill>
              <w14:schemeClr w14:val="tx1"/>
            </w14:solidFill>
          </w14:textFill>
        </w:rPr>
      </w:pPr>
    </w:p>
    <w:p w14:paraId="2724CB7A">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本人/本单位风险承受能力评级为（由个人客户本人/机构客户授权经办人填写）：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499ECA15">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hint="eastAsia"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6BBB5B65">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0DAE34BF">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机构客户（盖章）：</w:t>
      </w:r>
    </w:p>
    <w:p w14:paraId="6F2A2B05">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3FC16264">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78E86EAA">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p>
    <w:p w14:paraId="07EA75E2">
      <w:pPr>
        <w:snapToGrid w:val="0"/>
        <w:ind w:right="440"/>
        <w:rPr>
          <w:color w:val="000000" w:themeColor="text1"/>
          <w14:textFill>
            <w14:solidFill>
              <w14:schemeClr w14:val="tx1"/>
            </w14:solidFill>
          </w14:textFill>
        </w:rPr>
      </w:pPr>
    </w:p>
    <w:p w14:paraId="48B917F9">
      <w:pPr>
        <w:spacing w:line="300" w:lineRule="exact"/>
        <w:ind w:right="-792" w:rightChars="-330"/>
        <w:jc w:val="center"/>
        <w:rPr>
          <w:rFonts w:ascii="黑体" w:eastAsia="黑体"/>
          <w:b/>
          <w:bCs/>
          <w:color w:val="000000" w:themeColor="text1"/>
          <w14:textFill>
            <w14:solidFill>
              <w14:schemeClr w14:val="tx1"/>
            </w14:solidFill>
          </w14:textFill>
        </w:rPr>
      </w:pPr>
    </w:p>
    <w:p w14:paraId="4175BB1E">
      <w:pPr>
        <w:spacing w:line="300" w:lineRule="exact"/>
        <w:ind w:right="36" w:rightChars="15"/>
        <w:rPr>
          <w:color w:val="000000" w:themeColor="text1"/>
          <w14:textFill>
            <w14:solidFill>
              <w14:schemeClr w14:val="tx1"/>
            </w14:solidFill>
          </w14:textFill>
        </w:rPr>
      </w:pPr>
      <w:bookmarkStart w:id="0" w:name="_GoBack"/>
      <w:bookmarkEnd w:id="0"/>
    </w:p>
    <w:sectPr>
      <w:headerReference r:id="rId3" w:type="default"/>
      <w:footerReference r:id="rId4" w:type="default"/>
      <w:type w:val="continuous"/>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51D30">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27</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7ACD776D">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A9DD0">
    <w:pPr>
      <w:pStyle w:val="5"/>
      <w:jc w:val="left"/>
    </w:pPr>
    <w:r>
      <w:rPr>
        <w:rFonts w:hint="eastAsia"/>
      </w:rPr>
      <w:t>本产品风险评级为【P</w:t>
    </w:r>
    <w:r>
      <w:t>R1</w:t>
    </w:r>
    <w:r>
      <w:rPr>
        <w:rFonts w:hint="eastAsia"/>
      </w:rPr>
      <w:t xml:space="preserve">】   </w:t>
    </w: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C25"/>
    <w:rsid w:val="00001864"/>
    <w:rsid w:val="00001DC5"/>
    <w:rsid w:val="000028EC"/>
    <w:rsid w:val="00004264"/>
    <w:rsid w:val="000051C4"/>
    <w:rsid w:val="000062BE"/>
    <w:rsid w:val="00010F77"/>
    <w:rsid w:val="000126B2"/>
    <w:rsid w:val="00013F5B"/>
    <w:rsid w:val="00014B73"/>
    <w:rsid w:val="00014F92"/>
    <w:rsid w:val="00015427"/>
    <w:rsid w:val="00015BF2"/>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2E19"/>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1009D"/>
    <w:rsid w:val="00110BCF"/>
    <w:rsid w:val="0011109A"/>
    <w:rsid w:val="001118D5"/>
    <w:rsid w:val="00111E93"/>
    <w:rsid w:val="00115112"/>
    <w:rsid w:val="00115683"/>
    <w:rsid w:val="00115D73"/>
    <w:rsid w:val="0011687B"/>
    <w:rsid w:val="00123C90"/>
    <w:rsid w:val="0012457D"/>
    <w:rsid w:val="00124FBD"/>
    <w:rsid w:val="00125B1F"/>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728"/>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5578"/>
    <w:rsid w:val="001B712B"/>
    <w:rsid w:val="001C05E6"/>
    <w:rsid w:val="001C0F22"/>
    <w:rsid w:val="001C19C0"/>
    <w:rsid w:val="001C2A78"/>
    <w:rsid w:val="001C3B8D"/>
    <w:rsid w:val="001C3D71"/>
    <w:rsid w:val="001C4FAF"/>
    <w:rsid w:val="001C5D78"/>
    <w:rsid w:val="001C72BC"/>
    <w:rsid w:val="001C7B49"/>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225E"/>
    <w:rsid w:val="00222850"/>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C9E"/>
    <w:rsid w:val="002465F7"/>
    <w:rsid w:val="00251071"/>
    <w:rsid w:val="00253360"/>
    <w:rsid w:val="0025354B"/>
    <w:rsid w:val="00255F6F"/>
    <w:rsid w:val="00263626"/>
    <w:rsid w:val="002648B0"/>
    <w:rsid w:val="00264BCA"/>
    <w:rsid w:val="00266F6D"/>
    <w:rsid w:val="00274DDE"/>
    <w:rsid w:val="002754B9"/>
    <w:rsid w:val="002761EB"/>
    <w:rsid w:val="00276B5D"/>
    <w:rsid w:val="002808D0"/>
    <w:rsid w:val="002821DF"/>
    <w:rsid w:val="0028307C"/>
    <w:rsid w:val="002830E3"/>
    <w:rsid w:val="00283D0E"/>
    <w:rsid w:val="00284292"/>
    <w:rsid w:val="00287049"/>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0CB"/>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4AA"/>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14AF"/>
    <w:rsid w:val="00355030"/>
    <w:rsid w:val="003576A4"/>
    <w:rsid w:val="003600CB"/>
    <w:rsid w:val="00362735"/>
    <w:rsid w:val="00362C3B"/>
    <w:rsid w:val="00364694"/>
    <w:rsid w:val="00364ECC"/>
    <w:rsid w:val="0036565F"/>
    <w:rsid w:val="00365828"/>
    <w:rsid w:val="00365DFE"/>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3E0"/>
    <w:rsid w:val="00382F22"/>
    <w:rsid w:val="00384441"/>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141F"/>
    <w:rsid w:val="003D1B3B"/>
    <w:rsid w:val="003D58E2"/>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49B1"/>
    <w:rsid w:val="00475662"/>
    <w:rsid w:val="00475C7B"/>
    <w:rsid w:val="004768B2"/>
    <w:rsid w:val="004775B1"/>
    <w:rsid w:val="00480BC2"/>
    <w:rsid w:val="00480C2E"/>
    <w:rsid w:val="00480DD4"/>
    <w:rsid w:val="0048246F"/>
    <w:rsid w:val="0048358D"/>
    <w:rsid w:val="00484A79"/>
    <w:rsid w:val="00487B67"/>
    <w:rsid w:val="004919C6"/>
    <w:rsid w:val="004921D0"/>
    <w:rsid w:val="004933E0"/>
    <w:rsid w:val="00493FBA"/>
    <w:rsid w:val="0049560E"/>
    <w:rsid w:val="00496112"/>
    <w:rsid w:val="00497519"/>
    <w:rsid w:val="00497A0F"/>
    <w:rsid w:val="004A0105"/>
    <w:rsid w:val="004A2030"/>
    <w:rsid w:val="004A266E"/>
    <w:rsid w:val="004A373D"/>
    <w:rsid w:val="004A3CBA"/>
    <w:rsid w:val="004A40EE"/>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7038"/>
    <w:rsid w:val="0055764D"/>
    <w:rsid w:val="00561A81"/>
    <w:rsid w:val="0056219D"/>
    <w:rsid w:val="0056232A"/>
    <w:rsid w:val="00566105"/>
    <w:rsid w:val="00566428"/>
    <w:rsid w:val="00566FE0"/>
    <w:rsid w:val="005744F2"/>
    <w:rsid w:val="005755E0"/>
    <w:rsid w:val="005762EC"/>
    <w:rsid w:val="005769C1"/>
    <w:rsid w:val="00576A77"/>
    <w:rsid w:val="00580CAC"/>
    <w:rsid w:val="00582D53"/>
    <w:rsid w:val="005865C3"/>
    <w:rsid w:val="00587E1F"/>
    <w:rsid w:val="00591C11"/>
    <w:rsid w:val="0059212E"/>
    <w:rsid w:val="00592F42"/>
    <w:rsid w:val="0059395C"/>
    <w:rsid w:val="00593F4B"/>
    <w:rsid w:val="005941CF"/>
    <w:rsid w:val="00594FA7"/>
    <w:rsid w:val="0059646B"/>
    <w:rsid w:val="00597429"/>
    <w:rsid w:val="0059788F"/>
    <w:rsid w:val="00597DBA"/>
    <w:rsid w:val="005A099D"/>
    <w:rsid w:val="005A20DA"/>
    <w:rsid w:val="005A2821"/>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2D2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1803"/>
    <w:rsid w:val="00645222"/>
    <w:rsid w:val="00646BE5"/>
    <w:rsid w:val="006509E5"/>
    <w:rsid w:val="00651A71"/>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6136"/>
    <w:rsid w:val="006804CB"/>
    <w:rsid w:val="00680BF4"/>
    <w:rsid w:val="00682617"/>
    <w:rsid w:val="00683ADB"/>
    <w:rsid w:val="00685FA5"/>
    <w:rsid w:val="00691B6B"/>
    <w:rsid w:val="0069257C"/>
    <w:rsid w:val="00692C48"/>
    <w:rsid w:val="00693589"/>
    <w:rsid w:val="006935BB"/>
    <w:rsid w:val="00693B97"/>
    <w:rsid w:val="00695C0D"/>
    <w:rsid w:val="00696736"/>
    <w:rsid w:val="006975BC"/>
    <w:rsid w:val="006975F5"/>
    <w:rsid w:val="006976C9"/>
    <w:rsid w:val="006A0C97"/>
    <w:rsid w:val="006A19F9"/>
    <w:rsid w:val="006A3AC1"/>
    <w:rsid w:val="006A3FF4"/>
    <w:rsid w:val="006A7A6A"/>
    <w:rsid w:val="006B325C"/>
    <w:rsid w:val="006B3F3F"/>
    <w:rsid w:val="006B6A45"/>
    <w:rsid w:val="006B6ACD"/>
    <w:rsid w:val="006B6D13"/>
    <w:rsid w:val="006B7C78"/>
    <w:rsid w:val="006C0090"/>
    <w:rsid w:val="006C0EF7"/>
    <w:rsid w:val="006C284C"/>
    <w:rsid w:val="006C3842"/>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1DD7"/>
    <w:rsid w:val="006F2A40"/>
    <w:rsid w:val="006F3B31"/>
    <w:rsid w:val="006F465C"/>
    <w:rsid w:val="006F4AA3"/>
    <w:rsid w:val="006F7210"/>
    <w:rsid w:val="006F7AC2"/>
    <w:rsid w:val="00701C15"/>
    <w:rsid w:val="00703815"/>
    <w:rsid w:val="0070415D"/>
    <w:rsid w:val="00704595"/>
    <w:rsid w:val="007059F4"/>
    <w:rsid w:val="00705C15"/>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1D6B"/>
    <w:rsid w:val="0077204B"/>
    <w:rsid w:val="00772F06"/>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25B3"/>
    <w:rsid w:val="007B5C7C"/>
    <w:rsid w:val="007B7D9D"/>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E6995"/>
    <w:rsid w:val="007F08EA"/>
    <w:rsid w:val="007F15B7"/>
    <w:rsid w:val="007F2E34"/>
    <w:rsid w:val="007F4528"/>
    <w:rsid w:val="007F52AA"/>
    <w:rsid w:val="007F7B1B"/>
    <w:rsid w:val="00801AA5"/>
    <w:rsid w:val="00802033"/>
    <w:rsid w:val="00803588"/>
    <w:rsid w:val="00803B53"/>
    <w:rsid w:val="008069CD"/>
    <w:rsid w:val="00807324"/>
    <w:rsid w:val="00807588"/>
    <w:rsid w:val="00810BD4"/>
    <w:rsid w:val="00811FF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77131"/>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1E5A"/>
    <w:rsid w:val="008B2747"/>
    <w:rsid w:val="008B2E6D"/>
    <w:rsid w:val="008B3B04"/>
    <w:rsid w:val="008B4408"/>
    <w:rsid w:val="008B48FE"/>
    <w:rsid w:val="008B4D28"/>
    <w:rsid w:val="008B52FB"/>
    <w:rsid w:val="008B6441"/>
    <w:rsid w:val="008C46F8"/>
    <w:rsid w:val="008C6708"/>
    <w:rsid w:val="008C6EB3"/>
    <w:rsid w:val="008C721D"/>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45F"/>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47A3"/>
    <w:rsid w:val="00974963"/>
    <w:rsid w:val="00976AFC"/>
    <w:rsid w:val="00984204"/>
    <w:rsid w:val="00985220"/>
    <w:rsid w:val="00985402"/>
    <w:rsid w:val="00985A10"/>
    <w:rsid w:val="00986603"/>
    <w:rsid w:val="00986EBC"/>
    <w:rsid w:val="00987519"/>
    <w:rsid w:val="00991685"/>
    <w:rsid w:val="00993F17"/>
    <w:rsid w:val="009944E8"/>
    <w:rsid w:val="00994FCB"/>
    <w:rsid w:val="009A1012"/>
    <w:rsid w:val="009A18DB"/>
    <w:rsid w:val="009A303C"/>
    <w:rsid w:val="009A3561"/>
    <w:rsid w:val="009A689E"/>
    <w:rsid w:val="009B0089"/>
    <w:rsid w:val="009B1DC4"/>
    <w:rsid w:val="009B4622"/>
    <w:rsid w:val="009B56EF"/>
    <w:rsid w:val="009B58EC"/>
    <w:rsid w:val="009B65B0"/>
    <w:rsid w:val="009B69B9"/>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2506"/>
    <w:rsid w:val="00A53420"/>
    <w:rsid w:val="00A53B68"/>
    <w:rsid w:val="00A56C74"/>
    <w:rsid w:val="00A6018C"/>
    <w:rsid w:val="00A61C27"/>
    <w:rsid w:val="00A62F85"/>
    <w:rsid w:val="00A632C2"/>
    <w:rsid w:val="00A64D92"/>
    <w:rsid w:val="00A66CCC"/>
    <w:rsid w:val="00A7040A"/>
    <w:rsid w:val="00A7596B"/>
    <w:rsid w:val="00A7690D"/>
    <w:rsid w:val="00A8302E"/>
    <w:rsid w:val="00A84324"/>
    <w:rsid w:val="00A84AFC"/>
    <w:rsid w:val="00A84B44"/>
    <w:rsid w:val="00A86406"/>
    <w:rsid w:val="00A90F6A"/>
    <w:rsid w:val="00A9114E"/>
    <w:rsid w:val="00A9276D"/>
    <w:rsid w:val="00A93BF6"/>
    <w:rsid w:val="00A955B4"/>
    <w:rsid w:val="00A96C65"/>
    <w:rsid w:val="00AA3BFD"/>
    <w:rsid w:val="00AA5CB2"/>
    <w:rsid w:val="00AA701F"/>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2A"/>
    <w:rsid w:val="00AF0C5C"/>
    <w:rsid w:val="00AF2041"/>
    <w:rsid w:val="00AF2C00"/>
    <w:rsid w:val="00AF3730"/>
    <w:rsid w:val="00AF3BA8"/>
    <w:rsid w:val="00AF3CF7"/>
    <w:rsid w:val="00AF5B03"/>
    <w:rsid w:val="00AF7872"/>
    <w:rsid w:val="00B011EE"/>
    <w:rsid w:val="00B020D7"/>
    <w:rsid w:val="00B04C6D"/>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3080"/>
    <w:rsid w:val="00B331C0"/>
    <w:rsid w:val="00B3407C"/>
    <w:rsid w:val="00B34DC0"/>
    <w:rsid w:val="00B35851"/>
    <w:rsid w:val="00B37D26"/>
    <w:rsid w:val="00B41274"/>
    <w:rsid w:val="00B41994"/>
    <w:rsid w:val="00B43C8F"/>
    <w:rsid w:val="00B45671"/>
    <w:rsid w:val="00B47537"/>
    <w:rsid w:val="00B5086D"/>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E4F"/>
    <w:rsid w:val="00B80194"/>
    <w:rsid w:val="00B80717"/>
    <w:rsid w:val="00B83072"/>
    <w:rsid w:val="00B83367"/>
    <w:rsid w:val="00B8483F"/>
    <w:rsid w:val="00B90835"/>
    <w:rsid w:val="00B94821"/>
    <w:rsid w:val="00B953B7"/>
    <w:rsid w:val="00B95A27"/>
    <w:rsid w:val="00B95A88"/>
    <w:rsid w:val="00BA03A6"/>
    <w:rsid w:val="00BA03F3"/>
    <w:rsid w:val="00BA445B"/>
    <w:rsid w:val="00BA5172"/>
    <w:rsid w:val="00BA707B"/>
    <w:rsid w:val="00BB0C5E"/>
    <w:rsid w:val="00BB3AC1"/>
    <w:rsid w:val="00BB7026"/>
    <w:rsid w:val="00BB7504"/>
    <w:rsid w:val="00BB78FE"/>
    <w:rsid w:val="00BC3524"/>
    <w:rsid w:val="00BC4F45"/>
    <w:rsid w:val="00BC641A"/>
    <w:rsid w:val="00BC6A31"/>
    <w:rsid w:val="00BC7731"/>
    <w:rsid w:val="00BD1B90"/>
    <w:rsid w:val="00BD60FE"/>
    <w:rsid w:val="00BE0C23"/>
    <w:rsid w:val="00BE2C84"/>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03"/>
    <w:rsid w:val="00C04640"/>
    <w:rsid w:val="00C0465C"/>
    <w:rsid w:val="00C04919"/>
    <w:rsid w:val="00C05C2D"/>
    <w:rsid w:val="00C10AA1"/>
    <w:rsid w:val="00C11D5A"/>
    <w:rsid w:val="00C1317E"/>
    <w:rsid w:val="00C14A77"/>
    <w:rsid w:val="00C159F6"/>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CA3"/>
    <w:rsid w:val="00C55E45"/>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5B26"/>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3B5D"/>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00AB"/>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65AF"/>
    <w:rsid w:val="00D505D6"/>
    <w:rsid w:val="00D50A1F"/>
    <w:rsid w:val="00D51402"/>
    <w:rsid w:val="00D51CF4"/>
    <w:rsid w:val="00D52357"/>
    <w:rsid w:val="00D525E0"/>
    <w:rsid w:val="00D52C21"/>
    <w:rsid w:val="00D53318"/>
    <w:rsid w:val="00D5357C"/>
    <w:rsid w:val="00D54678"/>
    <w:rsid w:val="00D55BB3"/>
    <w:rsid w:val="00D55D57"/>
    <w:rsid w:val="00D56C5A"/>
    <w:rsid w:val="00D604D3"/>
    <w:rsid w:val="00D6285C"/>
    <w:rsid w:val="00D63339"/>
    <w:rsid w:val="00D66591"/>
    <w:rsid w:val="00D671C9"/>
    <w:rsid w:val="00D6722E"/>
    <w:rsid w:val="00D704DC"/>
    <w:rsid w:val="00D70920"/>
    <w:rsid w:val="00D71335"/>
    <w:rsid w:val="00D71B68"/>
    <w:rsid w:val="00D7235D"/>
    <w:rsid w:val="00D73784"/>
    <w:rsid w:val="00D73B6B"/>
    <w:rsid w:val="00D76059"/>
    <w:rsid w:val="00D762AE"/>
    <w:rsid w:val="00D76403"/>
    <w:rsid w:val="00D80A88"/>
    <w:rsid w:val="00D82026"/>
    <w:rsid w:val="00D82D1E"/>
    <w:rsid w:val="00D844A0"/>
    <w:rsid w:val="00D85186"/>
    <w:rsid w:val="00D854DF"/>
    <w:rsid w:val="00D873B1"/>
    <w:rsid w:val="00D904BD"/>
    <w:rsid w:val="00D91398"/>
    <w:rsid w:val="00D94E7D"/>
    <w:rsid w:val="00D95999"/>
    <w:rsid w:val="00DA04DC"/>
    <w:rsid w:val="00DA1D20"/>
    <w:rsid w:val="00DA2A7E"/>
    <w:rsid w:val="00DA311D"/>
    <w:rsid w:val="00DA428A"/>
    <w:rsid w:val="00DA4877"/>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4C81"/>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3534"/>
    <w:rsid w:val="00E141D2"/>
    <w:rsid w:val="00E1713B"/>
    <w:rsid w:val="00E20339"/>
    <w:rsid w:val="00E21EC7"/>
    <w:rsid w:val="00E227B8"/>
    <w:rsid w:val="00E25218"/>
    <w:rsid w:val="00E30099"/>
    <w:rsid w:val="00E31691"/>
    <w:rsid w:val="00E33422"/>
    <w:rsid w:val="00E35975"/>
    <w:rsid w:val="00E3618F"/>
    <w:rsid w:val="00E40D1A"/>
    <w:rsid w:val="00E416AB"/>
    <w:rsid w:val="00E42C66"/>
    <w:rsid w:val="00E43BED"/>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323D"/>
    <w:rsid w:val="00E8406D"/>
    <w:rsid w:val="00E840F8"/>
    <w:rsid w:val="00E84389"/>
    <w:rsid w:val="00E84473"/>
    <w:rsid w:val="00E84C7E"/>
    <w:rsid w:val="00E87647"/>
    <w:rsid w:val="00E90299"/>
    <w:rsid w:val="00E908AC"/>
    <w:rsid w:val="00E90AB7"/>
    <w:rsid w:val="00E90D93"/>
    <w:rsid w:val="00E915D5"/>
    <w:rsid w:val="00E9174B"/>
    <w:rsid w:val="00E92364"/>
    <w:rsid w:val="00E92830"/>
    <w:rsid w:val="00E9579F"/>
    <w:rsid w:val="00E97E88"/>
    <w:rsid w:val="00EA3989"/>
    <w:rsid w:val="00EA47D9"/>
    <w:rsid w:val="00EA63D7"/>
    <w:rsid w:val="00EB26CB"/>
    <w:rsid w:val="00EB2996"/>
    <w:rsid w:val="00EB3DA7"/>
    <w:rsid w:val="00EB537A"/>
    <w:rsid w:val="00EB7989"/>
    <w:rsid w:val="00EB7E23"/>
    <w:rsid w:val="00EC1664"/>
    <w:rsid w:val="00EC23DA"/>
    <w:rsid w:val="00EC47F1"/>
    <w:rsid w:val="00EC4B03"/>
    <w:rsid w:val="00ED13CF"/>
    <w:rsid w:val="00ED1D88"/>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446E"/>
    <w:rsid w:val="00EF6729"/>
    <w:rsid w:val="00F05863"/>
    <w:rsid w:val="00F05BB4"/>
    <w:rsid w:val="00F070D0"/>
    <w:rsid w:val="00F074B1"/>
    <w:rsid w:val="00F12654"/>
    <w:rsid w:val="00F12B7D"/>
    <w:rsid w:val="00F13747"/>
    <w:rsid w:val="00F14D24"/>
    <w:rsid w:val="00F156B8"/>
    <w:rsid w:val="00F17933"/>
    <w:rsid w:val="00F17B31"/>
    <w:rsid w:val="00F2222F"/>
    <w:rsid w:val="00F2301C"/>
    <w:rsid w:val="00F240ED"/>
    <w:rsid w:val="00F256E9"/>
    <w:rsid w:val="00F31BB4"/>
    <w:rsid w:val="00F31BC7"/>
    <w:rsid w:val="00F330D4"/>
    <w:rsid w:val="00F333B1"/>
    <w:rsid w:val="00F34E02"/>
    <w:rsid w:val="00F355F6"/>
    <w:rsid w:val="00F356FC"/>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25D5"/>
    <w:rsid w:val="00F6312C"/>
    <w:rsid w:val="00F636DC"/>
    <w:rsid w:val="00F65DC9"/>
    <w:rsid w:val="00F70DB2"/>
    <w:rsid w:val="00F71168"/>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1340439"/>
    <w:rsid w:val="01826255"/>
    <w:rsid w:val="03970A41"/>
    <w:rsid w:val="05692B8B"/>
    <w:rsid w:val="08F20E26"/>
    <w:rsid w:val="09F150BA"/>
    <w:rsid w:val="0B821EDB"/>
    <w:rsid w:val="132263AA"/>
    <w:rsid w:val="13F0597D"/>
    <w:rsid w:val="160A63EE"/>
    <w:rsid w:val="161B6747"/>
    <w:rsid w:val="16766474"/>
    <w:rsid w:val="218F3476"/>
    <w:rsid w:val="26EB3B0D"/>
    <w:rsid w:val="28B22368"/>
    <w:rsid w:val="2A7953AD"/>
    <w:rsid w:val="2C76540D"/>
    <w:rsid w:val="2E3B5379"/>
    <w:rsid w:val="31A070B0"/>
    <w:rsid w:val="337D0B61"/>
    <w:rsid w:val="35846110"/>
    <w:rsid w:val="3E1218F1"/>
    <w:rsid w:val="3F7B4EEC"/>
    <w:rsid w:val="435049F0"/>
    <w:rsid w:val="457895B9"/>
    <w:rsid w:val="46CA7CEE"/>
    <w:rsid w:val="4D2A334E"/>
    <w:rsid w:val="4DED180A"/>
    <w:rsid w:val="529675D7"/>
    <w:rsid w:val="54B56A3A"/>
    <w:rsid w:val="54F974BE"/>
    <w:rsid w:val="55743214"/>
    <w:rsid w:val="598A78EB"/>
    <w:rsid w:val="5A380F0B"/>
    <w:rsid w:val="5F484E51"/>
    <w:rsid w:val="650B63FE"/>
    <w:rsid w:val="66BF992E"/>
    <w:rsid w:val="6D1019A4"/>
    <w:rsid w:val="6F5722CF"/>
    <w:rsid w:val="73AE7E86"/>
    <w:rsid w:val="7592B155"/>
    <w:rsid w:val="77E52F29"/>
    <w:rsid w:val="79FF4AFC"/>
    <w:rsid w:val="7AF545E8"/>
    <w:rsid w:val="7E374D98"/>
    <w:rsid w:val="7EA26A01"/>
    <w:rsid w:val="7FFB3CD8"/>
    <w:rsid w:val="95913CFA"/>
    <w:rsid w:val="DDF3B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4">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character" w:customStyle="1" w:styleId="25">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E23F5490-0879-4E0F-B22D-DFCF5561323B}">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2</Pages>
  <Words>10831</Words>
  <Characters>10992</Characters>
  <Lines>278</Lines>
  <Paragraphs>78</Paragraphs>
  <TotalTime>169</TotalTime>
  <ScaleCrop>false</ScaleCrop>
  <LinksUpToDate>false</LinksUpToDate>
  <CharactersWithSpaces>11180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2023-09-15T17:52:00Z</dcterms:created>
  <dc:creator>王晓明</dc:creator>
  <cp:lastModifiedBy>刘沉</cp:lastModifiedBy>
  <cp:lastPrinted>2025-09-08T09:57:00Z</cp:lastPrinted>
  <dcterms:modified xsi:type="dcterms:W3CDTF">2025-09-09T08:10:51Z</dcterms:modified>
  <dc:title>产品说明书</dc:title>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42B4DBBF006E4F8DBF8C5DBCD8DED9DC_12</vt:lpwstr>
  </property>
  <property fmtid="{D5CDD505-2E9C-101B-9397-08002B2CF9AE}" pid="4" name="KSOTemplateDocerSaveRecord">
    <vt:lpwstr>eyJoZGlkIjoiNGFiODYwOTZiYTE4NGVhZDM2MTQxNjk3ZGY1YmFjYTAiLCJ1c2VySWQiOiI0NTMzNjY4NDkifQ==</vt:lpwstr>
  </property>
</Properties>
</file>