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300" w:lineRule="exact"/>
        <w:jc w:val="center"/>
        <w:outlineLvl w:val="1"/>
        <w:rPr>
          <w:rFonts w:ascii="Times New Roman" w:hAnsi="Times New Roman" w:eastAsia="黑体" w:cs="Times New Roman"/>
          <w:sz w:val="22"/>
        </w:rPr>
      </w:pPr>
      <w:r>
        <w:rPr>
          <w:rFonts w:hint="eastAsia" w:ascii="Times New Roman" w:hAnsi="Times New Roman" w:eastAsia="黑体" w:cs="Times New Roman"/>
          <w:sz w:val="22"/>
        </w:rPr>
        <w:t>信银理财理财产品投资协议书</w:t>
      </w:r>
    </w:p>
    <w:p>
      <w:pPr>
        <w:spacing w:line="300" w:lineRule="exact"/>
        <w:ind w:firstLine="480"/>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甲方：投资者（投资者信息详见签署页）</w:t>
      </w: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乙方：信银理财有限责任公司</w:t>
      </w:r>
    </w:p>
    <w:p>
      <w:pPr>
        <w:spacing w:line="300" w:lineRule="exact"/>
        <w:ind w:firstLine="480"/>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经甲方和乙方平等协商，就甲方认购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申购乙方发行的理财产品（以下简称</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理财产品</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），达成本协议如下：</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一、适用范围</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甲方在认购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申购乙方发行的理财产品之前应签署本协议。本协议生效后，甲方认购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申购乙方发行的理财产品的，均适用本协议。</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本协议为规范甲乙双方在理财业务中权利与义务的法律文件，与甲方认购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申购乙方多支理财产品时，不同理财产品对应的《信银理财理财产品产品说明书》《信银理财理财产品风险揭示书》组成的理财产品合同互相独立。</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本协议不作为甲方认购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申购或持有理财产品的凭证。</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二、风险提示</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本产品为</w:t>
      </w:r>
      <w:r>
        <w:rPr>
          <w:rFonts w:ascii="Times New Roman" w:hAnsi="Times New Roman" w:eastAsia="楷体_GB2312" w:cs="Times New Roman"/>
          <w:b/>
          <w:bCs/>
          <w:sz w:val="20"/>
          <w:szCs w:val="20"/>
        </w:rPr>
        <w:t>【固定收益类】</w:t>
      </w:r>
      <w:r>
        <w:rPr>
          <w:rFonts w:hint="eastAsia" w:ascii="Times New Roman" w:hAnsi="Times New Roman" w:eastAsia="楷体_GB2312" w:cs="Times New Roman"/>
          <w:b/>
          <w:bCs/>
          <w:sz w:val="20"/>
          <w:szCs w:val="20"/>
        </w:rPr>
        <w:t>产品</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具体投资对象</w:t>
      </w:r>
      <w:r>
        <w:rPr>
          <w:rFonts w:ascii="Times New Roman" w:hAnsi="Times New Roman" w:eastAsia="楷体_GB2312" w:cs="Times New Roman"/>
          <w:b/>
          <w:bCs/>
          <w:sz w:val="20"/>
          <w:szCs w:val="20"/>
        </w:rPr>
        <w:t>投资比例如下：</w:t>
      </w:r>
    </w:p>
    <w:tbl>
      <w:tblPr>
        <w:tblStyle w:val="4"/>
        <w:tblW w:w="3503" w:type="pct"/>
        <w:tblInd w:w="12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23"/>
        <w:gridCol w:w="17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537" w:type="pct"/>
            <w:vAlign w:val="center"/>
          </w:tcPr>
          <w:p>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资产种类</w:t>
            </w:r>
          </w:p>
        </w:tc>
        <w:tc>
          <w:tcPr>
            <w:tcW w:w="1463" w:type="pct"/>
            <w:vAlign w:val="center"/>
          </w:tcPr>
          <w:p>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投资比例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债权类资产</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【90%-100%】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其中</w:t>
            </w:r>
            <w:r>
              <w:rPr>
                <w:rFonts w:ascii="楷体" w:hAnsi="楷体" w:eastAsia="楷体"/>
                <w:color w:val="000000"/>
                <w:sz w:val="20"/>
                <w:szCs w:val="20"/>
              </w:rPr>
              <w:t>，非标准化债权类资产</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【0%</w:t>
            </w:r>
            <w:r>
              <w:rPr>
                <w:rFonts w:ascii="楷体" w:hAnsi="楷体" w:eastAsia="楷体"/>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权益类资产</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资产：持仓合约价值</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10</w:t>
            </w:r>
            <w:r>
              <w:rPr>
                <w:rFonts w:hint="eastAsia" w:ascii="楷体" w:hAnsi="楷体" w:eastAsia="楷体"/>
                <w:color w:val="000000" w:themeColor="text1"/>
                <w:sz w:val="20"/>
                <w:szCs w:val="20"/>
                <w14:textFill>
                  <w14:solidFill>
                    <w14:schemeClr w14:val="tx1"/>
                  </w14:solidFill>
                </w14:textFill>
              </w:rPr>
              <w:t>%</w:t>
            </w:r>
            <w:r>
              <w:rPr>
                <w:rFonts w:hint="eastAsia" w:ascii="楷体" w:hAnsi="楷体" w:eastAsia="楷体"/>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 w:hRule="atLeast"/>
        </w:trPr>
        <w:tc>
          <w:tcPr>
            <w:tcW w:w="3537" w:type="pct"/>
            <w:vAlign w:val="center"/>
          </w:tcPr>
          <w:p>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资产：衍生品账户权益</w:t>
            </w:r>
          </w:p>
        </w:tc>
        <w:tc>
          <w:tcPr>
            <w:tcW w:w="1463" w:type="pct"/>
            <w:vAlign w:val="center"/>
          </w:tcPr>
          <w:p>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10</w:t>
            </w:r>
            <w:r>
              <w:rPr>
                <w:rFonts w:hint="eastAsia" w:ascii="楷体" w:hAnsi="楷体" w:eastAsia="楷体"/>
                <w:color w:val="000000" w:themeColor="text1"/>
                <w:sz w:val="20"/>
                <w:szCs w:val="20"/>
                <w14:textFill>
                  <w14:solidFill>
                    <w14:schemeClr w14:val="tx1"/>
                  </w14:solidFill>
                </w14:textFill>
              </w:rPr>
              <w:t>%</w:t>
            </w:r>
            <w:r>
              <w:rPr>
                <w:rFonts w:hint="eastAsia" w:ascii="楷体" w:hAnsi="楷体" w:eastAsia="楷体"/>
                <w:sz w:val="20"/>
                <w:szCs w:val="20"/>
              </w:rPr>
              <w:t>】</w:t>
            </w:r>
          </w:p>
        </w:tc>
      </w:tr>
    </w:tbl>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投资者投资本产品可能面临的特定风险主要包括（但不限于）</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（1）投资债权类资产的风险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1）投资标准化债权类资产的风险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）投资非标准化债权类资产的风险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）投资权益类资产的风险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1）投资普通股票可能面临的风险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 xml:space="preserve">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 </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2）投资优先股可能面临的风险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3</w:t>
      </w:r>
      <w:r>
        <w:rPr>
          <w:rFonts w:hint="eastAsia" w:ascii="Times New Roman" w:hAnsi="Times New Roman" w:eastAsia="楷体_GB2312" w:cs="Times New Roman"/>
          <w:b/>
          <w:bCs/>
          <w:sz w:val="20"/>
          <w:szCs w:val="20"/>
        </w:rPr>
        <w:t>）投资商品及金融衍生品类资产的风险</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bCs/>
          <w:i/>
          <w:szCs w:val="20"/>
          <w:u w:val="single"/>
        </w:rPr>
      </w:pPr>
      <w:r>
        <w:rPr>
          <w:rFonts w:hint="eastAsia" w:ascii="Times New Roman" w:hAnsi="Times New Roman" w:eastAsia="楷体_GB2312" w:cs="Times New Roman"/>
          <w:b/>
          <w:bCs/>
          <w:i/>
          <w:szCs w:val="20"/>
          <w:u w:val="single"/>
        </w:rPr>
        <w:t>注：以上特定风险仅为列举性质，未能详尽列明投资本产品可能面临的全部风险和可能导致投资者投资本金及收益损失的所有因素。</w:t>
      </w:r>
    </w:p>
    <w:p>
      <w:pPr>
        <w:spacing w:line="300" w:lineRule="exact"/>
        <w:ind w:firstLine="480"/>
        <w:rPr>
          <w:rFonts w:ascii="Times New Roman" w:hAnsi="Times New Roman" w:eastAsia="楷体_GB2312" w:cs="Times New Roman"/>
          <w:b/>
          <w:bCs/>
          <w:sz w:val="20"/>
          <w:szCs w:val="20"/>
        </w:rPr>
      </w:pP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理财非存款、产品有风险、投资须谨慎，理财产品过往业绩不代表其未来表现，不等于理财产品实际收益。投资者投资理财产品的，请关注产品各类</w:t>
      </w:r>
      <w:r>
        <w:rPr>
          <w:rFonts w:ascii="Times New Roman" w:hAnsi="Times New Roman" w:eastAsia="楷体_GB2312" w:cs="Times New Roman"/>
          <w:b/>
          <w:bCs/>
          <w:sz w:val="20"/>
          <w:szCs w:val="20"/>
        </w:rPr>
        <w:t>投资对象</w:t>
      </w:r>
      <w:r>
        <w:rPr>
          <w:rFonts w:hint="eastAsia" w:ascii="Times New Roman" w:hAnsi="Times New Roman" w:eastAsia="楷体_GB2312" w:cs="Times New Roman"/>
          <w:b/>
          <w:bCs/>
          <w:sz w:val="20"/>
          <w:szCs w:val="20"/>
        </w:rPr>
        <w:t>的</w:t>
      </w:r>
      <w:r>
        <w:rPr>
          <w:rFonts w:ascii="Times New Roman" w:hAnsi="Times New Roman" w:eastAsia="楷体_GB2312" w:cs="Times New Roman"/>
          <w:b/>
          <w:bCs/>
          <w:sz w:val="20"/>
          <w:szCs w:val="20"/>
        </w:rPr>
        <w:t>投资比例及相应</w:t>
      </w:r>
      <w:r>
        <w:rPr>
          <w:rFonts w:hint="eastAsia" w:ascii="Times New Roman" w:hAnsi="Times New Roman" w:eastAsia="楷体_GB2312" w:cs="Times New Roman"/>
          <w:b/>
          <w:bCs/>
          <w:sz w:val="20"/>
          <w:szCs w:val="20"/>
        </w:rPr>
        <w:t>投资</w:t>
      </w:r>
      <w:r>
        <w:rPr>
          <w:rFonts w:ascii="Times New Roman" w:hAnsi="Times New Roman" w:eastAsia="楷体_GB2312" w:cs="Times New Roman"/>
          <w:b/>
          <w:bCs/>
          <w:sz w:val="20"/>
          <w:szCs w:val="20"/>
        </w:rPr>
        <w:t>风险</w:t>
      </w:r>
      <w:r>
        <w:rPr>
          <w:rFonts w:hint="eastAsia" w:ascii="Times New Roman" w:hAnsi="Times New Roman" w:eastAsia="楷体_GB2312" w:cs="Times New Roman"/>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申购的理财产品的《信银理财理财产品产品说明书》和《信银理财理财产品风险揭示书》中的相应条款。</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三、投资条款</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Cs/>
          <w:sz w:val="20"/>
          <w:szCs w:val="20"/>
        </w:rPr>
        <w:t>甲方认购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申购理财产品的具体认购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申购条件、流程、金额、份额、费用以及其他投资条款，由甲方实际认购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申购的理财产品的《信银理财理财产品产品说明书》具体约定。</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四、甲方的权利与义务</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（一）甲方具有完全民事行为能力，有完全适当的资格与能力订立并履行理财产品销售文件，不存在法律、行政法规有关规定禁止或限制投资理财产品的情形（适用于个人投资者）；</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（二）甲方保证以真实身份投资本理财产品，保证提供给产品管理人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代销机构的信息和资料均真实、准确、完整、合法。如甲方的信息和</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或资料发生变更，应当及时书面告知产品管理人或代销机构；</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（三）甲方声明熟悉理财产品类型特征及不同销售渠道的法律法规规定；</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（四）甲方承诺：如委托他人购买本产品，代理人须出具具有法律效力的授权委托书；</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（五）甲方保证理财投资资金来源和用途合法，保证可向产品管理人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代销机构提供合法筹集的证明文件；</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（六）甲方不得利用理财业务及理财产品销售文件项下理财产品从事违法活动；</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（七）甲方保证遵守国家反洗钱法律、法规及相关政策要求，不从事涉及洗钱、恐怖融资、逃税、逃废债务、套取现金等违法违规活动，积极配合管理人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代销机构开展投资者身份识别、交易记录保存、投资者身份及交易背景尽职调查、大额和可疑交易报告等各项反洗钱工作，并按要求提供相关证明材料；</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（八）甲方不属于联合国、欧盟或美国等制裁名单，及中国政府部门或有权机关发布的涉恐及反洗钱相关风险名单内的企业或个人；不位于被联合国、欧盟或美国等制裁的国家和地区；</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五、乙方的权利与义务</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（一）乙方具有开办理财业务的经营资质，保证以诚实守信、勤勉尽职的原则管理和运用理财资金；</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（二）乙方具有完全适当的资格和能力订立与履行理财产品合同。</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六、违约责任</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双方因违反本协议约定而给对方造成损失的，违约方应赔偿因此给对方造成的直接损失。</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七、免责内容</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hAnsi="Times New Roman" w:eastAsia="楷体_GB2312" w:cs="Times New Roman"/>
          <w:b/>
          <w:bCs/>
          <w:sz w:val="20"/>
          <w:szCs w:val="20"/>
        </w:rPr>
        <w:t>。</w:t>
      </w:r>
    </w:p>
    <w:p>
      <w:pPr>
        <w:spacing w:line="300" w:lineRule="exact"/>
        <w:ind w:firstLine="480"/>
        <w:rPr>
          <w:rFonts w:ascii="Times New Roman" w:hAnsi="Times New Roman" w:eastAsia="楷体_GB2312" w:cs="Times New Roman"/>
          <w:b/>
          <w:bCs/>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八、争议解决</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（一）本协议及其他理财产品合同适用中华人民共和国法律（为履行理财产品合同之目的，不包括中国香港特别行政区、澳门特别行政区及台湾地区法律）。</w:t>
      </w:r>
    </w:p>
    <w:p>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w:t>
      </w:r>
      <w:r>
        <w:rPr>
          <w:rFonts w:hint="eastAsia" w:ascii="Times New Roman" w:hAnsi="Times New Roman" w:eastAsia="楷体_GB2312" w:cs="Times New Roman"/>
          <w:b/>
          <w:sz w:val="20"/>
          <w:szCs w:val="20"/>
        </w:rPr>
        <w:t>本协议/</w:t>
      </w:r>
      <w:r>
        <w:rPr>
          <w:rFonts w:hint="eastAsia" w:ascii="Times New Roman" w:hAnsi="Times New Roman" w:eastAsia="楷体_GB2312" w:cs="Times New Roman"/>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（三）在协商或仲裁期间，对于本协议/理财产品合同部涉及争议部分的条款，双方仍须履行。</w:t>
      </w:r>
    </w:p>
    <w:p>
      <w:pPr>
        <w:spacing w:line="300" w:lineRule="exact"/>
        <w:ind w:firstLine="480"/>
        <w:rPr>
          <w:rFonts w:ascii="Times New Roman" w:hAnsi="Times New Roman" w:eastAsia="楷体_GB2312" w:cs="Times New Roman"/>
          <w:b/>
          <w:sz w:val="20"/>
          <w:szCs w:val="20"/>
        </w:rPr>
      </w:pP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九、附则</w:t>
      </w:r>
    </w:p>
    <w:p>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申购份额经乙方确认后生效。本协议通过电子形式签署的，自甲方通过乙方产品的各电子销售渠道（包括直销和代销）在线点击确认或勾选且甲方产品认购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申购份额经乙方确认后生效。甲方知悉并确认，乙方对于甲方认购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申购份额的确认即视为乙方对于本协议的签署和认可，甲方不得以乙方未在本协议上盖章为由主张本协议无效。</w:t>
      </w:r>
    </w:p>
    <w:p>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（二）本协议条款与《信银理财理财产品产品说明书》条款不一致的，以《信银理财理财产品产品说明书》的约定为准。</w:t>
      </w:r>
    </w:p>
    <w:p>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（三）如果由于任何原因使本协议下的任何条款或者内容成为无效或者依法被撤销，本协议其他条款或内容的合法性，有效性和可执行性不受影响。</w:t>
      </w:r>
    </w:p>
    <w:p>
      <w:pPr>
        <w:spacing w:line="300" w:lineRule="exact"/>
        <w:rPr>
          <w:rFonts w:ascii="Times New Roman" w:hAnsi="Times New Roman" w:eastAsia="楷体_GB2312" w:cs="Times New Roman"/>
          <w:sz w:val="20"/>
          <w:szCs w:val="20"/>
        </w:rPr>
      </w:pPr>
    </w:p>
    <w:p>
      <w:pPr>
        <w:spacing w:line="300" w:lineRule="exact"/>
        <w:rPr>
          <w:rFonts w:ascii="Times New Roman" w:hAnsi="Times New Roman" w:eastAsia="楷体_GB2312" w:cs="Times New Roman"/>
          <w:sz w:val="20"/>
          <w:szCs w:val="20"/>
        </w:rPr>
      </w:pPr>
    </w:p>
    <w:p>
      <w:pPr>
        <w:spacing w:line="300" w:lineRule="exact"/>
        <w:rPr>
          <w:rFonts w:ascii="Times New Roman" w:hAnsi="Times New Roman" w:eastAsia="楷体_GB2312" w:cs="Times New Roman"/>
          <w:sz w:val="20"/>
          <w:szCs w:val="20"/>
        </w:rPr>
      </w:pPr>
      <w:r>
        <w:rPr>
          <w:rFonts w:ascii="Times New Roman" w:hAnsi="Times New Roman" w:eastAsia="楷体_GB2312" w:cs="Times New Roman"/>
          <w:b/>
          <w:sz w:val="20"/>
          <w:szCs w:val="20"/>
        </w:rPr>
        <w:t>甲方</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个人投资者（签字）</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机构投资者（公章）</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法定代表人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负责人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授权代表（签字</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盖章）：</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证件类别（个人投资者）：</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证件号（个人投资者）：</w:t>
      </w:r>
      <w:r>
        <w:rPr>
          <w:rFonts w:ascii="Times New Roman" w:hAnsi="Times New Roman" w:eastAsia="楷体_GB2312" w:cs="Times New Roman"/>
          <w:sz w:val="20"/>
          <w:szCs w:val="20"/>
        </w:rPr>
        <w:t xml:space="preserve">                </w:t>
      </w:r>
    </w:p>
    <w:p>
      <w:pPr>
        <w:spacing w:line="300" w:lineRule="exact"/>
        <w:ind w:firstLine="600" w:firstLineChars="300"/>
        <w:rPr>
          <w:rFonts w:ascii="Times New Roman" w:hAnsi="Times New Roman" w:eastAsia="楷体_GB2312" w:cs="Times New Roman"/>
          <w:sz w:val="20"/>
          <w:szCs w:val="20"/>
        </w:rPr>
      </w:pPr>
    </w:p>
    <w:p>
      <w:pPr>
        <w:spacing w:line="300" w:lineRule="exact"/>
        <w:rPr>
          <w:rFonts w:ascii="Times New Roman" w:hAnsi="Times New Roman" w:eastAsia="楷体_GB2312" w:cs="Times New Roman"/>
          <w:sz w:val="20"/>
          <w:szCs w:val="20"/>
        </w:rPr>
      </w:pPr>
    </w:p>
    <w:p/>
    <w:p>
      <w:pPr>
        <w:rPr>
          <w:rFonts w:ascii="黑体" w:hAnsi="楷体_GB2312" w:eastAsia="黑体" w:cs="黑体"/>
          <w:b/>
          <w:bCs/>
          <w:color w:val="000000" w:themeColor="text1"/>
          <w14:textFill>
            <w14:solidFill>
              <w14:schemeClr w14:val="tx1"/>
            </w14:solidFill>
          </w14:textFill>
        </w:rPr>
      </w:pPr>
    </w:p>
    <w:p>
      <w:pPr>
        <w:spacing w:line="300" w:lineRule="exact"/>
        <w:ind w:left="-821" w:leftChars="-342" w:right="-792" w:rightChars="-330"/>
        <w:jc w:val="center"/>
        <w:rPr>
          <w:rFonts w:ascii="黑体" w:hAnsi="楷体_GB2312" w:eastAsia="黑体" w:cs="黑体"/>
          <w:b/>
          <w:bCs/>
          <w:color w:val="000000" w:themeColor="text1"/>
          <w14:textFill>
            <w14:solidFill>
              <w14:schemeClr w14:val="tx1"/>
            </w14:solidFill>
          </w14:textFill>
        </w:rPr>
        <w:sectPr>
          <w:headerReference r:id="rId3" w:type="default"/>
          <w:footerReference r:id="rId4" w:type="default"/>
          <w:pgSz w:w="11906" w:h="16838"/>
          <w:pgMar w:top="1440" w:right="1800" w:bottom="1440" w:left="1800" w:header="851" w:footer="992" w:gutter="0"/>
          <w:cols w:space="720" w:num="1"/>
          <w:docGrid w:linePitch="312" w:charSpace="0"/>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pPr>
      <w:pStyle w:val="2"/>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color w:val="000000" w:themeColor="text1"/>
        <w14:textFill>
          <w14:solidFill>
            <w14:schemeClr w14:val="tx1"/>
          </w14:solidFill>
        </w14:textFill>
      </w:rPr>
    </w:pPr>
    <w:r>
      <w:rPr>
        <w:color w:val="000000" w:themeColor="text1"/>
        <w14:textFill>
          <w14:solidFill>
            <w14:schemeClr w14:val="tx1"/>
          </w14:solidFill>
        </w14:textFill>
      </w:rPr>
      <w:t>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A65B17"/>
    <w:rsid w:val="15A65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2025-04-15T01:17:00Z</dcterms:created>
  <dc:creator>潘笑</dc:creator>
  <cp:lastModifiedBy>潘笑</cp:lastModifiedBy>
  <dcterms:modified xsi:type="dcterms:W3CDTF">2025-04-15T01:17:42Z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7F646318F6D54EA8812AAE02E2E6A102</vt:lpwstr>
  </property>
</Properties>
</file>