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:rsidR="00F60D4E" w:rsidRPr="00B623FD" w:rsidTr="0083109F">
        <w:trPr>
          <w:trHeight w:hRule="exact" w:val="1800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:rsidR="00F60D4E" w:rsidRPr="00B623FD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B623FD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B623FD" w:rsidRDefault="000E7CB5">
                  <w:pPr>
                    <w:jc w:val="left"/>
                    <w:rPr>
                      <w:rFonts w:asciiTheme="minorEastAsia" w:hAnsiTheme="minorEastAsia"/>
                    </w:rPr>
                  </w:pPr>
                  <w:r w:rsidRPr="00B623FD">
                    <w:rPr>
                      <w:rFonts w:asciiTheme="minorEastAsia" w:hAnsiTheme="minorEastAsia"/>
                      <w:noProof/>
                    </w:rPr>
                    <w:drawing>
                      <wp:inline distT="0" distB="0" distL="0" distR="0" wp14:anchorId="7A79D940" wp14:editId="2F906E8D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B623FD">
              <w:trPr>
                <w:trHeight w:hRule="exact" w:val="600"/>
              </w:trPr>
              <w:tc>
                <w:tcPr>
                  <w:tcW w:w="6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B623FD" w:rsidRDefault="007E34AB">
                  <w:pPr>
                    <w:jc w:val="center"/>
                    <w:rPr>
                      <w:rFonts w:asciiTheme="minorEastAsia" w:hAnsiTheme="minorEastAsia"/>
                    </w:rPr>
                  </w:pPr>
                  <w:r w:rsidRPr="00B623FD">
                    <w:rPr>
                      <w:rFonts w:asciiTheme="minorEastAsia" w:hAnsiTheme="minorEastAsia" w:cs="微软雅黑CD" w:hint="eastAsia"/>
                      <w:b/>
                      <w:color w:val="FFFFFF"/>
                      <w:sz w:val="36"/>
                    </w:rPr>
                    <w:t>理财产品临时</w:t>
                  </w:r>
                  <w:r w:rsidRPr="00B623FD">
                    <w:rPr>
                      <w:rFonts w:asciiTheme="minorEastAsia" w:hAnsiTheme="minorEastAsia" w:cs="微软雅黑CD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  <w:tr w:rsidR="00F60D4E" w:rsidRPr="00B623FD" w:rsidTr="0083109F">
        <w:trPr>
          <w:trHeight w:hRule="exact" w:val="200"/>
        </w:trPr>
        <w:tc>
          <w:tcPr>
            <w:tcW w:w="4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4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</w:tbl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953ECE" w:rsidRPr="00B623FD" w:rsidRDefault="006A3D2B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6A3D2B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信银理财日盈象天天利155号现金管理型理财产品</w:t>
      </w:r>
    </w:p>
    <w:p w:rsidR="0083109F" w:rsidRPr="00B623FD" w:rsidRDefault="0065712B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B623FD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增加合作销售机构</w:t>
      </w:r>
      <w:r w:rsidR="00CF47A5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及费用阶段性优惠</w:t>
      </w:r>
      <w:r w:rsidR="004727B5" w:rsidRPr="00B623FD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公告</w:t>
      </w: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jc w:val="both"/>
        <w:rPr>
          <w:rFonts w:asciiTheme="minorEastAsia" w:eastAsiaTheme="minorEastAsia" w:hAnsiTheme="minorEastAsia" w:cs="仿宋_GB2312"/>
          <w:sz w:val="28"/>
          <w:szCs w:val="28"/>
        </w:rPr>
      </w:pPr>
    </w:p>
    <w:p w:rsidR="0083109F" w:rsidRPr="00B623FD" w:rsidRDefault="0083109F" w:rsidP="006A3D2B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尊敬的客户：</w:t>
      </w:r>
    </w:p>
    <w:p w:rsidR="00CF47A5" w:rsidRDefault="00AF54B6" w:rsidP="006A3D2B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我司决定对</w:t>
      </w:r>
      <w:r w:rsidR="006A3D2B" w:rsidRPr="006A3D2B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信银理财日盈象天天利155号现金管理型理财产品（产品代码：AM244095）</w:t>
      </w:r>
      <w:r w:rsidR="00CF47A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</w:t>
      </w:r>
      <w:r w:rsidR="00CF47A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类份额增加合作销售机构，并对本产品费用给予阶段性优惠，具体如下：</w:t>
      </w:r>
    </w:p>
    <w:p w:rsidR="00A7230B" w:rsidRPr="00B623FD" w:rsidRDefault="00CF47A5" w:rsidP="006A3D2B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一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00603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="00AF54B6" w:rsidRPr="00B623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</w:t>
      </w:r>
      <w:r w:rsidR="00FB4A8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</w:t>
      </w:r>
      <w:r w:rsidR="006A3D2B" w:rsidRPr="006A3D2B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AM244095</w:t>
      </w:r>
      <w:r w:rsidR="0000603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</w:t>
      </w:r>
      <w:r w:rsidR="006A3D2B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202</w:t>
      </w:r>
      <w:r w:rsidR="006A3D2B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6A3D2B"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00603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="00AF54B6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  <w:r w:rsidR="00AF54B6" w:rsidRPr="00B623FD" w:rsidDel="00AF54B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 </w:t>
      </w:r>
    </w:p>
    <w:p w:rsidR="000D5395" w:rsidRPr="000D5395" w:rsidRDefault="000D5395" w:rsidP="000D539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1.企业名称：【</w:t>
      </w:r>
      <w:r w:rsidR="00F32C33"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江苏射阳农村商业银行股份有限公司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0D5395" w:rsidRPr="000D5395" w:rsidRDefault="000D5395" w:rsidP="000D539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="00F32C33"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913209001405584874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0D5395" w:rsidRPr="000D5395" w:rsidRDefault="000D5395" w:rsidP="000D539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="00F32C33"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江苏省盐城市射阳县合德镇解放路385号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0D5395" w:rsidRDefault="000D5395" w:rsidP="000D5395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="00F32C33"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0515-69966666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2.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江苏响水农村商业银行股份有限公司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91320900703856446L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江苏省盐城市响水县双园路84号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Default="00F32C33" w:rsidP="00F32C33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3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江苏盐城农村商业银行股份有限公司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91320900140326096G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江苏省盐城市盐南高新区新都西路8号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Default="00F32C33" w:rsidP="00F32C33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0515-88880000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江苏宜兴农村商业银行股份有限公司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913202007910522609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江苏省宜兴市宜城街道解放东路579号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Default="00F32C33" w:rsidP="00F32C33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江苏姜堰农村商业银行股份有限公司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913212001419478711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泰州市姜堰区姜堰大道128号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Default="00F32C33" w:rsidP="00F32C33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江苏靖江农村商业银行股份有限公司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913212001411273988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江苏省靖江市南环西路12号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Default="00F32C33" w:rsidP="00F32C33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江苏紫金农村商业银行股份有限公司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91320000571433432L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Pr="000D5395" w:rsidRDefault="00F32C33" w:rsidP="00F32C33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南京市建邺区江东中路381号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F32C33" w:rsidRDefault="00F32C33" w:rsidP="00F32C33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363540" w:rsidRPr="000D5395" w:rsidRDefault="00363540" w:rsidP="00363540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句容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363540" w:rsidRPr="000D5395" w:rsidRDefault="00363540" w:rsidP="00363540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576724933U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363540" w:rsidRPr="000D5395" w:rsidRDefault="00363540" w:rsidP="00363540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江苏省句容市福地东路6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363540" w:rsidRDefault="00363540" w:rsidP="00363540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="00EC43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0</w:t>
      </w:r>
      <w:r w:rsidR="00EC4311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513-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363540" w:rsidRPr="000D5395" w:rsidRDefault="00363540" w:rsidP="00363540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镇江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363540" w:rsidRPr="000D5395" w:rsidRDefault="00363540" w:rsidP="00363540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005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691909538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363540" w:rsidRPr="000D5395" w:rsidRDefault="00363540" w:rsidP="00363540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住所：【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江苏省镇江市润州区长江路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97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363540" w:rsidRDefault="00363540" w:rsidP="00363540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="00EC43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0</w:t>
      </w:r>
      <w:r w:rsidR="00EC4311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513-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AF54B6" w:rsidRDefault="00AF54B6" w:rsidP="000D5395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</w:p>
    <w:p w:rsidR="00CF47A5" w:rsidRDefault="00CF47A5" w:rsidP="00CF47A5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CF47A5" w:rsidRDefault="00CF47A5" w:rsidP="00CF47A5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二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费用优惠</w:t>
      </w:r>
    </w:p>
    <w:p w:rsidR="00CF47A5" w:rsidRPr="001E13B7" w:rsidRDefault="00CF47A5" w:rsidP="00CF47A5">
      <w:pPr>
        <w:pStyle w:val="p0"/>
        <w:snapToGrid w:val="0"/>
        <w:spacing w:line="560" w:lineRule="atLeast"/>
        <w:ind w:leftChars="567" w:left="1134" w:rightChars="504" w:right="1008" w:firstLineChars="200" w:firstLine="560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1E13B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我司于202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1E13B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1E13B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3</w:t>
      </w:r>
      <w:r w:rsidRPr="001E13B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日披露了</w:t>
      </w:r>
      <w:r w:rsidRPr="001E13B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《</w:t>
      </w:r>
      <w:r w:rsidRPr="00CF47A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信银理财日盈象天天利155号现金管理型理财产品（产品代码：AM244095）增加合作销售机构及费用阶段性优惠公告20250703</w:t>
      </w:r>
      <w:r w:rsidRPr="001E13B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》，对本产品</w:t>
      </w:r>
      <w:r w:rsidRPr="00B61A4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固定管理费及托管费、A/D/H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/L/M/N/S/T</w:t>
      </w:r>
      <w:r w:rsidRPr="001E13B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类份额销售服务费进行阶段性优惠。</w:t>
      </w:r>
    </w:p>
    <w:p w:rsidR="00CF47A5" w:rsidRPr="001E13B7" w:rsidRDefault="00CF47A5" w:rsidP="00CF47A5">
      <w:pPr>
        <w:pStyle w:val="p0"/>
        <w:snapToGrid w:val="0"/>
        <w:spacing w:line="560" w:lineRule="atLeast"/>
        <w:ind w:leftChars="567" w:left="1134" w:rightChars="504" w:right="1008" w:firstLineChars="200" w:firstLine="560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1E13B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现决定于</w:t>
      </w:r>
      <w:r w:rsidRPr="001E13B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1E13B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月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Pr="001E13B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日终止上述优惠</w:t>
      </w:r>
      <w:r w:rsidRPr="001E13B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，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并</w:t>
      </w:r>
      <w:r w:rsidRPr="001E13B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对本产品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固定管理费及托管费、</w:t>
      </w:r>
      <w:r w:rsidRPr="00B61A4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A/D/H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/L/M/N/S/T</w:t>
      </w:r>
      <w:r w:rsidRPr="001E13B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类份额销售服务费给予新的阶段性优惠，具体如下：</w:t>
      </w:r>
    </w:p>
    <w:tbl>
      <w:tblPr>
        <w:tblStyle w:val="a6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1456"/>
        <w:gridCol w:w="2950"/>
        <w:gridCol w:w="1400"/>
        <w:gridCol w:w="1338"/>
        <w:gridCol w:w="1312"/>
        <w:gridCol w:w="1604"/>
      </w:tblGrid>
      <w:tr w:rsidR="00CF47A5" w:rsidTr="00EB7784">
        <w:trPr>
          <w:trHeight w:val="582"/>
          <w:jc w:val="center"/>
        </w:trPr>
        <w:tc>
          <w:tcPr>
            <w:tcW w:w="1456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费用名称</w:t>
            </w: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产品代码/份额类型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优惠前费率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优惠后费率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优惠生效日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kern w:val="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优惠截止日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固定管理费</w:t>
            </w: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产品代码：AM244095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0.40%/年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17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%/年</w:t>
            </w:r>
          </w:p>
        </w:tc>
        <w:tc>
          <w:tcPr>
            <w:tcW w:w="1312" w:type="dxa"/>
            <w:vAlign w:val="center"/>
          </w:tcPr>
          <w:p w:rsidR="00CF47A5" w:rsidRDefault="00CF47A5" w:rsidP="00CF47A5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Merge w:val="restart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销售服务费</w:t>
            </w: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A类份额</w:t>
            </w:r>
          </w:p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（份额代码：AM244095A）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0.40%/年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0.17%/年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jc w:val="center"/>
            </w:pPr>
            <w:r>
              <w:rPr>
                <w:rFonts w:asciiTheme="minorEastAsia" w:hAnsiTheme="minorEastAsia" w:cs="微软雅黑CD"/>
                <w:color w:val="000000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Merge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D类份额</w:t>
            </w:r>
          </w:p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（份额代码：AM244095D）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0.40%/年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0.12%/年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jc w:val="center"/>
            </w:pPr>
            <w:r>
              <w:rPr>
                <w:rFonts w:asciiTheme="minorEastAsia" w:hAnsiTheme="minorEastAsia" w:cs="微软雅黑CD"/>
                <w:color w:val="000000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Merge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H类份额</w:t>
            </w:r>
          </w:p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（份额代码：AM244095H）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0.30%/年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0.05%/年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jc w:val="center"/>
            </w:pPr>
            <w:r>
              <w:rPr>
                <w:rFonts w:asciiTheme="minorEastAsia" w:hAnsiTheme="minorEastAsia" w:cs="微软雅黑CD"/>
                <w:color w:val="000000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Merge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L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类份额</w:t>
            </w:r>
          </w:p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（份额代码：AM244095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L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）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0.30%/年</w:t>
            </w:r>
          </w:p>
        </w:tc>
        <w:tc>
          <w:tcPr>
            <w:tcW w:w="1338" w:type="dxa"/>
            <w:vAlign w:val="center"/>
          </w:tcPr>
          <w:p w:rsidR="00CF47A5" w:rsidRDefault="00CF47A5" w:rsidP="00CF47A5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</w:t>
            </w:r>
            <w:bookmarkStart w:id="1" w:name="_GoBack"/>
            <w:bookmarkEnd w:id="1"/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5%/年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jc w:val="center"/>
            </w:pPr>
            <w:r>
              <w:rPr>
                <w:rFonts w:asciiTheme="minorEastAsia" w:hAnsiTheme="minorEastAsia" w:cs="微软雅黑CD"/>
                <w:color w:val="000000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Merge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M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类份额</w:t>
            </w:r>
          </w:p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（份额代码：AM244095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M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）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0.30%/年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17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%/年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jc w:val="center"/>
            </w:pPr>
            <w:r>
              <w:rPr>
                <w:rFonts w:asciiTheme="minorEastAsia" w:hAnsiTheme="minorEastAsia" w:cs="微软雅黑CD"/>
                <w:color w:val="000000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Merge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N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类份额</w:t>
            </w:r>
          </w:p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（份额代码：AM244095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N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）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0.30%/年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10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%/年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jc w:val="center"/>
            </w:pPr>
            <w:r>
              <w:rPr>
                <w:rFonts w:asciiTheme="minorEastAsia" w:hAnsiTheme="minorEastAsia" w:cs="微软雅黑CD"/>
                <w:color w:val="000000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Merge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S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类份额</w:t>
            </w:r>
          </w:p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（份额代码：AM244095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S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）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0.30%/年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0.05%/年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jc w:val="center"/>
            </w:pPr>
            <w:r>
              <w:rPr>
                <w:rFonts w:asciiTheme="minorEastAsia" w:hAnsiTheme="minorEastAsia" w:cs="微软雅黑CD"/>
                <w:color w:val="000000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Merge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T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类份额</w:t>
            </w:r>
          </w:p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（份额代码：AM244095</w:t>
            </w:r>
            <w:r>
              <w:rPr>
                <w:rFonts w:asciiTheme="minorEastAsia" w:eastAsiaTheme="minorEastAsia" w:hAnsiTheme="minorEastAsia" w:cs="微软雅黑CD"/>
                <w:color w:val="000000"/>
                <w:sz w:val="21"/>
              </w:rPr>
              <w:t>T</w:t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）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0.30%/年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0.05%/年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jc w:val="center"/>
            </w:pPr>
            <w:r>
              <w:rPr>
                <w:rFonts w:asciiTheme="minorEastAsia" w:hAnsiTheme="minorEastAsia" w:cs="微软雅黑CD"/>
                <w:color w:val="000000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  <w:tr w:rsidR="00CF47A5" w:rsidTr="00EB7784">
        <w:trPr>
          <w:trHeight w:val="434"/>
          <w:jc w:val="center"/>
        </w:trPr>
        <w:tc>
          <w:tcPr>
            <w:tcW w:w="1456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托管费</w:t>
            </w:r>
          </w:p>
        </w:tc>
        <w:tc>
          <w:tcPr>
            <w:tcW w:w="295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产品代码：AM244095</w:t>
            </w:r>
          </w:p>
        </w:tc>
        <w:tc>
          <w:tcPr>
            <w:tcW w:w="1400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0.05%/年</w:t>
            </w:r>
          </w:p>
        </w:tc>
        <w:tc>
          <w:tcPr>
            <w:tcW w:w="1338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0.03%/年</w:t>
            </w:r>
          </w:p>
        </w:tc>
        <w:tc>
          <w:tcPr>
            <w:tcW w:w="1312" w:type="dxa"/>
            <w:vAlign w:val="center"/>
          </w:tcPr>
          <w:p w:rsidR="00CF47A5" w:rsidRDefault="00CF47A5" w:rsidP="00EB7784">
            <w:pPr>
              <w:jc w:val="center"/>
            </w:pPr>
            <w:r>
              <w:rPr>
                <w:rFonts w:asciiTheme="minorEastAsia" w:hAnsiTheme="minorEastAsia" w:cs="微软雅黑CD"/>
                <w:color w:val="000000"/>
              </w:rPr>
              <w:t>2025-7-10</w:t>
            </w:r>
          </w:p>
        </w:tc>
        <w:tc>
          <w:tcPr>
            <w:tcW w:w="1604" w:type="dxa"/>
            <w:vAlign w:val="center"/>
          </w:tcPr>
          <w:p w:rsidR="00CF47A5" w:rsidRDefault="00CF47A5" w:rsidP="00EB7784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sz w:val="21"/>
              </w:rPr>
              <w:t>另行通知</w:t>
            </w:r>
          </w:p>
        </w:tc>
      </w:tr>
    </w:tbl>
    <w:p w:rsidR="00CF47A5" w:rsidRPr="001E13B7" w:rsidRDefault="00CF47A5" w:rsidP="00CF47A5">
      <w:pPr>
        <w:pStyle w:val="p0"/>
        <w:tabs>
          <w:tab w:val="left" w:pos="1276"/>
        </w:tabs>
        <w:snapToGrid w:val="0"/>
        <w:spacing w:line="560" w:lineRule="atLeast"/>
        <w:ind w:leftChars="567" w:left="1134" w:rightChars="504" w:right="1008" w:firstLineChars="203" w:firstLine="56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1E13B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根据产品说明书的约定，本理财产品存续期间内，信银理财有权提前【</w:t>
      </w:r>
      <w:r w:rsidRPr="001E13B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2】个工作日向投资者发出通知，以符合监管规定的方式对说明书条款进行补充、说明和修改，投资者不接受的，可于最近一个开放日赎回理财产品。</w:t>
      </w:r>
    </w:p>
    <w:p w:rsidR="0083109F" w:rsidRPr="00B623FD" w:rsidRDefault="0083109F" w:rsidP="006A3D2B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信银理财有限责任公司</w:t>
      </w:r>
    </w:p>
    <w:p w:rsidR="000E7CB5" w:rsidRPr="00B623FD" w:rsidRDefault="006A3D2B" w:rsidP="00613113">
      <w:pPr>
        <w:pStyle w:val="a5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="00D64A6A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="00390F6A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00603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="0083109F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</w:t>
      </w:r>
    </w:p>
    <w:sectPr w:rsidR="000E7CB5" w:rsidRPr="00B623FD" w:rsidSect="006A3D2B">
      <w:pgSz w:w="11907" w:h="16839" w:code="9"/>
      <w:pgMar w:top="0" w:right="400" w:bottom="4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226" w:rsidRDefault="00FF1226" w:rsidP="00450B4F">
      <w:r>
        <w:separator/>
      </w:r>
    </w:p>
  </w:endnote>
  <w:endnote w:type="continuationSeparator" w:id="0">
    <w:p w:rsidR="00FF1226" w:rsidRDefault="00FF1226" w:rsidP="0045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ansSerif">
    <w:altName w:val="Segoe Print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CD">
    <w:altName w:val="宋体"/>
    <w:charset w:val="86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226" w:rsidRDefault="00FF1226" w:rsidP="00450B4F">
      <w:r>
        <w:separator/>
      </w:r>
    </w:p>
  </w:footnote>
  <w:footnote w:type="continuationSeparator" w:id="0">
    <w:p w:rsidR="00FF1226" w:rsidRDefault="00FF1226" w:rsidP="00450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A5440"/>
    <w:multiLevelType w:val="hybridMultilevel"/>
    <w:tmpl w:val="FAB0D864"/>
    <w:lvl w:ilvl="0" w:tplc="13A4FBCA">
      <w:start w:val="1"/>
      <w:numFmt w:val="japaneseCounting"/>
      <w:lvlText w:val="%1、"/>
      <w:lvlJc w:val="left"/>
      <w:pPr>
        <w:ind w:left="24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34" w:hanging="420"/>
      </w:pPr>
    </w:lvl>
    <w:lvl w:ilvl="2" w:tplc="0409001B" w:tentative="1">
      <w:start w:val="1"/>
      <w:numFmt w:val="lowerRoman"/>
      <w:lvlText w:val="%3."/>
      <w:lvlJc w:val="right"/>
      <w:pPr>
        <w:ind w:left="2954" w:hanging="420"/>
      </w:pPr>
    </w:lvl>
    <w:lvl w:ilvl="3" w:tplc="0409000F" w:tentative="1">
      <w:start w:val="1"/>
      <w:numFmt w:val="decimal"/>
      <w:lvlText w:val="%4."/>
      <w:lvlJc w:val="left"/>
      <w:pPr>
        <w:ind w:left="3374" w:hanging="420"/>
      </w:pPr>
    </w:lvl>
    <w:lvl w:ilvl="4" w:tplc="04090019" w:tentative="1">
      <w:start w:val="1"/>
      <w:numFmt w:val="lowerLetter"/>
      <w:lvlText w:val="%5)"/>
      <w:lvlJc w:val="left"/>
      <w:pPr>
        <w:ind w:left="3794" w:hanging="420"/>
      </w:pPr>
    </w:lvl>
    <w:lvl w:ilvl="5" w:tplc="0409001B" w:tentative="1">
      <w:start w:val="1"/>
      <w:numFmt w:val="lowerRoman"/>
      <w:lvlText w:val="%6."/>
      <w:lvlJc w:val="right"/>
      <w:pPr>
        <w:ind w:left="4214" w:hanging="420"/>
      </w:pPr>
    </w:lvl>
    <w:lvl w:ilvl="6" w:tplc="0409000F" w:tentative="1">
      <w:start w:val="1"/>
      <w:numFmt w:val="decimal"/>
      <w:lvlText w:val="%7."/>
      <w:lvlJc w:val="left"/>
      <w:pPr>
        <w:ind w:left="4634" w:hanging="420"/>
      </w:pPr>
    </w:lvl>
    <w:lvl w:ilvl="7" w:tplc="04090019" w:tentative="1">
      <w:start w:val="1"/>
      <w:numFmt w:val="lowerLetter"/>
      <w:lvlText w:val="%8)"/>
      <w:lvlJc w:val="left"/>
      <w:pPr>
        <w:ind w:left="5054" w:hanging="420"/>
      </w:pPr>
    </w:lvl>
    <w:lvl w:ilvl="8" w:tplc="0409001B" w:tentative="1">
      <w:start w:val="1"/>
      <w:numFmt w:val="lowerRoman"/>
      <w:lvlText w:val="%9."/>
      <w:lvlJc w:val="right"/>
      <w:pPr>
        <w:ind w:left="547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0603E"/>
    <w:rsid w:val="00020B70"/>
    <w:rsid w:val="00022371"/>
    <w:rsid w:val="00025078"/>
    <w:rsid w:val="00025860"/>
    <w:rsid w:val="00027FCA"/>
    <w:rsid w:val="0003003E"/>
    <w:rsid w:val="0003063D"/>
    <w:rsid w:val="00031708"/>
    <w:rsid w:val="00051114"/>
    <w:rsid w:val="000544CC"/>
    <w:rsid w:val="00063219"/>
    <w:rsid w:val="000738DC"/>
    <w:rsid w:val="00074005"/>
    <w:rsid w:val="000A033D"/>
    <w:rsid w:val="000A26B2"/>
    <w:rsid w:val="000A5CE2"/>
    <w:rsid w:val="000A6AB6"/>
    <w:rsid w:val="000B6B76"/>
    <w:rsid w:val="000B79F8"/>
    <w:rsid w:val="000D1BAC"/>
    <w:rsid w:val="000D5395"/>
    <w:rsid w:val="000D70F2"/>
    <w:rsid w:val="000E1BD8"/>
    <w:rsid w:val="000E265D"/>
    <w:rsid w:val="000E494F"/>
    <w:rsid w:val="000E54B8"/>
    <w:rsid w:val="000E7CB5"/>
    <w:rsid w:val="001168A2"/>
    <w:rsid w:val="001212F8"/>
    <w:rsid w:val="00135578"/>
    <w:rsid w:val="001429BC"/>
    <w:rsid w:val="001573D5"/>
    <w:rsid w:val="001603F3"/>
    <w:rsid w:val="001674C4"/>
    <w:rsid w:val="001703BD"/>
    <w:rsid w:val="001A3EF0"/>
    <w:rsid w:val="001A7B39"/>
    <w:rsid w:val="001C3966"/>
    <w:rsid w:val="001C3EBD"/>
    <w:rsid w:val="001C4E45"/>
    <w:rsid w:val="001C5BBF"/>
    <w:rsid w:val="001D75D5"/>
    <w:rsid w:val="001F7C87"/>
    <w:rsid w:val="00201E00"/>
    <w:rsid w:val="00204949"/>
    <w:rsid w:val="00207341"/>
    <w:rsid w:val="002309D2"/>
    <w:rsid w:val="00232939"/>
    <w:rsid w:val="0024798D"/>
    <w:rsid w:val="002605C2"/>
    <w:rsid w:val="00260A4F"/>
    <w:rsid w:val="002719A2"/>
    <w:rsid w:val="002738D9"/>
    <w:rsid w:val="002B1960"/>
    <w:rsid w:val="002B3BD6"/>
    <w:rsid w:val="002D05E9"/>
    <w:rsid w:val="002D4CA0"/>
    <w:rsid w:val="002F2B76"/>
    <w:rsid w:val="003220AD"/>
    <w:rsid w:val="003227A0"/>
    <w:rsid w:val="00361E60"/>
    <w:rsid w:val="0036354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1612C"/>
    <w:rsid w:val="00421BF8"/>
    <w:rsid w:val="00431C70"/>
    <w:rsid w:val="00435B9F"/>
    <w:rsid w:val="0043769E"/>
    <w:rsid w:val="00450B4F"/>
    <w:rsid w:val="00451BCB"/>
    <w:rsid w:val="00467FC7"/>
    <w:rsid w:val="004724AD"/>
    <w:rsid w:val="004727B5"/>
    <w:rsid w:val="00490043"/>
    <w:rsid w:val="004955B7"/>
    <w:rsid w:val="004A0608"/>
    <w:rsid w:val="004A0B60"/>
    <w:rsid w:val="004A3F85"/>
    <w:rsid w:val="004C1BDC"/>
    <w:rsid w:val="004C4764"/>
    <w:rsid w:val="004C4B85"/>
    <w:rsid w:val="004D10D2"/>
    <w:rsid w:val="004D4589"/>
    <w:rsid w:val="004E09AC"/>
    <w:rsid w:val="004F6035"/>
    <w:rsid w:val="00502D90"/>
    <w:rsid w:val="0050409E"/>
    <w:rsid w:val="00510E6F"/>
    <w:rsid w:val="00510F9E"/>
    <w:rsid w:val="00516773"/>
    <w:rsid w:val="005373A5"/>
    <w:rsid w:val="00566C35"/>
    <w:rsid w:val="005810F1"/>
    <w:rsid w:val="00592C99"/>
    <w:rsid w:val="0059443C"/>
    <w:rsid w:val="00594C2C"/>
    <w:rsid w:val="005B64F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903B1"/>
    <w:rsid w:val="0069360F"/>
    <w:rsid w:val="006A2C8D"/>
    <w:rsid w:val="006A3D2B"/>
    <w:rsid w:val="006A77B8"/>
    <w:rsid w:val="006C55F7"/>
    <w:rsid w:val="006D5AEA"/>
    <w:rsid w:val="006E32A5"/>
    <w:rsid w:val="006E4BC4"/>
    <w:rsid w:val="00706E23"/>
    <w:rsid w:val="00725F42"/>
    <w:rsid w:val="00731E43"/>
    <w:rsid w:val="0074356D"/>
    <w:rsid w:val="00745D6C"/>
    <w:rsid w:val="00752468"/>
    <w:rsid w:val="00753A8F"/>
    <w:rsid w:val="00753DFC"/>
    <w:rsid w:val="0076689D"/>
    <w:rsid w:val="00767787"/>
    <w:rsid w:val="007809B1"/>
    <w:rsid w:val="00785F03"/>
    <w:rsid w:val="00787FEF"/>
    <w:rsid w:val="007C4277"/>
    <w:rsid w:val="007C42E2"/>
    <w:rsid w:val="007C67C6"/>
    <w:rsid w:val="007D0A7D"/>
    <w:rsid w:val="007D11E1"/>
    <w:rsid w:val="007E08C8"/>
    <w:rsid w:val="007E34AB"/>
    <w:rsid w:val="007F0462"/>
    <w:rsid w:val="007F2CC5"/>
    <w:rsid w:val="007F597C"/>
    <w:rsid w:val="0083109F"/>
    <w:rsid w:val="00831A2A"/>
    <w:rsid w:val="00831AD3"/>
    <w:rsid w:val="00852D5A"/>
    <w:rsid w:val="00865C1E"/>
    <w:rsid w:val="00867A04"/>
    <w:rsid w:val="008A7C1D"/>
    <w:rsid w:val="008C50C8"/>
    <w:rsid w:val="008C7EE1"/>
    <w:rsid w:val="008D1205"/>
    <w:rsid w:val="008D7789"/>
    <w:rsid w:val="00903722"/>
    <w:rsid w:val="00905D1C"/>
    <w:rsid w:val="009070AA"/>
    <w:rsid w:val="009115C0"/>
    <w:rsid w:val="009126D9"/>
    <w:rsid w:val="00912A4C"/>
    <w:rsid w:val="0093427F"/>
    <w:rsid w:val="00937DD3"/>
    <w:rsid w:val="009506FF"/>
    <w:rsid w:val="00953ECE"/>
    <w:rsid w:val="009712BE"/>
    <w:rsid w:val="009727E8"/>
    <w:rsid w:val="00973119"/>
    <w:rsid w:val="00985196"/>
    <w:rsid w:val="009856FB"/>
    <w:rsid w:val="009910B0"/>
    <w:rsid w:val="009A7F32"/>
    <w:rsid w:val="009C188C"/>
    <w:rsid w:val="009C1EE5"/>
    <w:rsid w:val="009C2870"/>
    <w:rsid w:val="009C518D"/>
    <w:rsid w:val="009D7971"/>
    <w:rsid w:val="009F26F4"/>
    <w:rsid w:val="009F3F70"/>
    <w:rsid w:val="00A22560"/>
    <w:rsid w:val="00A3213C"/>
    <w:rsid w:val="00A70ED5"/>
    <w:rsid w:val="00A7230B"/>
    <w:rsid w:val="00A76B42"/>
    <w:rsid w:val="00A80455"/>
    <w:rsid w:val="00AA3BC4"/>
    <w:rsid w:val="00AB103B"/>
    <w:rsid w:val="00AE3D2D"/>
    <w:rsid w:val="00AF198C"/>
    <w:rsid w:val="00AF54B6"/>
    <w:rsid w:val="00B47C4A"/>
    <w:rsid w:val="00B623FD"/>
    <w:rsid w:val="00B711C2"/>
    <w:rsid w:val="00BA4CF8"/>
    <w:rsid w:val="00BA6AB1"/>
    <w:rsid w:val="00BC63A2"/>
    <w:rsid w:val="00BC757B"/>
    <w:rsid w:val="00BD11FE"/>
    <w:rsid w:val="00BD4462"/>
    <w:rsid w:val="00BD633E"/>
    <w:rsid w:val="00BF2728"/>
    <w:rsid w:val="00C0587D"/>
    <w:rsid w:val="00C06F36"/>
    <w:rsid w:val="00C223D5"/>
    <w:rsid w:val="00C24AD7"/>
    <w:rsid w:val="00C259FB"/>
    <w:rsid w:val="00C27F16"/>
    <w:rsid w:val="00C434F4"/>
    <w:rsid w:val="00C45DFF"/>
    <w:rsid w:val="00C52DB5"/>
    <w:rsid w:val="00C544A9"/>
    <w:rsid w:val="00C63C54"/>
    <w:rsid w:val="00CA3CDA"/>
    <w:rsid w:val="00CB412E"/>
    <w:rsid w:val="00CE2D47"/>
    <w:rsid w:val="00CF47A5"/>
    <w:rsid w:val="00CF5174"/>
    <w:rsid w:val="00D05147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B0E31"/>
    <w:rsid w:val="00DB79EC"/>
    <w:rsid w:val="00DD46EA"/>
    <w:rsid w:val="00DF26AD"/>
    <w:rsid w:val="00E07871"/>
    <w:rsid w:val="00E345FA"/>
    <w:rsid w:val="00E42A82"/>
    <w:rsid w:val="00E51D43"/>
    <w:rsid w:val="00E56CDA"/>
    <w:rsid w:val="00E71C46"/>
    <w:rsid w:val="00E73E87"/>
    <w:rsid w:val="00E83C40"/>
    <w:rsid w:val="00E933D3"/>
    <w:rsid w:val="00EA1EA8"/>
    <w:rsid w:val="00EA3467"/>
    <w:rsid w:val="00EB5CB7"/>
    <w:rsid w:val="00EB646D"/>
    <w:rsid w:val="00EB7542"/>
    <w:rsid w:val="00EC4311"/>
    <w:rsid w:val="00EC438E"/>
    <w:rsid w:val="00ED0C8D"/>
    <w:rsid w:val="00ED74E1"/>
    <w:rsid w:val="00EE1001"/>
    <w:rsid w:val="00EE122D"/>
    <w:rsid w:val="00EF5012"/>
    <w:rsid w:val="00F05328"/>
    <w:rsid w:val="00F06CCB"/>
    <w:rsid w:val="00F1756E"/>
    <w:rsid w:val="00F32C33"/>
    <w:rsid w:val="00F35955"/>
    <w:rsid w:val="00F57B70"/>
    <w:rsid w:val="00F60D4E"/>
    <w:rsid w:val="00F72979"/>
    <w:rsid w:val="00F74A2F"/>
    <w:rsid w:val="00F86734"/>
    <w:rsid w:val="00F952F7"/>
    <w:rsid w:val="00F967A4"/>
    <w:rsid w:val="00F979CB"/>
    <w:rsid w:val="00F97EF7"/>
    <w:rsid w:val="00FA6BB5"/>
    <w:rsid w:val="00FB4A84"/>
    <w:rsid w:val="00FF1226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780826-DECF-4DC6-BE45-1C72F253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styleId="a3">
    <w:name w:val="header"/>
    <w:basedOn w:val="a"/>
    <w:link w:val="Char"/>
    <w:uiPriority w:val="99"/>
    <w:unhideWhenUsed/>
    <w:rsid w:val="0045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B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B4F"/>
    <w:rPr>
      <w:sz w:val="18"/>
      <w:szCs w:val="18"/>
    </w:rPr>
  </w:style>
  <w:style w:type="paragraph" w:customStyle="1" w:styleId="p0">
    <w:name w:val="p0"/>
    <w:basedOn w:val="a"/>
    <w:uiPriority w:val="99"/>
    <w:qFormat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uiPriority w:val="39"/>
    <w:qFormat/>
    <w:rsid w:val="0083109F"/>
    <w:rPr>
      <w:rFonts w:asciiTheme="minorHAnsi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link w:val="Char1"/>
    <w:uiPriority w:val="99"/>
    <w:semiHidden/>
    <w:unhideWhenUsed/>
    <w:rsid w:val="004A0B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A0B60"/>
  </w:style>
  <w:style w:type="paragraph" w:styleId="a8">
    <w:name w:val="Balloon Text"/>
    <w:basedOn w:val="a"/>
    <w:link w:val="Char2"/>
    <w:uiPriority w:val="99"/>
    <w:semiHidden/>
    <w:unhideWhenUsed/>
    <w:rsid w:val="00467FC7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67F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0CFDD-D98C-4782-B232-B3DFE064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陈菲</dc:creator>
  <cp:lastModifiedBy>陈子贤</cp:lastModifiedBy>
  <cp:revision>77</cp:revision>
  <cp:lastPrinted>2023-03-24T09:10:00Z</cp:lastPrinted>
  <dcterms:created xsi:type="dcterms:W3CDTF">2022-09-15T11:38:00Z</dcterms:created>
  <dcterms:modified xsi:type="dcterms:W3CDTF">2025-07-07T09:46:00Z</dcterms:modified>
</cp:coreProperties>
</file>