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GoBack"/>
      <w:r>
        <w:rPr>
          <w:rFonts w:hint="eastAsia" w:ascii="黑体" w:hAnsi="楷体_GB2312" w:eastAsia="黑体" w:cs="黑体"/>
          <w:b/>
          <w:bCs/>
          <w:color w:val="000000" w:themeColor="text1"/>
          <w14:textFill>
            <w14:solidFill>
              <w14:schemeClr w14:val="tx1"/>
            </w14:solidFill>
          </w14:textFill>
        </w:rPr>
        <w:t>信银理财理财产品风险揭示书</w:t>
      </w:r>
      <w:bookmarkEnd w:id="0"/>
    </w:p>
    <w:p>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【信银理财日盈象天天利155号现金管理型理财产品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AM244095</w:t>
      </w:r>
      <w:r>
        <w:rPr>
          <w:rFonts w:hint="eastAsia" w:ascii="楷体_GB2312" w:hAnsi="Arial" w:eastAsia="楷体_GB2312" w:cs="楷体_GB2312"/>
          <w:color w:val="000000" w:themeColor="text1"/>
          <w14:textFill>
            <w14:solidFill>
              <w14:schemeClr w14:val="tx1"/>
            </w14:solidFill>
          </w14:textFill>
        </w:rPr>
        <w:t>】，类型为公募、固定收益类、开放式产品，产品无固定期限，风险评级为【</w:t>
      </w:r>
      <w:r>
        <w:rPr>
          <w:rFonts w:ascii="楷体_GB2312" w:hAnsi="Arial" w:eastAsia="楷体_GB2312" w:cs="楷体_GB2312"/>
          <w:color w:val="000000" w:themeColor="text1"/>
          <w14:textFill>
            <w14:solidFill>
              <w14:schemeClr w14:val="tx1"/>
            </w14:solidFill>
          </w14:textFill>
        </w:rPr>
        <w:t>PR1</w:t>
      </w:r>
      <w:r>
        <w:rPr>
          <w:rFonts w:hint="eastAsia" w:ascii="楷体_GB2312" w:hAnsi="Arial" w:eastAsia="楷体_GB2312" w:cs="楷体_GB2312"/>
          <w:color w:val="000000" w:themeColor="text1"/>
          <w14:textFill>
            <w14:solidFill>
              <w14:schemeClr w14:val="tx1"/>
            </w14:solidFill>
          </w14:textFill>
        </w:rPr>
        <w:t>】，适合购买客户为风险承受能力为【谨慎型】及以上的客户。</w:t>
      </w:r>
      <w:r>
        <w:rPr>
          <w:rFonts w:hint="eastAsia" w:ascii="楷体_GB2312" w:hAnsi="Arial" w:eastAsia="楷体_GB2312"/>
          <w:color w:val="000000" w:themeColor="text1"/>
          <w14:textFill>
            <w14:solidFill>
              <w14:schemeClr w14:val="tx1"/>
            </w14:solidFill>
          </w14:textFill>
        </w:rPr>
        <w:t>固定收益类产品仅是按照投资性质分类，并非指收益固定或保本。</w:t>
      </w:r>
    </w:p>
    <w:p>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：信银理财作为本理财产品管理人承诺以诚实守信、勤勉尽职的原则管理和运用理财产品资金，但</w:t>
      </w:r>
      <w:r>
        <w:rPr>
          <w:rFonts w:hint="eastAsia" w:ascii="楷体_GB2312" w:hAnsi="Arial" w:eastAsia="楷体_GB2312" w:cs="楷体_GB2312"/>
          <w:b/>
          <w:color w:val="000000" w:themeColor="text1"/>
          <w14:textFill>
            <w14:solidFill>
              <w14:schemeClr w14:val="tx1"/>
            </w14:solidFill>
          </w14:textFill>
        </w:rPr>
        <w:t>不保证本金和收益，您可能因市场变动而损失全部本金且无法取得任何收益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信银理财提醒您理财产品投资风险由买者自负，您应充分认识投资风险，谨慎投资！</w:t>
      </w:r>
      <w:r>
        <w:rPr>
          <w:rFonts w:ascii="楷体_GB2312" w:hAnsi="Arial" w:eastAsia="楷体_GB2312"/>
          <w:color w:val="000000" w:themeColor="text1"/>
          <w14:textFill>
            <w14:solidFill>
              <w14:schemeClr w14:val="tx1"/>
            </w14:solidFill>
          </w14:textFill>
        </w:rPr>
        <w:t> </w:t>
      </w:r>
    </w:p>
    <w:p>
      <w:pPr>
        <w:ind w:firstLine="480" w:firstLineChars="200"/>
        <w:jc w:val="both"/>
        <w:rPr>
          <w:rFonts w:ascii="楷体_GB2312" w:hAnsi="Arial" w:eastAsia="楷体_GB2312"/>
          <w:color w:val="000000" w:themeColor="text1"/>
          <w14:textFill>
            <w14:solidFill>
              <w14:schemeClr w14:val="tx1"/>
            </w14:solidFill>
          </w14:textFill>
        </w:rPr>
      </w:pP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1.00亿元，在最不利情况下，理财本金及收益全部损失。</w:t>
      </w: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pPr>
        <w:ind w:firstLine="482" w:firstLineChars="200"/>
        <w:jc w:val="both"/>
        <w:rPr>
          <w:rFonts w:ascii="黑体" w:hAnsi="黑体" w:eastAsia="黑体"/>
          <w:b/>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如影响您风险承受能力的因素发生变化，请及时告知信银理财或代销机构并重新进行风险承受能力评估。</w:t>
      </w:r>
      <w:r>
        <w:rPr>
          <w:rFonts w:ascii="楷体_GB2312" w:hAnsi="Arial" w:eastAsia="楷体_GB2312" w:cs="楷体_GB2312"/>
          <w:color w:val="000000" w:themeColor="text1"/>
          <w14:textFill>
            <w14:solidFill>
              <w14:schemeClr w14:val="tx1"/>
            </w14:solidFill>
          </w14:textFill>
        </w:rPr>
        <w:t xml:space="preserve"> </w:t>
      </w:r>
    </w:p>
    <w:p>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pPr>
        <w:jc w:val="right"/>
        <w:rPr>
          <w:rFonts w:ascii="楷体_GB2312" w:eastAsia="楷体_GB2312"/>
          <w:color w:val="000000" w:themeColor="text1"/>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snapToGrid w:val="0"/>
        <w:ind w:right="440"/>
        <w:rPr>
          <w:rFonts w:ascii="黑体" w:hAnsi="Times New Roman" w:eastAsia="黑体" w:cs="Arial"/>
          <w:color w:val="000000" w:themeColor="text1"/>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机构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将向本理财产品销售机构真实提供信息，自主作出认（申）购/赎回等决定，独立对销售文件进行签字/盖章确认，自主承担投资风险。本人/本单位拒绝向销售机构提供或者未按照要求提供信息的，销售机构有权告知本人/本单位相应的后果和责任，并有权拒绝向本人/本单位提供销售服务。</w:t>
      </w:r>
    </w:p>
    <w:p>
      <w:pPr>
        <w:pStyle w:val="18"/>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pPr>
        <w:ind w:firstLine="480" w:firstLineChars="200"/>
        <w:jc w:val="both"/>
        <w:rPr>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pPr>
        <w:jc w:val="both"/>
        <w:rPr>
          <w:rFonts w:ascii="楷体_GB2312" w:hAnsi="Arial" w:eastAsia="楷体_GB2312" w:cs="楷体_GB2312"/>
          <w:color w:val="000000" w:themeColor="text1"/>
          <w14:textFill>
            <w14:solidFill>
              <w14:schemeClr w14:val="tx1"/>
            </w14:solidFill>
          </w14:textFill>
        </w:rPr>
      </w:pP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理财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pPr>
        <w:ind w:firstLine="480" w:firstLineChars="200"/>
        <w:jc w:val="both"/>
        <w:rPr>
          <w:rFonts w:ascii="楷体_GB2312" w:eastAsia="楷体_GB2312"/>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本人/本单位风险承受能力评级为（由个人客户本人/机构客户授权经办人填写）：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hint="eastAsia"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机构客户（盖章）：</w:t>
      </w:r>
    </w:p>
    <w:p>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日期：年</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月</w:t>
      </w:r>
      <w:r>
        <w:rPr>
          <w:rFonts w:ascii="黑体" w:hAnsi="Times New Roman" w:eastAsia="黑体" w:cs="Arial"/>
          <w:color w:val="000000" w:themeColor="text1"/>
          <w14:textFill>
            <w14:solidFill>
              <w14:schemeClr w14:val="tx1"/>
            </w14:solidFill>
          </w14:textFill>
        </w:rPr>
        <w:t xml:space="preserve"> </w:t>
      </w:r>
      <w:r>
        <w:rPr>
          <w:rFonts w:hint="eastAsia" w:ascii="黑体" w:hAnsi="Times New Roman" w:eastAsia="黑体" w:cs="Arial"/>
          <w:color w:val="000000" w:themeColor="text1"/>
          <w14:textFill>
            <w14:solidFill>
              <w14:schemeClr w14:val="tx1"/>
            </w14:solidFill>
          </w14:textFill>
        </w:rPr>
        <w:t>日</w:t>
      </w:r>
    </w:p>
    <w:p>
      <w:pPr>
        <w:snapToGrid w:val="0"/>
        <w:ind w:right="440"/>
        <w:rPr>
          <w:color w:val="000000" w:themeColor="text1"/>
          <w14:textFill>
            <w14:solidFill>
              <w14:schemeClr w14:val="tx1"/>
            </w14:solidFill>
          </w14:textFill>
        </w:rPr>
      </w:pPr>
    </w:p>
    <w:p>
      <w:pPr>
        <w:rPr>
          <w:rFonts w:ascii="黑体" w:eastAsia="黑体" w:cs="黑体"/>
          <w:b/>
          <w:bCs/>
          <w:color w:val="000000" w:themeColor="text1"/>
          <w14:textFill>
            <w14:solidFill>
              <w14:schemeClr w14:val="tx1"/>
            </w14:solidFill>
          </w14:textFill>
        </w:rPr>
        <w:sectPr>
          <w:headerReference r:id="rId3" w:type="default"/>
          <w:footerReference r:id="rId4" w:type="default"/>
          <w:type w:val="continuous"/>
          <w:pgSz w:w="11906" w:h="16838"/>
          <w:pgMar w:top="1440" w:right="1800" w:bottom="1440" w:left="1800" w:header="851" w:footer="992" w:gutter="0"/>
          <w:pgNumType w:start="1"/>
          <w:cols w:space="720" w:num="1"/>
          <w:docGrid w:linePitch="312" w:charSpace="0"/>
        </w:sectPr>
      </w:pPr>
    </w:p>
    <w:p>
      <w:pPr>
        <w:spacing w:line="300" w:lineRule="exact"/>
        <w:ind w:left="-2" w:leftChars="-1" w:right="36" w:rightChars="15"/>
        <w:rPr>
          <w:color w:val="000000" w:themeColor="text1"/>
          <w14:textFill>
            <w14:solidFill>
              <w14:schemeClr w14:val="tx1"/>
            </w14:solidFill>
          </w14:textFill>
        </w:rPr>
      </w:pPr>
    </w:p>
    <w:sectPr>
      <w:type w:val="continuous"/>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第</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35</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t>本产品风险评级为【P</w:t>
    </w:r>
    <w:r>
      <w:t>R1</w:t>
    </w:r>
    <w:r>
      <w:rPr>
        <w:rFonts w:hint="eastAsia"/>
      </w:rPr>
      <w:t xml:space="preserve">】   </w:t>
    </w:r>
    <w: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720A"/>
    <w:rsid w:val="001A74E8"/>
    <w:rsid w:val="001A7BE3"/>
    <w:rsid w:val="001B01FF"/>
    <w:rsid w:val="001B1C1B"/>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689E"/>
    <w:rsid w:val="009B0089"/>
    <w:rsid w:val="009B1DC4"/>
    <w:rsid w:val="009B4622"/>
    <w:rsid w:val="009B56EF"/>
    <w:rsid w:val="009B58EC"/>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A3BFD"/>
    <w:rsid w:val="00AA5CB2"/>
    <w:rsid w:val="00AA707F"/>
    <w:rsid w:val="00AA7BEB"/>
    <w:rsid w:val="00AB3DC6"/>
    <w:rsid w:val="00AB4AB1"/>
    <w:rsid w:val="00AB4C0B"/>
    <w:rsid w:val="00AC2BE4"/>
    <w:rsid w:val="00AC42F8"/>
    <w:rsid w:val="00AC550D"/>
    <w:rsid w:val="00AC6333"/>
    <w:rsid w:val="00AC6572"/>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274"/>
    <w:rsid w:val="00B41994"/>
    <w:rsid w:val="00B43C8F"/>
    <w:rsid w:val="00B45671"/>
    <w:rsid w:val="00B47537"/>
    <w:rsid w:val="00B51166"/>
    <w:rsid w:val="00B55BD2"/>
    <w:rsid w:val="00B55E40"/>
    <w:rsid w:val="00B574BD"/>
    <w:rsid w:val="00B57718"/>
    <w:rsid w:val="00B6170E"/>
    <w:rsid w:val="00B618B2"/>
    <w:rsid w:val="00B62647"/>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47F8"/>
    <w:rsid w:val="00DB7CB3"/>
    <w:rsid w:val="00DC075A"/>
    <w:rsid w:val="00DC1D1B"/>
    <w:rsid w:val="00DC2073"/>
    <w:rsid w:val="00DC3342"/>
    <w:rsid w:val="00DC3443"/>
    <w:rsid w:val="00DC61EB"/>
    <w:rsid w:val="00DD351D"/>
    <w:rsid w:val="00DD36EA"/>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0C6B77C9"/>
    <w:rsid w:val="16766474"/>
    <w:rsid w:val="29BFC1DD"/>
    <w:rsid w:val="39402337"/>
    <w:rsid w:val="3FE1C6CC"/>
    <w:rsid w:val="4DED180A"/>
    <w:rsid w:val="4FF7DBC1"/>
    <w:rsid w:val="54F974BE"/>
    <w:rsid w:val="578EADB6"/>
    <w:rsid w:val="598A78EB"/>
    <w:rsid w:val="5A380F0B"/>
    <w:rsid w:val="5B1C54E4"/>
    <w:rsid w:val="650B63FE"/>
    <w:rsid w:val="686B0D4F"/>
    <w:rsid w:val="6D53E079"/>
    <w:rsid w:val="6FA30FEF"/>
    <w:rsid w:val="730C67E1"/>
    <w:rsid w:val="B7FFC826"/>
    <w:rsid w:val="BECFC637"/>
    <w:rsid w:val="CCF4A6B1"/>
    <w:rsid w:val="EADC2597"/>
    <w:rsid w:val="EB6C6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修订2"/>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paragraph" w:customStyle="1" w:styleId="24">
    <w:name w:val="正文文本缩进 New"/>
    <w:basedOn w:val="1"/>
    <w:qFormat/>
    <w:uiPriority w:val="0"/>
    <w:pPr>
      <w:overflowPunct w:val="0"/>
      <w:autoSpaceDE w:val="0"/>
      <w:autoSpaceDN w:val="0"/>
      <w:adjustRightInd w:val="0"/>
      <w:ind w:left="1134"/>
      <w:textAlignment w:val="baseline"/>
    </w:pPr>
    <w:rPr>
      <w:rFonts w:hAnsi="Times New Roman" w:cs="Times New Roman"/>
      <w:szCs w:val="20"/>
    </w:rPr>
  </w:style>
  <w:style w:type="character" w:customStyle="1" w:styleId="25">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584A03DC-B2CE-49E9-B2B5-8190A55F265D}">
  <ds:schemaRefs/>
</ds:datastoreItem>
</file>

<file path=docProps/app.xml><?xml version="1.0" encoding="utf-8"?>
<Properties xmlns="http://schemas.openxmlformats.org/officeDocument/2006/extended-properties" xmlns:vt="http://schemas.openxmlformats.org/officeDocument/2006/docPropsVTypes">
  <Template>Normal</Template>
  <Company>citicbank</Company>
  <Pages>41</Pages>
  <Words>7235</Words>
  <Characters>41244</Characters>
  <Lines>343</Lines>
  <Paragraphs>96</Paragraphs>
  <TotalTime>85</TotalTime>
  <ScaleCrop>false</ScaleCrop>
  <LinksUpToDate>false</LinksUpToDate>
  <CharactersWithSpaces>48383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2023-09-15T09:52:00Z</dcterms:created>
  <dc:creator>王晓明</dc:creator>
  <cp:lastModifiedBy>刘哲铭-盐城分行</cp:lastModifiedBy>
  <cp:lastPrinted>2024-03-14T16:50:00Z</cp:lastPrinted>
  <dcterms:modified xsi:type="dcterms:W3CDTF">2025-07-08T02:25:25Z</dcterms:modified>
  <dc:title>产品说明书</dc:title>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5B8703658C1AA1414AC0D367DCDDCAEF_42</vt:lpwstr>
  </property>
</Properties>
</file>