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jc w:val="both"/>
        <w:rPr>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理财</w:t>
      </w:r>
      <w:bookmarkStart w:id="1" w:name="_GoBack"/>
      <w:bookmarkEnd w:id="1"/>
      <w:r>
        <w:rPr>
          <w:rFonts w:hint="eastAsia" w:ascii="黑体" w:eastAsia="黑体" w:cs="黑体"/>
          <w:b/>
          <w:bCs/>
          <w:color w:val="000000" w:themeColor="text1"/>
          <w14:textFill>
            <w14:solidFill>
              <w14:schemeClr w14:val="tx1"/>
            </w14:solidFill>
          </w14:textFill>
        </w:rPr>
        <w:t>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Z7002624001570】</w:t>
      </w:r>
    </w:p>
    <w:p>
      <w:pPr>
        <w:spacing w:line="300" w:lineRule="exact"/>
        <w:jc w:val="both"/>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理财产品</w:t>
      </w:r>
      <w:r>
        <w:rPr>
          <w:rFonts w:ascii="黑体" w:hAnsi="黑体" w:eastAsia="黑体"/>
          <w:color w:val="000000" w:themeColor="text1"/>
          <w:sz w:val="21"/>
          <w:szCs w:val="21"/>
          <w14:textFill>
            <w14:solidFill>
              <w14:schemeClr w14:val="tx1"/>
            </w14:solidFill>
          </w14:textFill>
        </w:rPr>
        <w:t>登记编码为本产品在</w:t>
      </w:r>
      <w:r>
        <w:rPr>
          <w:rFonts w:hint="eastAsia" w:ascii="黑体" w:hAnsi="黑体" w:eastAsia="黑体"/>
          <w:color w:val="000000" w:themeColor="text1"/>
          <w:sz w:val="21"/>
          <w:szCs w:val="21"/>
          <w14:textFill>
            <w14:solidFill>
              <w14:schemeClr w14:val="tx1"/>
            </w14:solidFill>
          </w14:textFill>
        </w:rPr>
        <w:t>全国银行业理财信息登记系统</w:t>
      </w:r>
      <w:r>
        <w:rPr>
          <w:rFonts w:ascii="黑体" w:hAnsi="黑体" w:eastAsia="黑体"/>
          <w:color w:val="000000" w:themeColor="text1"/>
          <w:sz w:val="21"/>
          <w:szCs w:val="21"/>
          <w14:textFill>
            <w14:solidFill>
              <w14:schemeClr w14:val="tx1"/>
            </w14:solidFill>
          </w14:textFill>
        </w:rPr>
        <w:t>取得的理财产品登记编码，</w:t>
      </w:r>
      <w:r>
        <w:rPr>
          <w:rFonts w:hint="eastAsia" w:ascii="黑体" w:hAnsi="黑体" w:eastAsia="黑体"/>
          <w:color w:val="000000" w:themeColor="text1"/>
          <w:sz w:val="21"/>
          <w:szCs w:val="21"/>
          <w14:textFill>
            <w14:solidFill>
              <w14:schemeClr w14:val="tx1"/>
            </w14:solidFill>
          </w14:textFill>
        </w:rPr>
        <w:t>投资者</w:t>
      </w:r>
      <w:r>
        <w:rPr>
          <w:rFonts w:ascii="黑体" w:hAnsi="黑体" w:eastAsia="黑体"/>
          <w:color w:val="000000" w:themeColor="text1"/>
          <w:sz w:val="21"/>
          <w:szCs w:val="21"/>
          <w14:textFill>
            <w14:solidFill>
              <w14:schemeClr w14:val="tx1"/>
            </w14:solidFill>
          </w14:textFill>
        </w:rPr>
        <w:t>可以</w:t>
      </w:r>
      <w:r>
        <w:rPr>
          <w:rFonts w:hint="eastAsia" w:ascii="黑体" w:hAnsi="黑体" w:eastAsia="黑体"/>
          <w:color w:val="000000" w:themeColor="text1"/>
          <w:sz w:val="21"/>
          <w:szCs w:val="21"/>
          <w14:textFill>
            <w14:solidFill>
              <w14:schemeClr w14:val="tx1"/>
            </w14:solidFill>
          </w14:textFill>
        </w:rPr>
        <w:t>依据</w:t>
      </w:r>
      <w:r>
        <w:rPr>
          <w:rFonts w:ascii="黑体" w:hAnsi="黑体" w:eastAsia="黑体"/>
          <w:color w:val="000000" w:themeColor="text1"/>
          <w:sz w:val="21"/>
          <w:szCs w:val="21"/>
          <w14:textFill>
            <w14:solidFill>
              <w14:schemeClr w14:val="tx1"/>
            </w14:solidFill>
          </w14:textFill>
        </w:rPr>
        <w:t>该理财产品登记编码在</w:t>
      </w:r>
      <w:r>
        <w:rPr>
          <w:rFonts w:hint="eastAsia" w:ascii="黑体" w:hAnsi="黑体" w:eastAsia="黑体"/>
          <w:color w:val="000000" w:themeColor="text1"/>
          <w:sz w:val="21"/>
          <w:szCs w:val="21"/>
          <w14:textFill>
            <w14:solidFill>
              <w14:schemeClr w14:val="tx1"/>
            </w14:solidFill>
          </w14:textFill>
        </w:rPr>
        <w:t>金融产品查询平台（</w:t>
      </w:r>
      <w:r>
        <w:rPr>
          <w:rFonts w:ascii="黑体" w:hAnsi="黑体" w:eastAsia="黑体"/>
          <w:color w:val="000000" w:themeColor="text1"/>
          <w:sz w:val="21"/>
          <w:szCs w:val="21"/>
          <w14:textFill>
            <w14:solidFill>
              <w14:schemeClr w14:val="tx1"/>
            </w14:solidFill>
          </w14:textFill>
        </w:rPr>
        <w:t>www.jrcpcx.cn）或中国理财网（</w:t>
      </w:r>
      <w:r>
        <w:rPr>
          <w:rFonts w:hint="eastAsia" w:ascii="黑体" w:hAnsi="黑体" w:eastAsia="黑体"/>
          <w:color w:val="000000" w:themeColor="text1"/>
          <w:sz w:val="21"/>
          <w:szCs w:val="21"/>
          <w14:textFill>
            <w14:solidFill>
              <w14:schemeClr w14:val="tx1"/>
            </w14:solidFill>
          </w14:textFill>
        </w:rPr>
        <w:t>www.chinawealth.com.cn</w:t>
      </w:r>
      <w:r>
        <w:rPr>
          <w:rFonts w:ascii="黑体" w:hAnsi="黑体" w:eastAsia="黑体"/>
          <w:color w:val="000000" w:themeColor="text1"/>
          <w:sz w:val="21"/>
          <w:szCs w:val="21"/>
          <w14:textFill>
            <w14:solidFill>
              <w14:schemeClr w14:val="tx1"/>
            </w14:solidFill>
          </w14:textFill>
        </w:rPr>
        <w:t>）</w:t>
      </w:r>
      <w:r>
        <w:rPr>
          <w:rFonts w:hint="eastAsia" w:ascii="黑体" w:hAnsi="黑体" w:eastAsia="黑体"/>
          <w:color w:val="000000" w:themeColor="text1"/>
          <w:sz w:val="21"/>
          <w:szCs w:val="21"/>
          <w14:textFill>
            <w14:solidFill>
              <w14:schemeClr w14:val="tx1"/>
            </w14:solidFill>
          </w14:textFill>
        </w:rPr>
        <w:t>上查询</w:t>
      </w:r>
      <w:r>
        <w:rPr>
          <w:rFonts w:ascii="黑体" w:hAnsi="黑体" w:eastAsia="黑体"/>
          <w:color w:val="000000" w:themeColor="text1"/>
          <w:sz w:val="21"/>
          <w:szCs w:val="21"/>
          <w14:textFill>
            <w14:solidFill>
              <w14:schemeClr w14:val="tx1"/>
            </w14:solidFill>
          </w14:textFill>
        </w:rPr>
        <w:t>本产品相关信息。</w:t>
      </w:r>
    </w:p>
    <w:p>
      <w:pPr>
        <w:spacing w:line="300" w:lineRule="exact"/>
        <w:jc w:val="both"/>
        <w:rPr>
          <w:rFonts w:ascii="黑体" w:hAnsi="黑体" w:eastAsia="黑体"/>
          <w:color w:val="000000" w:themeColor="text1"/>
          <w:sz w:val="21"/>
          <w:szCs w:val="21"/>
          <w14:textFill>
            <w14:solidFill>
              <w14:schemeClr w14:val="tx1"/>
            </w14:solidFill>
          </w14:textFill>
        </w:rPr>
      </w:pPr>
    </w:p>
    <w:p>
      <w:pPr>
        <w:spacing w:line="300" w:lineRule="exact"/>
        <w:jc w:val="both"/>
        <w:rPr>
          <w:b/>
          <w:color w:val="000000" w:themeColor="text1"/>
          <w:sz w:val="28"/>
          <w:szCs w:val="28"/>
          <w14:textFill>
            <w14:solidFill>
              <w14:schemeClr w14:val="tx1"/>
            </w14:solidFill>
          </w14:textFill>
        </w:rPr>
      </w:pPr>
      <w:r>
        <w:rPr>
          <w:rFonts w:ascii="黑体" w:hAnsi="黑体" w:eastAsia="黑体"/>
          <w:b/>
          <w:color w:val="000000" w:themeColor="text1"/>
          <w:sz w:val="28"/>
          <w:szCs w:val="28"/>
          <w14:textFill>
            <w14:solidFill>
              <w14:schemeClr w14:val="tx1"/>
            </w14:solidFill>
          </w14:textFill>
        </w:rPr>
        <w:t>郑重</w:t>
      </w:r>
      <w:r>
        <w:rPr>
          <w:rFonts w:hint="eastAsia" w:ascii="黑体" w:hAnsi="黑体" w:eastAsia="黑体"/>
          <w:b/>
          <w:color w:val="000000" w:themeColor="text1"/>
          <w:sz w:val="28"/>
          <w:szCs w:val="28"/>
          <w14:textFill>
            <w14:solidFill>
              <w14:schemeClr w14:val="tx1"/>
            </w14:solidFill>
          </w14:textFill>
        </w:rPr>
        <w:t>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t>
      </w:r>
      <w:r>
        <w:rPr>
          <w:rFonts w:ascii="黑体" w:hAnsi="黑体" w:eastAsia="黑体"/>
          <w:b/>
          <w:color w:val="000000" w:themeColor="text1"/>
          <w:sz w:val="28"/>
          <w:szCs w:val="28"/>
          <w14:textFill>
            <w14:solidFill>
              <w14:schemeClr w14:val="tx1"/>
            </w14:solidFill>
          </w14:textFill>
        </w:rPr>
        <w:t>www.jrcpcx.cn）或</w:t>
      </w:r>
      <w:r>
        <w:rPr>
          <w:rFonts w:hint="eastAsia" w:ascii="黑体" w:hAnsi="黑体" w:eastAsia="黑体"/>
          <w:b/>
          <w:color w:val="000000" w:themeColor="text1"/>
          <w:sz w:val="28"/>
          <w:szCs w:val="28"/>
          <w14:textFill>
            <w14:solidFill>
              <w14:schemeClr w14:val="tx1"/>
            </w14:solidFill>
          </w14:textFill>
        </w:rPr>
        <w:t>中国理财网（</w:t>
      </w:r>
      <w:r>
        <w:rPr>
          <w:rFonts w:ascii="黑体" w:hAnsi="黑体" w:eastAsia="黑体"/>
          <w:b/>
          <w:color w:val="000000" w:themeColor="text1"/>
          <w:sz w:val="28"/>
          <w:szCs w:val="28"/>
          <w14:textFill>
            <w14:solidFill>
              <w14:schemeClr w14:val="tx1"/>
            </w14:solidFill>
          </w14:textFill>
        </w:rPr>
        <w:t>www.chinawealth.com.cn）上查询到产品相关信息，</w:t>
      </w:r>
      <w:r>
        <w:rPr>
          <w:rFonts w:hint="eastAsia" w:ascii="黑体" w:hAnsi="黑体" w:eastAsia="黑体"/>
          <w:b/>
          <w:color w:val="000000" w:themeColor="text1"/>
          <w:sz w:val="28"/>
          <w:szCs w:val="28"/>
          <w14:textFill>
            <w14:solidFill>
              <w14:schemeClr w14:val="tx1"/>
            </w14:solidFill>
          </w14:textFill>
        </w:rPr>
        <w:t>则该</w:t>
      </w:r>
      <w:r>
        <w:rPr>
          <w:rFonts w:ascii="黑体" w:hAnsi="黑体" w:eastAsia="黑体"/>
          <w:b/>
          <w:color w:val="000000" w:themeColor="text1"/>
          <w:sz w:val="28"/>
          <w:szCs w:val="28"/>
          <w14:textFill>
            <w14:solidFill>
              <w14:schemeClr w14:val="tx1"/>
            </w14:solidFill>
          </w14:textFill>
        </w:rPr>
        <w:t>产品非</w:t>
      </w:r>
      <w:r>
        <w:rPr>
          <w:rFonts w:hint="eastAsia" w:ascii="黑体" w:hAnsi="黑体" w:eastAsia="黑体"/>
          <w:b/>
          <w:color w:val="000000" w:themeColor="text1"/>
          <w:sz w:val="28"/>
          <w:szCs w:val="28"/>
          <w14:textFill>
            <w14:solidFill>
              <w14:schemeClr w14:val="tx1"/>
            </w14:solidFill>
          </w14:textFill>
        </w:rPr>
        <w:t>信银</w:t>
      </w:r>
      <w:r>
        <w:rPr>
          <w:rFonts w:ascii="黑体" w:hAnsi="黑体" w:eastAsia="黑体"/>
          <w:b/>
          <w:color w:val="000000" w:themeColor="text1"/>
          <w:sz w:val="28"/>
          <w:szCs w:val="28"/>
          <w14:textFill>
            <w14:solidFill>
              <w14:schemeClr w14:val="tx1"/>
            </w14:solidFill>
          </w14:textFill>
        </w:rPr>
        <w:t>理财发行产品。</w:t>
      </w:r>
    </w:p>
    <w:p>
      <w:pPr>
        <w:spacing w:line="300" w:lineRule="exact"/>
        <w:ind w:right="-792" w:rightChars="-330"/>
        <w:rPr>
          <w:color w:val="000000" w:themeColor="text1"/>
          <w14:textFill>
            <w14:solidFill>
              <w14:schemeClr w14:val="tx1"/>
            </w14:solidFill>
          </w14:textFill>
        </w:rPr>
      </w:pPr>
    </w:p>
    <w:p>
      <w:pPr>
        <w:spacing w:line="300" w:lineRule="exact"/>
        <w:ind w:right="-792" w:rightChars="-330"/>
        <w:rPr>
          <w:rFonts w:ascii="楷体" w:hAnsi="楷体" w:eastAsia="楷体" w:cs="黑体"/>
          <w:b/>
          <w:bCs/>
          <w:color w:val="000000" w:themeColor="text1"/>
          <w:sz w:val="21"/>
          <w:szCs w:val="21"/>
          <w14:textFill>
            <w14:solidFill>
              <w14:schemeClr w14:val="tx1"/>
            </w14:solidFill>
          </w14:textFill>
        </w:rPr>
      </w:pPr>
    </w:p>
    <w:p>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w:t>
      </w:r>
      <w:r>
        <w:rPr>
          <w:rFonts w:ascii="黑体" w:hAnsi="Calibri" w:eastAsia="黑体" w:cs="黑体"/>
          <w:b/>
          <w:bCs/>
          <w:color w:val="000000" w:themeColor="text1"/>
          <w:sz w:val="20"/>
          <w:szCs w:val="20"/>
          <w14:textFill>
            <w14:solidFill>
              <w14:schemeClr w14:val="tx1"/>
            </w14:solidFill>
          </w14:textFill>
        </w:rPr>
        <w:t>信银理财安盈象固收稳健丰收ESG六个月持有期1号理财产品</w:t>
      </w:r>
      <w:r>
        <w:rPr>
          <w:rFonts w:hint="eastAsia" w:ascii="黑体" w:hAnsi="Calibri" w:eastAsia="黑体" w:cs="黑体"/>
          <w:b/>
          <w:bCs/>
          <w:color w:val="000000" w:themeColor="text1"/>
          <w:sz w:val="20"/>
          <w:szCs w:val="20"/>
          <w14:textFill>
            <w14:solidFill>
              <w14:schemeClr w14:val="tx1"/>
            </w14:solidFill>
          </w14:textFill>
        </w:rPr>
        <w:t>】</w:t>
      </w:r>
      <w:r>
        <w:rPr>
          <w:rFonts w:ascii="黑体" w:hAnsi="Times New Roman" w:eastAsia="黑体" w:cs="黑体"/>
          <w:b/>
          <w:bCs/>
          <w:color w:val="000000" w:themeColor="text1"/>
          <w:sz w:val="20"/>
          <w:szCs w:val="20"/>
          <w14:textFill>
            <w14:solidFill>
              <w14:schemeClr w14:val="tx1"/>
            </w14:solidFill>
          </w14:textFill>
        </w:rPr>
        <w:t xml:space="preserve">  </w:t>
      </w:r>
    </w:p>
    <w:p>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产品代码</w:t>
      </w:r>
      <w:r>
        <w:rPr>
          <w:rFonts w:ascii="黑体" w:hAnsi="Times New Roman" w:eastAsia="黑体" w:cs="黑体"/>
          <w:b/>
          <w:bCs/>
          <w:color w:val="000000" w:themeColor="text1"/>
          <w:sz w:val="20"/>
          <w:szCs w:val="20"/>
          <w14:textFill>
            <w14:solidFill>
              <w14:schemeClr w14:val="tx1"/>
            </w14:solidFill>
          </w14:textFill>
        </w:rPr>
        <w:t>：【AF247175】</w:t>
      </w:r>
      <w:r>
        <w:rPr>
          <w:rFonts w:hint="eastAsia" w:ascii="黑体" w:hAnsi="Times New Roman" w:eastAsia="黑体" w:cs="黑体"/>
          <w:b/>
          <w:bCs/>
          <w:color w:val="000000" w:themeColor="text1"/>
          <w:sz w:val="20"/>
          <w:szCs w:val="20"/>
          <w14:textFill>
            <w14:solidFill>
              <w14:schemeClr w14:val="tx1"/>
            </w14:solidFill>
          </w14:textFill>
        </w:rPr>
        <w:t>）</w:t>
      </w:r>
    </w:p>
    <w:p>
      <w:pPr>
        <w:spacing w:line="300" w:lineRule="exact"/>
        <w:ind w:right="-792" w:rightChars="-330"/>
        <w:rPr>
          <w:color w:val="000000" w:themeColor="text1"/>
          <w14:textFill>
            <w14:solidFill>
              <w14:schemeClr w14:val="tx1"/>
            </w14:solidFill>
          </w14:textFill>
        </w:rPr>
      </w:pPr>
      <w:r>
        <w:rPr>
          <w:rFonts w:ascii="黑体" w:hAnsi="Times New Roman" w:eastAsia="黑体"/>
          <w:b/>
          <w:bCs/>
          <w:color w:val="000000" w:themeColor="text1"/>
          <w:sz w:val="20"/>
          <w:szCs w:val="20"/>
          <w14:textFill>
            <w14:solidFill>
              <w14:schemeClr w14:val="tx1"/>
            </w14:solidFill>
          </w14:textFill>
        </w:rPr>
        <w:t> </w:t>
      </w:r>
    </w:p>
    <w:p>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．本产品最短持有期为【</w:t>
      </w:r>
      <w:r>
        <w:rPr>
          <w:rFonts w:ascii="黑体" w:hAnsi="Times New Roman" w:eastAsia="黑体" w:cs="黑体"/>
          <w:b/>
          <w:color w:val="000000" w:themeColor="text1"/>
          <w:sz w:val="20"/>
          <w:szCs w:val="20"/>
          <w14:textFill>
            <w14:solidFill>
              <w14:schemeClr w14:val="tx1"/>
            </w14:solidFill>
          </w14:textFill>
        </w:rPr>
        <w:t>180</w:t>
      </w:r>
      <w:r>
        <w:rPr>
          <w:rFonts w:hint="eastAsia" w:ascii="黑体" w:hAnsi="Times New Roman" w:eastAsia="黑体" w:cs="黑体"/>
          <w:b/>
          <w:color w:val="000000" w:themeColor="text1"/>
          <w:sz w:val="20"/>
          <w:szCs w:val="20"/>
          <w14:textFill>
            <w14:solidFill>
              <w14:schemeClr w14:val="tx1"/>
            </w14:solidFill>
          </w14:textFill>
        </w:rPr>
        <w:t>】自然日。</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w:t>
      </w:r>
      <w:r>
        <w:rPr>
          <w:rFonts w:ascii="黑体" w:hAnsi="Times New Roman" w:eastAsia="黑体" w:cs="黑体"/>
          <w:color w:val="000000" w:themeColor="text1"/>
          <w:sz w:val="20"/>
          <w:szCs w:val="20"/>
          <w14:textFill>
            <w14:solidFill>
              <w14:schemeClr w14:val="tx1"/>
            </w14:solidFill>
          </w14:textFill>
        </w:rPr>
        <w:t>代销机构</w:t>
      </w:r>
      <w:r>
        <w:rPr>
          <w:rFonts w:hint="eastAsia" w:ascii="黑体" w:hAnsi="Times New Roman" w:eastAsia="黑体" w:cs="黑体"/>
          <w:color w:val="000000" w:themeColor="text1"/>
          <w:sz w:val="20"/>
          <w:szCs w:val="20"/>
          <w14:textFill>
            <w14:solidFill>
              <w14:schemeClr w14:val="tx1"/>
            </w14:solidFill>
          </w14:textFill>
        </w:rPr>
        <w:t>各营业场所或营业网点咨询。</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pPr>
        <w:snapToGrid w:val="0"/>
        <w:ind w:right="53" w:rightChars="22" w:firstLine="400" w:firstLineChars="200"/>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pPr>
        <w:snapToGrid w:val="0"/>
        <w:ind w:left="-2" w:leftChars="-1" w:right="53" w:rightChars="22"/>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的非开放日，投资者不得赎回，在开放日，可能因达到本说明书中约定的限制赎回情况，导致投资者在需要资金时无法随时变现，并可能导致投资者丧失其他投资机会。本产品投资资产的流动性风险情况为：【本理财产品投资范围为货币市场类和固定收益类资产，具体品种包括：现金、存款、大额存单、同业存单、货币基金、质押式回购和其他货币市场类资产，以及国债、地方政府债券、中央银行票据、政府机构债券、金融债券、公司信用类债券、在银行间市场和证券交易所市场发行的资产支持证券、非公开定向债务融资工具、债券型证券投资基金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w:t>
      </w:r>
      <w:r>
        <w:rPr>
          <w:rFonts w:hint="eastAsia" w:ascii="黑体" w:eastAsia="黑体"/>
          <w:b/>
          <w:color w:val="000000" w:themeColor="text1"/>
          <w:sz w:val="20"/>
          <w:szCs w:val="20"/>
          <w14:textFill>
            <w14:solidFill>
              <w14:schemeClr w14:val="tx1"/>
            </w14:solidFill>
          </w14:textFill>
        </w:rPr>
        <w:t>信银理财</w:t>
      </w:r>
      <w:r>
        <w:rPr>
          <w:rFonts w:ascii="黑体" w:eastAsia="黑体"/>
          <w:b/>
          <w:color w:val="000000" w:themeColor="text1"/>
          <w:sz w:val="20"/>
          <w:szCs w:val="20"/>
          <w14:textFill>
            <w14:solidFill>
              <w14:schemeClr w14:val="tx1"/>
            </w14:solidFill>
          </w14:textFill>
        </w:rPr>
        <w:t>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认购/申购失败或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认购/申购时，如果投资者在合作销售机构的资金账户余额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w:t>
      </w:r>
      <w:r>
        <w:rPr>
          <w:rFonts w:ascii="黑体" w:hAnsi="黑体" w:eastAsia="黑体"/>
          <w:b/>
          <w:color w:val="000000" w:themeColor="text1"/>
          <w:sz w:val="20"/>
          <w:szCs w:val="20"/>
          <w14:textFill>
            <w14:solidFill>
              <w14:schemeClr w14:val="tx1"/>
            </w14:solidFill>
          </w14:textFill>
        </w:rPr>
        <w:t>将投资者认购/申购资金划转至信银理财，将导致投资者无法完成认购/申购，因此造成的损失</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不承担责任；在赎回和到期时，</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损失信银理财</w:t>
      </w:r>
      <w:r>
        <w:rPr>
          <w:rFonts w:ascii="黑体" w:hAnsi="黑体" w:eastAsia="黑体"/>
          <w:b/>
          <w:color w:val="000000" w:themeColor="text1"/>
          <w:sz w:val="20"/>
          <w:szCs w:val="20"/>
          <w14:textFill>
            <w14:solidFill>
              <w14:schemeClr w14:val="tx1"/>
            </w14:solidFill>
          </w14:textFill>
        </w:rPr>
        <w:t>不承担任何责任。</w:t>
      </w:r>
    </w:p>
    <w:p>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spacing w:line="300" w:lineRule="atLeast"/>
        <w:ind w:left="-2" w:right="36" w:firstLine="422"/>
        <w:rPr>
          <w:rFonts w:ascii="黑体" w:hAnsi="Times New Roman" w:eastAsia="黑体" w:cs="黑体"/>
          <w:b/>
          <w:bCs/>
          <w:color w:val="000000" w:themeColor="text1"/>
          <w:sz w:val="20"/>
          <w:szCs w:val="20"/>
          <w14:textFill>
            <w14:solidFill>
              <w14:schemeClr w14:val="tx1"/>
            </w14:solidFill>
          </w14:textFill>
        </w:rPr>
      </w:pP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w:t>
      </w:r>
      <w:r>
        <w:rPr>
          <w:rFonts w:ascii="黑体" w:hAnsi="黑体" w:eastAsia="黑体"/>
          <w:color w:val="000000" w:themeColor="text1"/>
          <w:sz w:val="20"/>
          <w:szCs w:val="20"/>
          <w14:textFill>
            <w14:solidFill>
              <w14:schemeClr w14:val="tx1"/>
            </w14:solidFill>
          </w14:textFill>
        </w:rPr>
        <w:t>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pPr>
        <w:snapToGrid w:val="0"/>
        <w:ind w:firstLine="400" w:firstLineChars="200"/>
        <w:jc w:val="both"/>
        <w:rPr>
          <w:rFonts w:ascii="黑体" w:hAnsi="Times New Roman"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=当日理财产品资产净值/当日理财产品存续份额，投资者按该</w:t>
      </w:r>
      <w:r>
        <w:rPr>
          <w:rFonts w:hint="eastAsia" w:ascii="黑体" w:hAnsi="黑体" w:eastAsia="黑体"/>
          <w:color w:val="000000" w:themeColor="text1"/>
          <w:sz w:val="20"/>
          <w:szCs w:val="20"/>
          <w14:textFill>
            <w14:solidFill>
              <w14:schemeClr w14:val="tx1"/>
            </w14:solidFill>
          </w14:textFill>
        </w:rPr>
        <w:t>理财产品单位净值进行理财产品申购、赎回。</w:t>
      </w:r>
      <w:r>
        <w:rPr>
          <w:rFonts w:ascii="黑体" w:hAnsi="Times New Roman" w:eastAsia="黑体"/>
          <w:color w:val="000000" w:themeColor="text1"/>
          <w:sz w:val="20"/>
          <w:szCs w:val="20"/>
          <w14:textFill>
            <w14:solidFill>
              <w14:schemeClr w14:val="tx1"/>
            </w14:solidFill>
          </w14:textFill>
        </w:rPr>
        <w:t> </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w:t>
      </w:r>
      <w:r>
        <w:rPr>
          <w:rFonts w:hint="eastAsia" w:ascii="黑体" w:hAnsi="黑体" w:eastAsia="黑体"/>
          <w:color w:val="000000" w:themeColor="text1"/>
          <w:sz w:val="20"/>
          <w:szCs w:val="20"/>
          <w14:textFill>
            <w14:solidFill>
              <w14:schemeClr w14:val="tx1"/>
            </w14:solidFill>
          </w14:textFill>
        </w:rPr>
        <w:t>/申购</w:t>
      </w:r>
      <w:r>
        <w:rPr>
          <w:rFonts w:ascii="黑体" w:hAnsi="黑体" w:eastAsia="黑体"/>
          <w:color w:val="000000" w:themeColor="text1"/>
          <w:sz w:val="20"/>
          <w:szCs w:val="20"/>
          <w14:textFill>
            <w14:solidFill>
              <w14:schemeClr w14:val="tx1"/>
            </w14:solidFill>
          </w14:textFill>
        </w:rPr>
        <w:t>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w:t>
      </w:r>
      <w:r>
        <w:rPr>
          <w:rFonts w:ascii="黑体" w:hAnsi="黑体" w:eastAsia="黑体"/>
          <w:color w:val="000000" w:themeColor="text1"/>
          <w:sz w:val="20"/>
          <w:szCs w:val="20"/>
          <w14:textFill>
            <w14:solidFill>
              <w14:schemeClr w14:val="tx1"/>
            </w14:solidFill>
          </w14:textFill>
        </w:rPr>
        <w:t>认购费</w:t>
      </w:r>
      <w:r>
        <w:rPr>
          <w:rFonts w:hint="eastAsia" w:ascii="黑体" w:hAnsi="黑体" w:eastAsia="黑体"/>
          <w:color w:val="000000" w:themeColor="text1"/>
          <w:sz w:val="20"/>
          <w:szCs w:val="20"/>
          <w14:textFill>
            <w14:solidFill>
              <w14:schemeClr w14:val="tx1"/>
            </w14:solidFill>
          </w14:textFill>
        </w:rPr>
        <w:t>/申购费</w:t>
      </w:r>
      <w:r>
        <w:rPr>
          <w:rFonts w:ascii="黑体" w:hAnsi="黑体" w:eastAsia="黑体"/>
          <w:color w:val="000000" w:themeColor="text1"/>
          <w:sz w:val="20"/>
          <w:szCs w:val="20"/>
          <w14:textFill>
            <w14:solidFill>
              <w14:schemeClr w14:val="tx1"/>
            </w14:solidFill>
          </w14:textFill>
        </w:rPr>
        <w:t>后即投资者的投资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r>
        <w:rPr>
          <w:rFonts w:ascii="黑体" w:hAnsi="黑体" w:eastAsia="黑体"/>
          <w:color w:val="000000" w:themeColor="text1"/>
          <w:sz w:val="20"/>
          <w:szCs w:val="20"/>
          <w14:textFill>
            <w14:solidFill>
              <w14:schemeClr w14:val="tx1"/>
            </w14:solidFill>
          </w14:textFill>
        </w:rPr>
        <w:t xml:space="preserve"> </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7个工作日可变现资产</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16</w:t>
      </w:r>
      <w:r>
        <w:rPr>
          <w:rFonts w:hint="eastAsia" w:ascii="黑体" w:hAnsi="黑体" w:eastAsia="黑体"/>
          <w:color w:val="000000" w:themeColor="text1"/>
          <w:sz w:val="20"/>
          <w:szCs w:val="20"/>
          <w14:textFill>
            <w14:solidFill>
              <w14:schemeClr w14:val="tx1"/>
            </w14:solidFill>
          </w14:textFill>
        </w:rPr>
        <w:t>．定期开放周期：</w:t>
      </w:r>
      <w:r>
        <w:rPr>
          <w:rFonts w:ascii="黑体" w:hAnsi="黑体" w:eastAsia="黑体"/>
          <w:color w:val="000000" w:themeColor="text1"/>
          <w:sz w:val="20"/>
          <w:szCs w:val="20"/>
          <w14:textFill>
            <w14:solidFill>
              <w14:schemeClr w14:val="tx1"/>
            </w14:solidFill>
          </w14:textFill>
        </w:rPr>
        <w:t>指定期开放式理财产品</w:t>
      </w:r>
      <w:r>
        <w:rPr>
          <w:rFonts w:hint="eastAsia" w:ascii="黑体" w:hAnsi="黑体" w:eastAsia="黑体"/>
          <w:color w:val="000000" w:themeColor="text1"/>
          <w:sz w:val="20"/>
          <w:szCs w:val="20"/>
          <w14:textFill>
            <w14:solidFill>
              <w14:schemeClr w14:val="tx1"/>
            </w14:solidFill>
          </w14:textFill>
        </w:rPr>
        <w:t>2个</w:t>
      </w:r>
      <w:r>
        <w:rPr>
          <w:rFonts w:ascii="黑体" w:hAnsi="黑体" w:eastAsia="黑体"/>
          <w:color w:val="000000" w:themeColor="text1"/>
          <w:sz w:val="20"/>
          <w:szCs w:val="20"/>
          <w14:textFill>
            <w14:solidFill>
              <w14:schemeClr w14:val="tx1"/>
            </w14:solidFill>
          </w14:textFill>
        </w:rPr>
        <w:t>开放期的最短间隔天数。</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17．信银理财电子渠道：指信银理财官方网站（</w:t>
      </w:r>
      <w:r>
        <w:fldChar w:fldCharType="begin"/>
      </w:r>
      <w:r>
        <w:instrText xml:space="preserve"> HYPERLINK "http://www.citic-wealth.com" </w:instrText>
      </w:r>
      <w:r>
        <w:fldChar w:fldCharType="separate"/>
      </w:r>
      <w:r>
        <w:rPr>
          <w:rStyle w:val="6"/>
          <w:rFonts w:ascii="黑体" w:hAnsi="黑体" w:eastAsia="黑体"/>
          <w:sz w:val="20"/>
          <w:szCs w:val="20"/>
        </w:rPr>
        <w:t>http://www.citic-wealth.com</w:t>
      </w:r>
      <w:r>
        <w:rPr>
          <w:rStyle w:val="6"/>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18．信银理财直销渠道：指信银理财电子渠道及营业场所。</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19．销售机构：指信银理财及代销机构。</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20．理财产品合同：指本理财产品的《信银理财理财产品说明书》、《信银理财理财产品风险揭示书》和《信银理财理财产品投资协议书》及其不时有效修订与补充。</w:t>
      </w:r>
    </w:p>
    <w:p>
      <w:pPr>
        <w:pStyle w:val="7"/>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21．销售文件：指本理财产品的理财产品合同及《信银理财理财产品销售总协议》（含附件：客户权益须知专页）（或合作销售机构向投资者提供的理财产品销售协议文本）等文件及其不时有效修订与补充。</w:t>
      </w:r>
    </w:p>
    <w:p>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0"/>
        <w:gridCol w:w="2552"/>
        <w:gridCol w:w="3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3619" w:type="dxa"/>
            <w:vAlign w:val="center"/>
          </w:tcPr>
          <w:p>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pPr>
        <w:snapToGrid w:val="0"/>
        <w:ind w:left="-2" w:leftChars="-1" w:right="53" w:rightChars="22" w:firstLine="422"/>
        <w:jc w:val="both"/>
        <w:rPr>
          <w:color w:val="000000" w:themeColor="text1"/>
          <w14:textFill>
            <w14:solidFill>
              <w14:schemeClr w14:val="tx1"/>
            </w14:solidFill>
          </w14:textFill>
        </w:rPr>
      </w:pPr>
    </w:p>
    <w:p>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1．产品</w:t>
      </w:r>
      <w:r>
        <w:rPr>
          <w:rFonts w:ascii="楷体_GB2312" w:eastAsia="楷体_GB2312"/>
          <w:color w:val="000000" w:themeColor="text1"/>
          <w:sz w:val="20"/>
          <w:szCs w:val="20"/>
          <w14:textFill>
            <w14:solidFill>
              <w14:schemeClr w14:val="tx1"/>
            </w14:solidFill>
          </w14:textFill>
        </w:rPr>
        <w:t>投资策略：</w:t>
      </w:r>
    </w:p>
    <w:p>
      <w:pPr>
        <w:spacing w:line="300" w:lineRule="exact"/>
        <w:ind w:firstLine="400"/>
        <w:jc w:val="both"/>
        <w:rPr>
          <w:rFonts w:ascii="楷体_GB2312" w:eastAsia="楷体_GB2312"/>
          <w:color w:val="000000" w:themeColor="text1"/>
          <w:sz w:val="20"/>
          <w:szCs w:val="20"/>
          <w14:textFill>
            <w14:solidFill>
              <w14:schemeClr w14:val="tx1"/>
            </w14:solidFill>
          </w14:textFill>
        </w:rPr>
      </w:pPr>
      <w:r>
        <w:rPr>
          <w:rFonts w:hint="eastAsia" w:ascii="楷体_GB2312" w:hAnsi="楷体_GB2312" w:eastAsia="楷体_GB2312"/>
          <w:color w:val="000000" w:themeColor="text1"/>
          <w:sz w:val="20"/>
          <w:szCs w:val="20"/>
          <w14:textFill>
            <w14:solidFill>
              <w14:schemeClr w14:val="tx1"/>
            </w14:solidFill>
          </w14:textFill>
        </w:rPr>
        <w:t xml:space="preserve">产品主要投资于债券为主的固收类资产，通过积极主动的投资管理，在投资过程中运用ESG投资理念或策略，在严控组合风险的基础上，精选信用资质较好的发行人，获取相对稳定的票息收入，同时积极把握市场波动，获取交易性收入，力争获取超越业绩比较基准的投资回报。 </w:t>
      </w:r>
      <w:r>
        <w:br w:type="textWrapping"/>
      </w:r>
      <w:r>
        <w:rPr>
          <w:rFonts w:ascii="楷体_GB2312" w:hAnsi="楷体_GB2312" w:eastAsia="楷体_GB2312"/>
          <w:color w:val="000000" w:themeColor="text1"/>
          <w:sz w:val="20"/>
          <w:szCs w:val="20"/>
          <w14:textFill>
            <w14:solidFill>
              <w14:schemeClr w14:val="tx1"/>
            </w14:solidFill>
          </w14:textFill>
        </w:rPr>
        <w:t xml:space="preserve">    </w:t>
      </w:r>
      <w:r>
        <w:rPr>
          <w:rFonts w:hint="eastAsia" w:ascii="楷体_GB2312" w:hAnsi="楷体_GB2312" w:eastAsia="楷体_GB2312"/>
          <w:color w:val="000000" w:themeColor="text1"/>
          <w:sz w:val="20"/>
          <w:szCs w:val="20"/>
          <w14:textFill>
            <w14:solidFill>
              <w14:schemeClr w14:val="tx1"/>
            </w14:solidFill>
          </w14:textFill>
        </w:rPr>
        <w:t>ESG投资策略：对所投资产进行ESG评价，主动提升ESG评级较高的资产占比。</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09"/>
        <w:gridCol w:w="38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w:t>
            </w:r>
            <w:r>
              <w:rPr>
                <w:rFonts w:ascii="楷体" w:hAnsi="楷体" w:eastAsia="楷体"/>
                <w:color w:val="000000" w:themeColor="text1"/>
                <w:sz w:val="20"/>
                <w:szCs w:val="20"/>
                <w14:textFill>
                  <w14:solidFill>
                    <w14:schemeClr w14:val="tx1"/>
                  </w14:solidFill>
                </w14:textFill>
              </w:rPr>
              <w:t>80%-100%</w:t>
            </w:r>
            <w:r>
              <w:rPr>
                <w:rFonts w:hint="eastAsia" w:ascii="楷体" w:hAnsi="楷体" w:eastAsia="楷体"/>
                <w:color w:val="000000" w:themeColor="text1"/>
                <w:sz w:val="20"/>
                <w:szCs w:val="20"/>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【0%-20%】</w:t>
            </w:r>
          </w:p>
        </w:tc>
      </w:tr>
    </w:tbl>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本产品可通过信托、证券</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基金</w:t>
      </w:r>
      <w:r>
        <w:rPr>
          <w:rFonts w:ascii="Times New Roman" w:hAnsi="Times New Roman" w:eastAsia="楷体_GB2312" w:cs="楷体_GB2312"/>
          <w:color w:val="000000" w:themeColor="text1"/>
          <w:sz w:val="20"/>
          <w:szCs w:val="20"/>
          <w14:textFill>
            <w14:solidFill>
              <w14:schemeClr w14:val="tx1"/>
            </w14:solidFill>
          </w14:textFill>
        </w:rPr>
        <w:t>、期货</w:t>
      </w: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保险资产管理机构</w:t>
      </w:r>
      <w:r>
        <w:rPr>
          <w:rFonts w:hint="eastAsia" w:ascii="Times New Roman" w:hAnsi="Times New Roman" w:eastAsia="楷体_GB2312" w:cs="楷体_GB2312"/>
          <w:color w:val="000000" w:themeColor="text1"/>
          <w:sz w:val="20"/>
          <w:szCs w:val="20"/>
          <w14:textFill>
            <w14:solidFill>
              <w14:schemeClr w14:val="tx1"/>
            </w14:solidFill>
          </w14:textFill>
        </w:rPr>
        <w:t>等</w:t>
      </w:r>
      <w:r>
        <w:rPr>
          <w:rFonts w:ascii="Times New Roman" w:hAnsi="Times New Roman" w:eastAsia="楷体_GB2312" w:cs="楷体_GB2312"/>
          <w:color w:val="000000" w:themeColor="text1"/>
          <w:sz w:val="20"/>
          <w:szCs w:val="20"/>
          <w14:textFill>
            <w14:solidFill>
              <w14:schemeClr w14:val="tx1"/>
            </w14:solidFill>
          </w14:textFill>
        </w:rPr>
        <w:t>依法设立的资产管理产品</w:t>
      </w:r>
      <w:r>
        <w:rPr>
          <w:rFonts w:hint="eastAsia" w:ascii="Times New Roman" w:hAnsi="Times New Roman" w:eastAsia="楷体_GB2312" w:cs="楷体_GB2312"/>
          <w:color w:val="000000" w:themeColor="text1"/>
          <w:sz w:val="20"/>
          <w:szCs w:val="20"/>
          <w14:textFill>
            <w14:solidFill>
              <w14:schemeClr w14:val="tx1"/>
            </w14:solidFill>
          </w14:textFill>
        </w:rPr>
        <w:t>以及其他符合国家相关政策、法律法规的投资渠道和方式实现对上述投资品种的投资，且可以由资产名义持有人按公允价格转让本产品所投资的全部或部分投资标的。</w:t>
      </w:r>
    </w:p>
    <w:p>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产品管理人应确保本产品建仓期后投资比例符合前述要求，非因管理人主观因素导致突破前述比例限制的，管理人应在流动性受限资产可出售、可转让或者恢复交易的15个</w:t>
      </w:r>
      <w:r>
        <w:rPr>
          <w:rFonts w:ascii="Times New Roman" w:hAnsi="Times New Roman" w:eastAsia="楷体_GB2312"/>
          <w:color w:val="000000" w:themeColor="text1"/>
          <w:sz w:val="20"/>
          <w:szCs w:val="20"/>
          <w14:textFill>
            <w14:solidFill>
              <w14:schemeClr w14:val="tx1"/>
            </w14:solidFill>
          </w14:textFill>
        </w:rPr>
        <w:t>交易日内调整至符合要求</w:t>
      </w:r>
      <w:r>
        <w:rPr>
          <w:rFonts w:hint="eastAsia" w:ascii="Times New Roman" w:hAnsi="Times New Roman" w:eastAsia="楷体_GB2312"/>
          <w:color w:val="000000" w:themeColor="text1"/>
          <w:sz w:val="20"/>
          <w:szCs w:val="20"/>
          <w14:textFill>
            <w14:solidFill>
              <w14:schemeClr w14:val="tx1"/>
            </w14:solidFill>
          </w14:textFill>
        </w:rPr>
        <w:t>，</w:t>
      </w:r>
      <w:r>
        <w:rPr>
          <w:rFonts w:ascii="Times New Roman" w:hAnsi="Times New Roman" w:eastAsia="楷体_GB2312"/>
          <w:color w:val="000000" w:themeColor="text1"/>
          <w:sz w:val="20"/>
          <w:szCs w:val="20"/>
          <w14:textFill>
            <w14:solidFill>
              <w14:schemeClr w14:val="tx1"/>
            </w14:solidFill>
          </w14:textFill>
        </w:rPr>
        <w:t>国务院银行业监督管理机构规定的特殊情形除外</w:t>
      </w:r>
      <w:r>
        <w:rPr>
          <w:rFonts w:hint="eastAsia" w:ascii="Times New Roman" w:hAnsi="Times New Roman" w:eastAsia="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color w:val="000000" w:themeColor="text1"/>
          <w:sz w:val="20"/>
          <w:szCs w:val="20"/>
          <w14:textFill>
            <w14:solidFill>
              <w14:schemeClr w14:val="tx1"/>
            </w14:solidFill>
          </w14:textFill>
        </w:rPr>
        <w:t>有权根据市场情况，在不损害投资者利益且根据</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说明书约定提前</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投资者的情况下，对本</w:t>
      </w:r>
      <w:r>
        <w:rPr>
          <w:rFonts w:hint="eastAsia" w:ascii="楷体_GB2312" w:eastAsia="楷体_GB2312" w:cs="楷体_GB2312"/>
          <w:color w:val="000000" w:themeColor="text1"/>
          <w:sz w:val="20"/>
          <w:szCs w:val="20"/>
          <w14:textFill>
            <w14:solidFill>
              <w14:schemeClr w14:val="tx1"/>
            </w14:solidFill>
          </w14:textFill>
        </w:rPr>
        <w:t>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调整</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不接受的，可</w:t>
      </w:r>
      <w:r>
        <w:rPr>
          <w:rFonts w:hint="eastAsia" w:ascii="楷体_GB2312" w:eastAsia="楷体_GB2312" w:cs="楷体_GB2312"/>
          <w:color w:val="000000" w:themeColor="text1"/>
          <w:sz w:val="20"/>
          <w:szCs w:val="20"/>
          <w14:textFill>
            <w14:solidFill>
              <w14:schemeClr w14:val="tx1"/>
            </w14:solidFill>
          </w14:textFill>
        </w:rPr>
        <w:t>于</w:t>
      </w:r>
      <w:r>
        <w:rPr>
          <w:rFonts w:ascii="楷体_GB2312" w:eastAsia="楷体_GB2312" w:cs="楷体_GB2312"/>
          <w:color w:val="000000" w:themeColor="text1"/>
          <w:sz w:val="20"/>
          <w:szCs w:val="20"/>
          <w14:textFill>
            <w14:solidFill>
              <w14:schemeClr w14:val="tx1"/>
            </w14:solidFill>
          </w14:textFill>
        </w:rPr>
        <w:t>最近一期开放日赎回理财产品。</w:t>
      </w:r>
      <w:r>
        <w:rPr>
          <w:rFonts w:hint="eastAsia" w:ascii="楷体_GB2312" w:eastAsia="楷体_GB2312" w:cs="楷体_GB2312"/>
          <w:color w:val="000000" w:themeColor="text1"/>
          <w:sz w:val="20"/>
          <w:szCs w:val="20"/>
          <w14:textFill>
            <w14:solidFill>
              <w14:schemeClr w14:val="tx1"/>
            </w14:solidFill>
          </w14:textFill>
        </w:rPr>
        <w:t>除</w:t>
      </w:r>
      <w:r>
        <w:rPr>
          <w:rFonts w:ascii="楷体_GB2312" w:eastAsia="楷体_GB2312" w:cs="楷体_GB2312"/>
          <w:color w:val="000000" w:themeColor="text1"/>
          <w:sz w:val="20"/>
          <w:szCs w:val="20"/>
          <w14:textFill>
            <w14:solidFill>
              <w14:schemeClr w14:val="tx1"/>
            </w14:solidFill>
          </w14:textFill>
        </w:rPr>
        <w:t>高风险类型的产品超出比例范围投资较低风险资产外，</w:t>
      </w:r>
      <w:r>
        <w:rPr>
          <w:rFonts w:hint="eastAsia" w:ascii="楷体_GB2312" w:eastAsia="楷体_GB2312" w:cs="楷体_GB2312"/>
          <w:color w:val="000000" w:themeColor="text1"/>
          <w:sz w:val="20"/>
          <w:szCs w:val="20"/>
          <w14:textFill>
            <w14:solidFill>
              <w14:schemeClr w14:val="tx1"/>
            </w14:solidFill>
          </w14:textFill>
        </w:rPr>
        <w:t>产品管理人应按</w:t>
      </w:r>
      <w:r>
        <w:rPr>
          <w:rFonts w:ascii="楷体_GB2312" w:eastAsia="楷体_GB2312" w:cs="楷体_GB2312"/>
          <w:color w:val="000000" w:themeColor="text1"/>
          <w:sz w:val="20"/>
          <w:szCs w:val="20"/>
          <w14:textFill>
            <w14:solidFill>
              <w14:schemeClr w14:val="tx1"/>
            </w14:solidFill>
          </w14:textFill>
        </w:rPr>
        <w:t>监管要求</w:t>
      </w:r>
      <w:r>
        <w:rPr>
          <w:rFonts w:hint="eastAsia" w:ascii="楷体_GB2312" w:eastAsia="楷体_GB2312" w:cs="楷体_GB2312"/>
          <w:color w:val="000000" w:themeColor="text1"/>
          <w:sz w:val="20"/>
          <w:szCs w:val="20"/>
          <w14:textFill>
            <w14:solidFill>
              <w14:schemeClr w14:val="tx1"/>
            </w14:solidFill>
          </w14:textFill>
        </w:rPr>
        <w:t>提前</w:t>
      </w:r>
      <w:r>
        <w:rPr>
          <w:rFonts w:ascii="楷体_GB2312" w:eastAsia="楷体_GB2312" w:cs="楷体_GB2312"/>
          <w:color w:val="000000" w:themeColor="text1"/>
          <w:sz w:val="20"/>
          <w:szCs w:val="20"/>
          <w14:textFill>
            <w14:solidFill>
              <w14:schemeClr w14:val="tx1"/>
            </w14:solidFill>
          </w14:textFill>
        </w:rPr>
        <w:t>取得投资者书面同意</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并履行登记备案等法律法规以及金融监督管理部门规定的程序。</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hAnsi="Times New Roman" w:eastAsia="楷体_GB2312" w:cs="楷体_GB2312"/>
          <w:color w:val="000000" w:themeColor="text1"/>
          <w:sz w:val="20"/>
          <w:szCs w:val="20"/>
          <w14:textFill>
            <w14:solidFill>
              <w14:schemeClr w14:val="tx1"/>
            </w14:solidFill>
          </w14:textFill>
        </w:rPr>
        <w:t>投资限制：</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（1）本产品总资产不得超过净资产的140%；</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 xml:space="preserve">（2）产品定期开放周期不低于90天的，在开放日及开放日前7个工作日内持有现金或者到期日在一年以内的国债、中央银行票据和政策性金融债券比例应不低于产品净资产的5%。产品定期开放周期低于90天的，应保证每日日终现金或者到期日在一年以内的国债、中央银行票据和政策性金融债券比例不低于产品净资产的5%; </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3）本产品投资单只证券或者单只证券投资基金的市值不得超过产品净资产的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pPr>
        <w:spacing w:line="300" w:lineRule="exact"/>
        <w:ind w:firstLine="426" w:firstLineChars="213"/>
        <w:jc w:val="both"/>
        <w:rPr>
          <w:rFonts w:ascii="楷体_GB2312" w:hAnsi="Times New Roman" w:eastAsia="楷体_GB2312" w:cs="楷体_GB2312"/>
          <w:b/>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（4）</w:t>
      </w:r>
      <w:r>
        <w:rPr>
          <w:rFonts w:hint="eastAsia" w:ascii="楷体_GB2312" w:hAnsi="Times New Roman" w:eastAsia="楷体_GB2312" w:cs="楷体_GB2312"/>
          <w:b/>
          <w:color w:val="000000" w:themeColor="text1"/>
          <w:sz w:val="20"/>
          <w:szCs w:val="20"/>
          <w14:textFill>
            <w14:solidFill>
              <w14:schemeClr w14:val="tx1"/>
            </w14:solidFill>
          </w14:textFill>
        </w:rPr>
        <w:t>不得同时出现下述情形:</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（a）计划投资不存在活跃交易市场，并且需要采用估值技术确定公允价值的资产；</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（b）计划投资上述资产的比例达到产品净资产50%以上。</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b/>
          <w:color w:val="000000" w:themeColor="text1"/>
          <w:sz w:val="20"/>
          <w:szCs w:val="20"/>
          <w14:textFill>
            <w14:solidFill>
              <w14:schemeClr w14:val="tx1"/>
            </w14:solidFill>
          </w14:textFill>
        </w:rPr>
        <w:t>本产品单一投资者持有份额不得超过产品总份额的50%。</w:t>
      </w:r>
      <w:r>
        <w:rPr>
          <w:rFonts w:hint="eastAsia" w:ascii="楷体_GB2312" w:hAnsi="Times New Roman" w:eastAsia="楷体_GB2312" w:cs="楷体_GB2312"/>
          <w:color w:val="000000" w:themeColor="text1"/>
          <w:sz w:val="20"/>
          <w:szCs w:val="20"/>
          <w14:textFill>
            <w14:solidFill>
              <w14:schemeClr w14:val="tx1"/>
            </w14:solidFill>
          </w14:textFill>
        </w:rPr>
        <w:t>在该种情形下，非因管理人主观因素导致突破前款规定比例限制的，在单一投资者持有比例降至50%以下之前，管理人不得再接受该投资者对该理财产品的认购/申购申请。</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6）直接投资于流动性受限资产的市值在开放日不得超过产品资产净值的15%。因证券市场波动、上市公司股票停牌、理财产品规模变动等因素导致理财产品不符合本条规定比例限制的，不得主动新增投资流动性受限资产。</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（7）在开放日前一工作日内，7个工作日可变现资产的可变现价值应当不低于该产品资产净值的10%。</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6．</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4"/>
        <w:tblW w:w="486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0"/>
        <w:gridCol w:w="6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873" w:type="pct"/>
            <w:vAlign w:val="center"/>
          </w:tcPr>
          <w:p>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【信银理财安盈象固收稳健丰收ESG六个月持有期1号理财产品】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Z7002624001570】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【AF247175</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公募、【固定收益类】、开放式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sz w:val="20"/>
                <w:szCs w:val="20"/>
              </w:rPr>
              <w:t>PR</w:t>
            </w:r>
            <w:r>
              <w:rPr>
                <w:rFonts w:hint="eastAsia" w:ascii="楷体_GB2312" w:eastAsia="楷体_GB2312" w:cs="楷体_GB2312"/>
                <w:sz w:val="20"/>
                <w:szCs w:val="20"/>
              </w:rPr>
              <w:t>【2】级（【稳健】</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。本风险分级为信银理财自行评定，仅供参考。</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产品通过代销机构销售的，代销机构将</w:t>
            </w:r>
            <w:r>
              <w:rPr>
                <w:rFonts w:hint="eastAsia" w:ascii="楷体_GB2312" w:eastAsia="楷体_GB2312" w:cs="楷体_GB2312"/>
                <w:color w:val="000000" w:themeColor="text1"/>
                <w:sz w:val="20"/>
                <w:szCs w:val="20"/>
                <w14:textFill>
                  <w14:solidFill>
                    <w14:schemeClr w14:val="tx1"/>
                  </w14:solidFill>
                </w14:textFill>
              </w:rPr>
              <w:t>对</w:t>
            </w:r>
            <w:r>
              <w:rPr>
                <w:rFonts w:ascii="楷体_GB2312" w:eastAsia="楷体_GB2312" w:cs="楷体_GB2312"/>
                <w:color w:val="000000" w:themeColor="text1"/>
                <w:sz w:val="20"/>
                <w:szCs w:val="20"/>
                <w14:textFill>
                  <w14:solidFill>
                    <w14:schemeClr w14:val="tx1"/>
                  </w14:solidFill>
                </w14:textFill>
              </w:rPr>
              <w:t>理财产品进行风险评级</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对投资者进行风险</w:t>
            </w:r>
            <w:r>
              <w:rPr>
                <w:rFonts w:hint="eastAsia" w:ascii="楷体_GB2312" w:eastAsia="楷体_GB2312" w:cs="楷体_GB2312"/>
                <w:color w:val="000000" w:themeColor="text1"/>
                <w:sz w:val="20"/>
                <w:szCs w:val="20"/>
                <w14:textFill>
                  <w14:solidFill>
                    <w14:schemeClr w14:val="tx1"/>
                  </w14:solidFill>
                </w14:textFill>
              </w:rPr>
              <w:t>承受能力</w:t>
            </w:r>
            <w:r>
              <w:rPr>
                <w:rFonts w:ascii="楷体_GB2312" w:eastAsia="楷体_GB2312" w:cs="楷体_GB2312"/>
                <w:color w:val="000000" w:themeColor="text1"/>
                <w:sz w:val="20"/>
                <w:szCs w:val="20"/>
                <w14:textFill>
                  <w14:solidFill>
                    <w14:schemeClr w14:val="tx1"/>
                  </w14:solidFill>
                </w14:textFill>
              </w:rPr>
              <w:t>测评</w:t>
            </w:r>
            <w:r>
              <w:rPr>
                <w:rFonts w:hint="eastAsia" w:ascii="楷体_GB2312" w:eastAsia="楷体_GB2312" w:cs="楷体_GB2312"/>
                <w:color w:val="000000" w:themeColor="text1"/>
                <w:sz w:val="20"/>
                <w:szCs w:val="20"/>
                <w14:textFill>
                  <w14:solidFill>
                    <w14:schemeClr w14:val="tx1"/>
                  </w14:solidFill>
                </w14:textFill>
              </w:rPr>
              <w:t>，理财产品评级应当以代销机构最终披露的评级结果为准</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代销</w:t>
            </w:r>
            <w:r>
              <w:rPr>
                <w:rFonts w:ascii="楷体_GB2312" w:eastAsia="楷体_GB2312" w:cs="楷体_GB2312"/>
                <w:color w:val="000000" w:themeColor="text1"/>
                <w:sz w:val="20"/>
                <w:szCs w:val="20"/>
                <w14:textFill>
                  <w14:solidFill>
                    <w14:schemeClr w14:val="tx1"/>
                  </w14:solidFill>
                </w14:textFill>
              </w:rPr>
              <w:t>机构对</w:t>
            </w:r>
            <w:r>
              <w:rPr>
                <w:rFonts w:hint="eastAsia" w:ascii="楷体_GB2312" w:eastAsia="楷体_GB2312" w:cs="楷体_GB2312"/>
                <w:color w:val="000000" w:themeColor="text1"/>
                <w:sz w:val="20"/>
                <w:szCs w:val="20"/>
                <w14:textFill>
                  <w14:solidFill>
                    <w14:schemeClr w14:val="tx1"/>
                  </w14:solidFill>
                </w14:textFill>
              </w:rPr>
              <w:t>产品的</w:t>
            </w:r>
            <w:r>
              <w:rPr>
                <w:rFonts w:ascii="楷体_GB2312" w:eastAsia="楷体_GB2312" w:cs="楷体_GB2312"/>
                <w:color w:val="000000" w:themeColor="text1"/>
                <w:sz w:val="20"/>
                <w:szCs w:val="20"/>
                <w14:textFill>
                  <w14:solidFill>
                    <w14:schemeClr w14:val="tx1"/>
                  </w14:solidFill>
                </w14:textFill>
              </w:rPr>
              <w:t>风险</w:t>
            </w:r>
            <w:r>
              <w:rPr>
                <w:rFonts w:hint="eastAsia" w:ascii="楷体_GB2312" w:eastAsia="楷体_GB2312" w:cs="楷体_GB2312"/>
                <w:color w:val="000000" w:themeColor="text1"/>
                <w:sz w:val="20"/>
                <w:szCs w:val="20"/>
                <w14:textFill>
                  <w14:solidFill>
                    <w14:schemeClr w14:val="tx1"/>
                  </w14:solidFill>
                </w14:textFill>
              </w:rPr>
              <w:t>评级</w:t>
            </w:r>
            <w:r>
              <w:rPr>
                <w:rFonts w:ascii="楷体_GB2312" w:eastAsia="楷体_GB2312" w:cs="楷体_GB2312"/>
                <w:color w:val="000000" w:themeColor="text1"/>
                <w:sz w:val="20"/>
                <w:szCs w:val="20"/>
                <w14:textFill>
                  <w14:solidFill>
                    <w14:schemeClr w14:val="tx1"/>
                  </w14:solidFill>
                </w14:textFill>
              </w:rPr>
              <w:t>结果与信银理财不一致的，将采用对应较高风险</w:t>
            </w:r>
            <w:r>
              <w:rPr>
                <w:rFonts w:hint="eastAsia" w:ascii="楷体_GB2312" w:eastAsia="楷体_GB2312" w:cs="楷体_GB2312"/>
                <w:color w:val="000000" w:themeColor="text1"/>
                <w:sz w:val="20"/>
                <w:szCs w:val="20"/>
                <w14:textFill>
                  <w14:solidFill>
                    <w14:schemeClr w14:val="tx1"/>
                  </w14:solidFill>
                </w14:textFill>
              </w:rPr>
              <w:t>等级</w:t>
            </w:r>
            <w:r>
              <w:rPr>
                <w:rFonts w:ascii="楷体_GB2312" w:eastAsia="楷体_GB2312" w:cs="楷体_GB2312"/>
                <w:color w:val="000000" w:themeColor="text1"/>
                <w:sz w:val="20"/>
                <w:szCs w:val="20"/>
                <w14:textFill>
                  <w14:solidFill>
                    <w14:schemeClr w14:val="tx1"/>
                  </w14:solidFill>
                </w14:textFill>
              </w:rPr>
              <w:t>的评级结果。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【个人/机构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适合</w:t>
            </w:r>
            <w:r>
              <w:rPr>
                <w:rFonts w:hint="eastAsia" w:ascii="楷体_GB2312" w:eastAsia="楷体_GB2312" w:cs="Times New Roman"/>
                <w:sz w:val="20"/>
                <w:szCs w:val="20"/>
              </w:rPr>
              <w:t>【稳健型】【平衡型】【进取型】【激进型】</w:t>
            </w:r>
            <w:r>
              <w:rPr>
                <w:rFonts w:hint="eastAsia"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sz w:val="20"/>
                <w:szCs w:val="20"/>
              </w:rPr>
              <w:t>代销机构对产品的发行对象与信银理财不一致的，以代销机构为准。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【B】类份额：份额代码【AF247175B】</w:t>
            </w:r>
            <w:r>
              <w:br w:type="textWrapping"/>
            </w:r>
            <w:r>
              <w:rPr>
                <w:rFonts w:hint="eastAsia" w:ascii="楷体_GB2312" w:eastAsia="楷体_GB2312" w:cs="楷体_GB2312"/>
                <w:color w:val="000000" w:themeColor="text1"/>
                <w:sz w:val="20"/>
                <w:szCs w:val="20"/>
                <w14:textFill>
                  <w14:solidFill>
                    <w14:schemeClr w14:val="tx1"/>
                  </w14:solidFill>
                </w14:textFill>
              </w:rPr>
              <w:t>【G】类份额：份额代码【AF247175G】</w:t>
            </w:r>
            <w:r>
              <w:br w:type="textWrapping"/>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H</w:t>
            </w:r>
            <w:r>
              <w:rPr>
                <w:rFonts w:hint="eastAsia" w:ascii="楷体_GB2312" w:eastAsia="楷体_GB2312" w:cs="楷体_GB2312"/>
                <w:color w:val="000000" w:themeColor="text1"/>
                <w:sz w:val="20"/>
                <w:szCs w:val="20"/>
                <w14:textFill>
                  <w14:solidFill>
                    <w14:schemeClr w14:val="tx1"/>
                  </w14:solidFill>
                </w14:textFill>
              </w:rPr>
              <w:t>】类份额：份额代码【AF247175</w:t>
            </w:r>
            <w:r>
              <w:rPr>
                <w:rFonts w:ascii="楷体_GB2312" w:eastAsia="楷体_GB2312" w:cs="楷体_GB2312"/>
                <w:color w:val="000000" w:themeColor="text1"/>
                <w:sz w:val="20"/>
                <w:szCs w:val="20"/>
                <w14:textFill>
                  <w14:solidFill>
                    <w14:schemeClr w14:val="tx1"/>
                  </w14:solidFill>
                </w14:textFill>
              </w:rPr>
              <w:t>H</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指除中国法定节假日和公休日外的其他日。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pPr>
              <w:spacing w:line="300" w:lineRule="exact"/>
              <w:ind w:left="-2" w:leftChars="-1"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873" w:type="pct"/>
            <w:vAlign w:val="center"/>
          </w:tcPr>
          <w:p>
            <w:pPr>
              <w:pStyle w:val="7"/>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【2024】年【10】月【16】日至【2024】年【10】月【23】日，</w:t>
            </w:r>
            <w:r>
              <w:rPr>
                <w:rFonts w:hint="eastAsia" w:ascii="Times New Roman" w:hAnsi="Times New Roman" w:eastAsia="楷体_GB2312" w:cs="Times New Roman"/>
                <w:color w:val="000000" w:themeColor="text1"/>
                <w:sz w:val="20"/>
                <w:szCs w:val="20"/>
                <w14:textFill>
                  <w14:solidFill>
                    <w14:schemeClr w14:val="tx1"/>
                  </w14:solidFill>
                </w14:textFill>
              </w:rPr>
              <w:t>信银理财有权提前结束募集期并提前成立产品或者延长募集期。</w:t>
            </w:r>
          </w:p>
          <w:p>
            <w:pPr>
              <w:pStyle w:val="7"/>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的，募集期内可以撤单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pPr>
              <w:pStyle w:val="7"/>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pPr>
              <w:pStyle w:val="7"/>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pPr>
              <w:pStyle w:val="7"/>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873" w:type="pct"/>
            <w:vAlign w:val="center"/>
          </w:tcPr>
          <w:p>
            <w:pPr>
              <w:spacing w:line="300" w:lineRule="atLeast"/>
              <w:ind w:left="-2" w:right="31"/>
              <w:rPr>
                <w:rFonts w:ascii="楷体_GB2312"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Times New Roman"/>
                <w:color w:val="000000" w:themeColor="text1"/>
                <w:sz w:val="20"/>
                <w:szCs w:val="20"/>
                <w14:textFill>
                  <w14:solidFill>
                    <w14:schemeClr w14:val="tx1"/>
                  </w14:solidFill>
                </w14:textFill>
              </w:rPr>
              <w:t>【</w:t>
            </w:r>
            <w:r>
              <w:rPr>
                <w:rFonts w:ascii="楷体_GB2312" w:eastAsia="楷体_GB2312" w:cs="Times New Roman"/>
                <w:color w:val="000000" w:themeColor="text1"/>
                <w:sz w:val="20"/>
                <w:szCs w:val="20"/>
                <w14:textFill>
                  <w14:solidFill>
                    <w14:schemeClr w14:val="tx1"/>
                  </w14:solidFill>
                </w14:textFill>
              </w:rPr>
              <w:t>2024】年【10】月【24】日</w:t>
            </w:r>
            <w:r>
              <w:rPr>
                <w:rFonts w:hint="eastAsia" w:ascii="楷体_GB2312" w:hAnsi="Times New Roman" w:eastAsia="楷体_GB2312" w:cs="Times New Roman"/>
                <w:color w:val="000000" w:themeColor="text1"/>
                <w:sz w:val="20"/>
                <w:szCs w:val="20"/>
                <w14:textFill>
                  <w14:solidFill>
                    <w14:schemeClr w14:val="tx1"/>
                  </w14:solidFill>
                </w14:textFill>
              </w:rPr>
              <w:t>（如信银理财调整募集期，则运作起始日将相应调整。）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【2024】年【10】月【24】日至【2025】年【1】月【23】日。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无固定期限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最短</w:t>
            </w:r>
            <w:r>
              <w:rPr>
                <w:rFonts w:ascii="楷体_GB2312" w:eastAsia="楷体_GB2312" w:cs="楷体_GB2312"/>
                <w:color w:val="000000" w:themeColor="text1"/>
                <w:sz w:val="20"/>
                <w:szCs w:val="20"/>
                <w14:textFill>
                  <w14:solidFill>
                    <w14:schemeClr w14:val="tx1"/>
                  </w14:solidFill>
                </w14:textFill>
              </w:rPr>
              <w:t>持有期</w:t>
            </w:r>
          </w:p>
        </w:tc>
        <w:tc>
          <w:tcPr>
            <w:tcW w:w="3873" w:type="pct"/>
            <w:vAlign w:val="center"/>
          </w:tcPr>
          <w:p>
            <w:pPr>
              <w:spacing w:line="300" w:lineRule="exact"/>
              <w:ind w:left="-2" w:leftChars="-1" w:right="96" w:rightChars="4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产品的最短持有期为【</w:t>
            </w:r>
            <w:r>
              <w:rPr>
                <w:rFonts w:hint="eastAsia" w:ascii="楷体_GB2312" w:eastAsia="楷体_GB2312" w:cs="楷体_GB2312"/>
                <w:color w:val="000000" w:themeColor="text1"/>
                <w:sz w:val="20"/>
                <w:szCs w:val="20"/>
                <w14:textFill>
                  <w14:solidFill>
                    <w14:schemeClr w14:val="tx1"/>
                  </w14:solidFill>
                </w14:textFill>
              </w:rPr>
              <w:t>180</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即投资者成功购买本产品份额后，自该份额确认日（</w:t>
            </w:r>
            <w:r>
              <w:rPr>
                <w:rFonts w:hint="eastAsia" w:ascii="楷体_GB2312" w:eastAsia="楷体_GB2312" w:cs="楷体_GB2312"/>
                <w:color w:val="000000" w:themeColor="text1"/>
                <w:sz w:val="20"/>
                <w:szCs w:val="20"/>
                <w14:textFill>
                  <w14:solidFill>
                    <w14:schemeClr w14:val="tx1"/>
                  </w14:solidFill>
                </w14:textFill>
              </w:rPr>
              <w:t>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起</w:t>
            </w:r>
            <w:r>
              <w:rPr>
                <w:rFonts w:ascii="楷体_GB2312" w:eastAsia="楷体_GB2312" w:cs="楷体_GB2312"/>
                <w:color w:val="000000" w:themeColor="text1"/>
                <w:sz w:val="20"/>
                <w:szCs w:val="20"/>
                <w14:textFill>
                  <w14:solidFill>
                    <w14:schemeClr w14:val="tx1"/>
                  </w14:solidFill>
                </w14:textFill>
              </w:rPr>
              <w:t>连续持有超过【</w:t>
            </w:r>
            <w:r>
              <w:rPr>
                <w:rFonts w:hint="eastAsia" w:ascii="楷体_GB2312" w:eastAsia="楷体_GB2312" w:cs="楷体_GB2312"/>
                <w:color w:val="000000" w:themeColor="text1"/>
                <w:sz w:val="20"/>
                <w:szCs w:val="20"/>
                <w14:textFill>
                  <w14:solidFill>
                    <w14:schemeClr w14:val="tx1"/>
                  </w14:solidFill>
                </w14:textFill>
              </w:rPr>
              <w:t>180</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，方可在开放日的交易时间发起相应份额的赎回申请</w:t>
            </w:r>
            <w:r>
              <w:rPr>
                <w:rFonts w:hint="eastAsia"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开放日</w:t>
            </w:r>
          </w:p>
        </w:tc>
        <w:tc>
          <w:tcPr>
            <w:tcW w:w="3873" w:type="pct"/>
            <w:vAlign w:val="center"/>
          </w:tcPr>
          <w:p>
            <w:pPr>
              <w:spacing w:line="300" w:lineRule="exact"/>
              <w:ind w:left="-2" w:leftChars="-1" w:right="96" w:rightChars="40"/>
              <w:rPr>
                <w:rFonts w:ascii="楷体_GB2312" w:eastAsia="楷体_GB2312" w:cs="楷体_GB2312"/>
                <w:sz w:val="20"/>
                <w:szCs w:val="20"/>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本产品首个申购开放日为【2024】年【10】月【25】日</w:t>
            </w:r>
            <w:r>
              <w:rPr>
                <w:rFonts w:ascii="楷体_GB2312" w:eastAsia="楷体_GB2312" w:cs="楷体_GB2312"/>
                <w:sz w:val="20"/>
                <w:szCs w:val="20"/>
              </w:rPr>
              <w:t>，之后【</w:t>
            </w:r>
            <w:r>
              <w:rPr>
                <w:rFonts w:hint="eastAsia" w:ascii="楷体_GB2312" w:eastAsia="楷体_GB2312" w:cs="楷体_GB2312"/>
                <w:sz w:val="20"/>
                <w:szCs w:val="20"/>
              </w:rPr>
              <w:t>每个</w:t>
            </w:r>
            <w:r>
              <w:rPr>
                <w:rFonts w:ascii="楷体_GB2312" w:eastAsia="楷体_GB2312" w:cs="楷体_GB2312"/>
                <w:sz w:val="20"/>
                <w:szCs w:val="20"/>
              </w:rPr>
              <w:t>工作日】开放申购（如遇非工作日则顺延至下一工作日）。</w:t>
            </w:r>
          </w:p>
          <w:p>
            <w:pPr>
              <w:spacing w:line="300" w:lineRule="exact"/>
              <w:ind w:right="96" w:rightChars="40"/>
              <w:rPr>
                <w:rFonts w:ascii="楷体_GB2312" w:eastAsia="楷体_GB2312" w:cs="楷体_GB2312"/>
                <w:sz w:val="20"/>
                <w:szCs w:val="20"/>
              </w:rPr>
            </w:pPr>
            <w:r>
              <w:rPr>
                <w:rFonts w:ascii="楷体_GB2312" w:eastAsia="楷体_GB2312" w:cs="楷体_GB2312"/>
                <w:sz w:val="20"/>
                <w:szCs w:val="20"/>
              </w:rPr>
              <w:t>2.本产品【</w:t>
            </w:r>
            <w:r>
              <w:rPr>
                <w:rFonts w:hint="eastAsia" w:ascii="楷体_GB2312" w:eastAsia="楷体_GB2312" w:cs="楷体_GB2312"/>
                <w:sz w:val="20"/>
                <w:szCs w:val="20"/>
              </w:rPr>
              <w:t>每个工作日</w:t>
            </w:r>
            <w:r>
              <w:rPr>
                <w:rFonts w:ascii="楷体_GB2312" w:eastAsia="楷体_GB2312" w:cs="楷体_GB2312"/>
                <w:sz w:val="20"/>
                <w:szCs w:val="20"/>
              </w:rPr>
              <w:t>】开放赎回，投资者可以针对超过最短持有期后的产品份额发起赎回申请（如遇非工作日则顺延至下一工作日）。</w:t>
            </w:r>
          </w:p>
          <w:p>
            <w:pPr>
              <w:spacing w:line="300" w:lineRule="exact"/>
              <w:ind w:left="-2" w:leftChars="-1" w:right="96" w:rightChars="40"/>
              <w:rPr>
                <w:rFonts w:ascii="楷体_GB2312" w:eastAsia="楷体_GB2312" w:cs="楷体_GB2312"/>
                <w:color w:val="000000" w:themeColor="text1"/>
                <w:sz w:val="20"/>
                <w:szCs w:val="20"/>
                <w:highlight w:val="yellow"/>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本说明书约定的方式</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873" w:type="pct"/>
            <w:vAlign w:val="center"/>
          </w:tcPr>
          <w:p>
            <w:pPr>
              <w:spacing w:line="300" w:lineRule="exact"/>
              <w:ind w:right="36" w:rightChars="15"/>
              <w:jc w:val="both"/>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【B】类份额：【中债-新综合全价（1年以下）指数】</w:t>
            </w:r>
          </w:p>
          <w:p>
            <w:pPr>
              <w:spacing w:line="300" w:lineRule="exact"/>
              <w:ind w:right="36" w:rightChars="15"/>
              <w:jc w:val="both"/>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【G】类份额：【中债-新综合全价（1年以下）指数】</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【H】类份额：【中债-新综合全价（1年以下）指数】</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hint="eastAsia" w:ascii="楷体_GB2312" w:eastAsia="楷体_GB2312" w:cs="楷体_GB2312"/>
                <w:color w:val="000000" w:themeColor="text1"/>
                <w:sz w:val="20"/>
                <w:szCs w:val="20"/>
                <w14:textFill>
                  <w14:solidFill>
                    <w14:schemeClr w14:val="tx1"/>
                  </w14:solidFill>
                </w14:textFill>
              </w:rPr>
              <w:t>基准测算依据：【本理财产品为固定收益类产品，主要投向为同业存单、短融、中票、PPN、公司债、资产支持证券等标准化债权类资产。根据当前市场利率水平、组合目标久期、可投资债券的静态收益率、债券杠杆操作等因素作为测算依据，扣除相关税费成本之后，综合得出产品的业绩比较基准】。</w:t>
            </w:r>
          </w:p>
          <w:p>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个工作日以符合监管规定要求的方式向投资者披露，投资者不接受的，可于最近一个开放日赎回理财产品。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】，申购和赎回交易时间为【8：30-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】内，申购和赎回交易时间必须在【8：30-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本产品的计划募集金额下限为【人民币】【500】万元。信银理财有权根据实际需要对此金额下限进行调整。</w:t>
            </w:r>
            <w:r>
              <w:br w:type="textWrapping"/>
            </w:r>
            <w:r>
              <w:rPr>
                <w:rFonts w:ascii="楷体_GB2312" w:eastAsia="楷体_GB2312" w:cs="楷体_GB2312"/>
                <w:color w:val="000000" w:themeColor="text1"/>
                <w:sz w:val="20"/>
                <w:szCs w:val="20"/>
                <w14:textFill>
                  <w14:solidFill>
                    <w14:schemeClr w14:val="tx1"/>
                  </w14:solidFill>
                </w14:textFill>
              </w:rPr>
              <w:t>如果募集期内未达到计划募集金额下限，信银理财有权决定产品不成立，并在宣告产品不成立后【2】个工作日内返还投资者资金，同时信银理财保留延长本产品募集期的权利。届时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认/申购起点</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【B】类份额：初始认购/首次申购金额不低于【人民币】【1】元，以【人民币】【0.01】元的整数倍增加。追加认购/申购金额不低于【人民币】【0.01】元，以【人民币】【0.01】元的整数倍增加。</w:t>
            </w:r>
            <w:r>
              <w:br w:type="textWrapping"/>
            </w:r>
            <w:r>
              <w:rPr>
                <w:rFonts w:ascii="楷体_GB2312" w:eastAsia="楷体_GB2312" w:cs="楷体_GB2312"/>
                <w:color w:val="000000" w:themeColor="text1"/>
                <w:sz w:val="20"/>
                <w:szCs w:val="20"/>
                <w14:textFill>
                  <w14:solidFill>
                    <w14:schemeClr w14:val="tx1"/>
                  </w14:solidFill>
                </w14:textFill>
              </w:rPr>
              <w:t>【G】类份额：初始认购/首次申购金额不低于【人民币】【1】元，以【人民币】【0.01】元的整数倍增加。追加认购/申购金额不低于【人民币】【0.01】元，以【人民币】【0.01】元的整数倍增加。</w:t>
            </w:r>
            <w:r>
              <w:br w:type="textWrapping"/>
            </w:r>
            <w:r>
              <w:rPr>
                <w:rFonts w:ascii="楷体_GB2312" w:eastAsia="楷体_GB2312" w:cs="楷体_GB2312"/>
                <w:color w:val="000000" w:themeColor="text1"/>
                <w:sz w:val="20"/>
                <w:szCs w:val="20"/>
                <w14:textFill>
                  <w14:solidFill>
                    <w14:schemeClr w14:val="tx1"/>
                  </w14:solidFill>
                </w14:textFill>
              </w:rPr>
              <w:t>【H】类份额：初始认购/首次申购金额不低于【人民币】【1】元，以【人民币】【0.01】元的整数倍增加。追加认购/申购金额不低于【人民币】【0.01】元，以【人民币】【0.01】元的整数倍增加。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代销机构对产品的认/申购起点及追加认/申购金额的要求与信银理财不一致的，以代销机构为准，但不得低于上述对应金额。</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客户持有理财产品份额时进行申购，不视为首次申购，按追加申购处理。客户全额赎回不再持有理财产品份额后再次申购，视同首次申购处理。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873" w:type="pct"/>
            <w:vAlign w:val="center"/>
          </w:tcPr>
          <w:p>
            <w:pPr>
              <w:spacing w:line="300" w:lineRule="exact"/>
              <w:ind w:left="-2"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单一</w:t>
            </w:r>
            <w:r>
              <w:rPr>
                <w:rFonts w:ascii="楷体_GB2312" w:eastAsia="楷体_GB2312" w:cs="楷体_GB2312"/>
                <w:color w:val="000000" w:themeColor="text1"/>
                <w:sz w:val="20"/>
                <w:szCs w:val="20"/>
                <w14:textFill>
                  <w14:solidFill>
                    <w14:schemeClr w14:val="tx1"/>
                  </w14:solidFill>
                </w14:textFill>
              </w:rPr>
              <w:t>投资者持有份额</w:t>
            </w: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。投资者提出认购</w:t>
            </w:r>
            <w:r>
              <w:rPr>
                <w:rFonts w:ascii="楷体_GB2312" w:eastAsia="楷体_GB2312" w:cs="楷体_GB2312"/>
                <w:color w:val="000000" w:themeColor="text1"/>
                <w:sz w:val="20"/>
                <w:szCs w:val="20"/>
                <w14:textFill>
                  <w14:solidFill>
                    <w14:schemeClr w14:val="tx1"/>
                  </w14:solidFill>
                </w14:textFill>
              </w:rPr>
              <w:t>/申购申请时，如认/申购后投资者持有份额超过产品总份额的50%，信银理财将不接受超过单个投资者持仓份额比例限制的申请。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下限</w:t>
            </w:r>
          </w:p>
        </w:tc>
        <w:tc>
          <w:tcPr>
            <w:tcW w:w="3873" w:type="pct"/>
            <w:vAlign w:val="center"/>
          </w:tcPr>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【B】类份额：单个投资者持仓份额下限为【0.01】份，投资者提出部分赎回时，如赎回后投资者持有份额不足【0.01】份，则管理人将对投资者剩余份额发起强制赎回。</w:t>
            </w:r>
            <w:r>
              <w:br w:type="textWrapping"/>
            </w:r>
            <w:r>
              <w:rPr>
                <w:rFonts w:ascii="楷体_GB2312" w:eastAsia="楷体_GB2312" w:cs="楷体_GB2312"/>
                <w:sz w:val="20"/>
                <w:szCs w:val="20"/>
              </w:rPr>
              <w:t>【G】类份额：单个投资者持仓份额下限为【0.01】份，投资者提出部分赎回时，如赎回后投资者持有份额不足【0.01】份，则管理人将对投资者剩余份额发起强制赎回。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【H】类份额：单个投资者持仓份额下限为【0.01】份，投资者提出部分赎回时，如赎回后投资者持有份额不足【0.01】份，则管理人将对投资者剩余份额发起强制赎回。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下限进行调</w:t>
            </w:r>
            <w:r>
              <w:rPr>
                <w:rFonts w:hint="eastAsia" w:ascii="楷体_GB2312" w:eastAsia="楷体_GB2312" w:cs="楷体_GB2312"/>
                <w:color w:val="000000" w:themeColor="text1"/>
                <w:sz w:val="20"/>
                <w:szCs w:val="20"/>
                <w14:textFill>
                  <w14:solidFill>
                    <w14:schemeClr w14:val="tx1"/>
                  </w14:solidFill>
                </w14:textFill>
              </w:rPr>
              <w:t>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873" w:type="pct"/>
            <w:vAlign w:val="center"/>
          </w:tcPr>
          <w:p>
            <w:pPr>
              <w:pStyle w:val="7"/>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单位净值为单位产品份额的净值，该净值为扣除相关税费后的净值。相关税费包含固定管理费、销售服务费、托管费、本理财产品运营过程中产生的增值税及附加税费等。</w:t>
            </w:r>
          </w:p>
          <w:p>
            <w:pPr>
              <w:pStyle w:val="7"/>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本产品按照单位净值进行申购</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。单位净值按照【四舍五入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保留至小数点后【4】位。</w:t>
            </w:r>
          </w:p>
          <w:p>
            <w:pPr>
              <w:pStyle w:val="7"/>
              <w:numPr>
                <w:ilvl w:val="0"/>
                <w:numId w:val="2"/>
              </w:numPr>
              <w:spacing w:line="300" w:lineRule="exact"/>
              <w:ind w:right="29" w:rightChars="12"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本产品到期后，管理人将在到期日后【5】个工作日内披露份额最终单位净值。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投资者可通过信银理财直销渠道认购本产品。</w:t>
            </w:r>
            <w:r>
              <w:br w:type="textWrapping"/>
            </w: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如本产品通过代销机构销售，投资者可通过代销机构规定的渠道认购本产品。</w:t>
            </w:r>
          </w:p>
          <w:p>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和赎回渠道</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投资者可通过信银理财直销渠道申购及赎回本产品。</w:t>
            </w:r>
            <w:r>
              <w:br w:type="textWrapping"/>
            </w: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如本产品通过代销机构销售，投资者可通过代销机构规定的渠道申购和赎回本产品。</w:t>
            </w:r>
          </w:p>
          <w:p>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873" w:type="pct"/>
            <w:vAlign w:val="center"/>
          </w:tcPr>
          <w:p>
            <w:pPr>
              <w:snapToGrid w:val="0"/>
              <w:spacing w:line="300" w:lineRule="exact"/>
              <w:ind w:left="-2" w:leftChars="-1" w:right="53" w:rightChars="22"/>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1．认购费：</w:t>
            </w:r>
            <w:r>
              <w:rPr>
                <w:rFonts w:hint="eastAsia" w:ascii="楷体_GB2312" w:eastAsia="楷体_GB2312" w:cs="楷体_GB2312"/>
                <w:b/>
                <w:color w:val="000000" w:themeColor="text1"/>
                <w:sz w:val="20"/>
                <w:szCs w:val="20"/>
                <w14:textFill>
                  <w14:solidFill>
                    <w14:schemeClr w14:val="tx1"/>
                  </w14:solidFill>
                </w14:textFill>
              </w:rPr>
              <w:t>B类份额不收取认购费，G类份额不收取认购费，</w:t>
            </w:r>
            <w:r>
              <w:rPr>
                <w:rFonts w:ascii="楷体_GB2312" w:eastAsia="楷体_GB2312" w:cs="楷体_GB2312"/>
                <w:b/>
                <w:color w:val="000000" w:themeColor="text1"/>
                <w:sz w:val="20"/>
                <w:szCs w:val="20"/>
                <w14:textFill>
                  <w14:solidFill>
                    <w14:schemeClr w14:val="tx1"/>
                  </w14:solidFill>
                </w14:textFill>
              </w:rPr>
              <w:t>H</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hint="eastAsia" w:ascii="楷体_GB2312" w:eastAsia="楷体_GB2312" w:cs="楷体_GB2312"/>
                <w:b/>
                <w:sz w:val="20"/>
                <w:szCs w:val="20"/>
              </w:rPr>
              <w:t>。</w:t>
            </w:r>
          </w:p>
          <w:p>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2．申购费：</w:t>
            </w:r>
            <w:r>
              <w:rPr>
                <w:rFonts w:hint="eastAsia" w:ascii="楷体_GB2312" w:eastAsia="楷体_GB2312" w:cs="楷体_GB2312"/>
                <w:b/>
                <w:color w:val="000000" w:themeColor="text1"/>
                <w:sz w:val="20"/>
                <w:szCs w:val="20"/>
                <w14:textFill>
                  <w14:solidFill>
                    <w14:schemeClr w14:val="tx1"/>
                  </w14:solidFill>
                </w14:textFill>
              </w:rPr>
              <w:t>B类份额不收取申购费，G类份额不收取申购费，</w:t>
            </w:r>
            <w:r>
              <w:rPr>
                <w:rFonts w:ascii="楷体_GB2312" w:eastAsia="楷体_GB2312" w:cs="楷体_GB2312"/>
                <w:b/>
                <w:color w:val="000000" w:themeColor="text1"/>
                <w:sz w:val="20"/>
                <w:szCs w:val="20"/>
                <w14:textFill>
                  <w14:solidFill>
                    <w14:schemeClr w14:val="tx1"/>
                  </w14:solidFill>
                </w14:textFill>
              </w:rPr>
              <w:t>H</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3．赎回费：</w:t>
            </w:r>
            <w:r>
              <w:rPr>
                <w:rFonts w:hint="eastAsia" w:ascii="楷体_GB2312" w:eastAsia="楷体_GB2312" w:cs="楷体_GB2312"/>
                <w:b/>
                <w:color w:val="000000" w:themeColor="text1"/>
                <w:sz w:val="20"/>
                <w:szCs w:val="20"/>
                <w14:textFill>
                  <w14:solidFill>
                    <w14:schemeClr w14:val="tx1"/>
                  </w14:solidFill>
                </w14:textFill>
              </w:rPr>
              <w:t>B类份额不收取赎回费，G类份额不收取赎回费，</w:t>
            </w:r>
            <w:r>
              <w:rPr>
                <w:rFonts w:ascii="楷体_GB2312" w:eastAsia="楷体_GB2312" w:cs="楷体_GB2312"/>
                <w:b/>
                <w:color w:val="000000" w:themeColor="text1"/>
                <w:sz w:val="20"/>
                <w:szCs w:val="20"/>
                <w14:textFill>
                  <w14:solidFill>
                    <w14:schemeClr w14:val="tx1"/>
                  </w14:solidFill>
                </w14:textFill>
              </w:rPr>
              <w:t>H</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96" w:rightChars="4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4．销售服务费：</w:t>
            </w:r>
            <w:r>
              <w:rPr>
                <w:rFonts w:hint="eastAsia" w:ascii="楷体_GB2312" w:eastAsia="楷体_GB2312" w:cs="楷体_GB2312"/>
                <w:b/>
                <w:color w:val="000000" w:themeColor="text1"/>
                <w:sz w:val="20"/>
                <w:szCs w:val="20"/>
                <w14:textFill>
                  <w14:solidFill>
                    <w14:schemeClr w14:val="tx1"/>
                  </w14:solidFill>
                </w14:textFill>
              </w:rPr>
              <w:t>B类份额费率【0.30%】/年，G类份额费率【0.30%】/年，</w:t>
            </w:r>
            <w:r>
              <w:rPr>
                <w:rFonts w:ascii="楷体_GB2312" w:eastAsia="楷体_GB2312" w:cs="楷体_GB2312"/>
                <w:b/>
                <w:color w:val="000000" w:themeColor="text1"/>
                <w:sz w:val="20"/>
                <w:szCs w:val="20"/>
                <w14:textFill>
                  <w14:solidFill>
                    <w14:schemeClr w14:val="tx1"/>
                  </w14:solidFill>
                </w14:textFill>
              </w:rPr>
              <w:t>H</w:t>
            </w:r>
            <w:r>
              <w:rPr>
                <w:rFonts w:hint="eastAsia" w:ascii="楷体_GB2312" w:eastAsia="楷体_GB2312" w:cs="楷体_GB2312"/>
                <w:b/>
                <w:color w:val="000000" w:themeColor="text1"/>
                <w:sz w:val="20"/>
                <w:szCs w:val="20"/>
                <w14:textFill>
                  <w14:solidFill>
                    <w14:schemeClr w14:val="tx1"/>
                  </w14:solidFill>
                </w14:textFill>
              </w:rPr>
              <w:t>类份额费率【0.30%】/年</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5．托管费：费率【</w:t>
            </w:r>
            <w:r>
              <w:rPr>
                <w:rFonts w:hint="eastAsia" w:ascii="楷体_GB2312" w:eastAsia="楷体_GB2312" w:cs="楷体_GB2312"/>
                <w:b/>
                <w:color w:val="000000" w:themeColor="text1"/>
                <w:sz w:val="20"/>
                <w:szCs w:val="20"/>
                <w14:textFill>
                  <w14:solidFill>
                    <w14:schemeClr w14:val="tx1"/>
                  </w14:solidFill>
                </w14:textFill>
              </w:rPr>
              <w:t>0.03%</w:t>
            </w:r>
            <w:r>
              <w:rPr>
                <w:rFonts w:ascii="楷体_GB2312" w:eastAsia="楷体_GB2312" w:cs="楷体_GB2312"/>
                <w:b/>
                <w:color w:val="000000" w:themeColor="text1"/>
                <w:sz w:val="20"/>
                <w:szCs w:val="20"/>
                <w14:textFill>
                  <w14:solidFill>
                    <w14:schemeClr w14:val="tx1"/>
                  </w14:solidFill>
                </w14:textFill>
              </w:rPr>
              <w:t xml:space="preserve">】/年。 </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6．固定管理费：费率【</w:t>
            </w:r>
            <w:r>
              <w:rPr>
                <w:rFonts w:hint="eastAsia" w:ascii="楷体_GB2312" w:eastAsia="楷体_GB2312" w:cs="楷体_GB2312"/>
                <w:b/>
                <w:color w:val="000000" w:themeColor="text1"/>
                <w:sz w:val="20"/>
                <w:szCs w:val="20"/>
                <w14:textFill>
                  <w14:solidFill>
                    <w14:schemeClr w14:val="tx1"/>
                  </w14:solidFill>
                </w14:textFill>
              </w:rPr>
              <w:t>0.30%</w:t>
            </w:r>
            <w:r>
              <w:rPr>
                <w:rFonts w:ascii="楷体_GB2312" w:eastAsia="楷体_GB2312" w:cs="楷体_GB2312"/>
                <w:b/>
                <w:color w:val="000000" w:themeColor="text1"/>
                <w:sz w:val="20"/>
                <w:szCs w:val="20"/>
                <w14:textFill>
                  <w14:solidFill>
                    <w14:schemeClr w14:val="tx1"/>
                  </w14:solidFill>
                </w14:textFill>
              </w:rPr>
              <w:t>】/年。</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7．浮动管理费：</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B类、G类、</w:t>
            </w:r>
            <w:r>
              <w:rPr>
                <w:rFonts w:ascii="楷体_GB2312" w:eastAsia="楷体_GB2312" w:cs="楷体_GB2312"/>
                <w:b/>
                <w:color w:val="000000" w:themeColor="text1"/>
                <w:sz w:val="20"/>
                <w:szCs w:val="20"/>
                <w14:textFill>
                  <w14:solidFill>
                    <w14:schemeClr w14:val="tx1"/>
                  </w14:solidFill>
                </w14:textFill>
              </w:rPr>
              <w:t>H</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p>
          <w:p>
            <w:pPr>
              <w:snapToGrid w:val="0"/>
              <w:spacing w:line="300" w:lineRule="exact"/>
              <w:ind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w:t>
            </w:r>
            <w:r>
              <w:rPr>
                <w:rFonts w:ascii="楷体_GB2312" w:eastAsia="楷体_GB2312" w:cs="楷体_GB2312"/>
                <w:b/>
                <w:color w:val="000000" w:themeColor="text1"/>
                <w:sz w:val="20"/>
                <w:szCs w:val="20"/>
                <w14:textFill>
                  <w14:solidFill>
                    <w14:schemeClr w14:val="tx1"/>
                  </w14:solidFill>
                </w14:textFill>
              </w:rPr>
              <w:t>1-7</w:t>
            </w:r>
            <w:r>
              <w:rPr>
                <w:rFonts w:hint="eastAsia" w:ascii="楷体_GB2312" w:eastAsia="楷体_GB2312" w:cs="楷体_GB2312"/>
                <w:b/>
                <w:color w:val="000000" w:themeColor="text1"/>
                <w:sz w:val="20"/>
                <w:szCs w:val="20"/>
                <w14:textFill>
                  <w14:solidFill>
                    <w14:schemeClr w14:val="tx1"/>
                  </w14:solidFill>
                </w14:textFill>
              </w:rPr>
              <w:t>项费用</w:t>
            </w:r>
            <w:r>
              <w:rPr>
                <w:rFonts w:ascii="楷体_GB2312" w:eastAsia="楷体_GB2312" w:cs="楷体_GB2312"/>
                <w:b/>
                <w:color w:val="000000" w:themeColor="text1"/>
                <w:sz w:val="20"/>
                <w:szCs w:val="20"/>
                <w14:textFill>
                  <w14:solidFill>
                    <w14:schemeClr w14:val="tx1"/>
                  </w14:solidFill>
                </w14:textFill>
              </w:rPr>
              <w:t>金额均</w:t>
            </w:r>
            <w:r>
              <w:rPr>
                <w:rFonts w:hint="eastAsia" w:ascii="楷体_GB2312" w:eastAsia="楷体_GB2312" w:cs="楷体_GB2312"/>
                <w:b/>
                <w:color w:val="000000" w:themeColor="text1"/>
                <w:sz w:val="20"/>
                <w:szCs w:val="20"/>
                <w14:textFill>
                  <w14:solidFill>
                    <w14:schemeClr w14:val="tx1"/>
                  </w14:solidFill>
                </w14:textFill>
              </w:rPr>
              <w:t>四舍五入</w:t>
            </w:r>
            <w:r>
              <w:rPr>
                <w:rFonts w:ascii="楷体_GB2312" w:eastAsia="楷体_GB2312" w:cs="楷体_GB2312"/>
                <w:b/>
                <w:color w:val="000000" w:themeColor="text1"/>
                <w:sz w:val="20"/>
                <w:szCs w:val="20"/>
                <w14:textFill>
                  <w14:solidFill>
                    <w14:schemeClr w14:val="tx1"/>
                  </w14:solidFill>
                </w14:textFill>
              </w:rPr>
              <w:t>保留小数点后</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2】位。</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九、理财产品的费用</w:t>
            </w:r>
            <w:r>
              <w:rPr>
                <w:rFonts w:ascii="楷体_GB2312" w:eastAsia="楷体_GB2312" w:cs="楷体_GB2312"/>
                <w:b/>
                <w:color w:val="000000" w:themeColor="text1"/>
                <w:sz w:val="20"/>
                <w:szCs w:val="20"/>
                <w14:textFill>
                  <w14:solidFill>
                    <w14:schemeClr w14:val="tx1"/>
                  </w14:solidFill>
                </w14:textFill>
              </w:rPr>
              <w:t>”部分。</w:t>
            </w:r>
          </w:p>
          <w:p>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pPr>
              <w:snapToGrid w:val="0"/>
              <w:spacing w:line="300" w:lineRule="exact"/>
              <w:ind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w:t>
            </w:r>
            <w:r>
              <w:rPr>
                <w:rFonts w:ascii="Times New Roman" w:eastAsia="楷体_GB2312" w:cs="楷体_GB2312"/>
                <w:color w:val="000000" w:themeColor="text1"/>
                <w:sz w:val="20"/>
                <w:szCs w:val="20"/>
                <w14:textFill>
                  <w14:solidFill>
                    <w14:schemeClr w14:val="tx1"/>
                  </w14:solidFill>
                </w14:textFill>
              </w:rPr>
              <w:t>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873" w:type="pct"/>
            <w:vAlign w:val="center"/>
          </w:tcPr>
          <w:p>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873" w:type="pct"/>
            <w:vAlign w:val="center"/>
          </w:tcPr>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B类份额（份额代码【AF247175B】）合作销售机构信息：</w:t>
            </w:r>
            <w:r>
              <w:br w:type="textWrapping"/>
            </w:r>
            <w:r>
              <w:rPr>
                <w:rFonts w:hint="eastAsia" w:ascii="楷体_GB2312" w:eastAsia="楷体_GB2312" w:cs="楷体_GB2312"/>
                <w:color w:val="000000" w:themeColor="text1"/>
                <w:sz w:val="20"/>
                <w:szCs w:val="20"/>
                <w14:textFill>
                  <w14:solidFill>
                    <w14:schemeClr w14:val="tx1"/>
                  </w14:solidFill>
                </w14:textFill>
              </w:rPr>
              <w:t>1.企业名称：【浙江新昌农村商业银行股份有限公司】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统一社会信用代码：【913306007707448740】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住所：【浙江省新昌县七星街道七星路18号】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2.企业名称：【浙江杭州余杭农村商业银行股份有限公司】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统一社会信用代码：【9133010014387221XY】</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住所：【浙江省杭州市临平区南苑街道南大街72号】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3.企业名称：【浙江德清农村商业银行股份有限公司】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统一社会信用代码：【9133050076962455XQ】</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住所：【浙江省德清县武康街道沈长圩街50号】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4.企业名称：【浙江瑞安农村商业银行股份有限公司】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统一社会信用代码：【91330300773121154L】</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住所：【瑞安市安阳街道万松东路148号】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5.企业名称：【浙江富阳农村商业银行股份有限公司】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统一社会信用代码：【91330100YA3600224E】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住所：【浙江省杭州市富阳区鹿山街道依江路501号第1幢】</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6.企业名称：【浙江金华成泰农村商业银行股份有限公司】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统一社会信用代码：【91330700685598446M】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住所：【浙江省金华市八一南街123号】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7.企业名称：【浙江永康农村商业银行股份有限公司】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统一社会信用代码：【91330700563336405G】</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住所：【浙江省金华市永康市九铃东路3259号】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8.企业名称：【浙江东阳农村商业银行股份有限公司】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统一社会信用代码：【91330700147546390Q】</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住所：【东阳市双岘路18号】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9.企业名称：【浙江浦江农村商业银行股份有限公司】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统一社会信用代码：【913307261476928819】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住所：【浙江省浦江县人民东路90号】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10.企业名称：【浙江衢州柯城农村商业银行股份有限公司】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统一社会信用代码：【913308001477477826】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住所：【浙江省上街92号】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11.企业名称：【浙江衢州衢江农村商业银行股份有限公司】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统一社会信用代码：【91330800147752</w:t>
            </w:r>
            <w:r>
              <w:rPr>
                <w:rFonts w:ascii="楷体_GB2312" w:eastAsia="楷体_GB2312" w:cs="楷体_GB2312"/>
                <w:color w:val="000000" w:themeColor="text1"/>
                <w:sz w:val="20"/>
                <w:szCs w:val="20"/>
                <w14:textFill>
                  <w14:solidFill>
                    <w14:schemeClr w14:val="tx1"/>
                  </w14:solidFill>
                </w14:textFill>
              </w:rPr>
              <w:t>81</w:t>
            </w:r>
            <w:r>
              <w:rPr>
                <w:rFonts w:hint="eastAsia" w:ascii="楷体_GB2312" w:eastAsia="楷体_GB2312" w:cs="楷体_GB2312"/>
                <w:color w:val="000000" w:themeColor="text1"/>
                <w:sz w:val="20"/>
                <w:szCs w:val="20"/>
                <w14:textFill>
                  <w14:solidFill>
                    <w14:schemeClr w14:val="tx1"/>
                  </w14:solidFill>
                </w14:textFill>
              </w:rPr>
              <w:t>3B】</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住所：【浙江省衢州市衢江区樟潭街道信安东路37号】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12.企业名称：【浙江龙游农村商业银行股份有限公司】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统一社会信用代码：【91330825769632509M】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住所：【浙江省衢州市龙游县龙洲街道荣昌大道683、685、687号】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13.企业名称：【浙江江山农村商业银行股份有限公司】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统一社会信用代码：【913308001478831865】</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住所：【浙江省江山市双塔街道江滨路188号】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14.企业名称：【浙江常山农村商业银行股份有限公司】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统一社会信用代码：【91330822147845315H】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住所：【浙江省衢州市常山县天马街道人民路125号】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15.企业名称：【浙江开化农村商业银行股份有限公司】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统一社会信用代码：【913308241479259480】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住所：【浙江省衢州市开化县华埠镇永吉二路8号】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16.企业名称：【浙江丽水莲都农村商业银行股份有限公司】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统一社会信用代码：【91331100148440061D】</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住所：【浙江丽水市解放街438号】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17.企业名称：【浙江青田农村商业银行股份有限公司】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统一社会信用代码：【913311007757320399】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住所：【浙江省青田县鹤城街道鹤城东路180号】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18.企业名称：【浙江龙泉农村商业银行股份有限公司】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统一社会信用代码：【91331181148543853J】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住所：【浙江省丽水市龙泉市中山东路101号】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19.企业名称：【浙江遂昌农村商业银行股份有限公司】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统一社会信用代码：【91331123148661817E】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住所：【浙江省丽水市遂昌县妙高街道溪边路100号】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20.企业名称：【浙江松阳农村商业银行股份有限公司】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统一社会信用代码：【91331124148632856X】</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住所：【浙江省丽水市松阳县水南街道要津南路71号】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21.企业名称：【浙江景宁农村商业银行股份有限公司】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统一社会信用代码：【91331127704796094T】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住所：【浙江省丽水市景宁畲族自治县红星街道人民中路201号】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22.企业名称：【浙江台州椒江农村商业银行股份有限公司】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统一社会信用代码：【913310021482768636】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住所：【浙江省台州市椒江区工人东路322号】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23.企业名称：【浙江台州黄岩农村商业银行股份有限公司】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统一社会信用代码：【91331003770736460B】</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住所：【浙江省台州市黄岩区洞天路88号】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24.企业名称：【浙江台州路桥农村商业银行股份有限公司】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统一社会信用代码：【91331004771942717H】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住所：【浙江省台州市路桥区西路桥大道328号】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25.企业名称：【浙江温岭农村商业银行股份有限公司】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统一社会信用代码：【913310001489096329】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住所：【浙江省台州市温岭市城东街道下保路100号】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26.企业名称：【浙江天台农村商业银行股份有限公司】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统一社会信用代码：【91331000148073695C】</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住所：【浙江省天台县赤城街道飞鹤路358号】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27.企业名称：【浙江三门农村商业银行股份有限公司】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统一社会信用代码：【91331022774367359X】</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住所：【浙江省三门县海游街道上洋路68号】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28.企业名称：【浙江舟山定海海洋农村商业银行股份有限公司】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统一社会信用代码：【91330900148740320U】</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住所：【浙江省舟山市定海区环城东路81号】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29.企业名称：【浙江舟山普陀农村商业银行股份有限公司】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统一社会信用代码：【913309006831072360】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住所：【浙江省舟山市普陀区东港街道麒麟街225号（自贸试验区内）】</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30.企业名称：【湖州吴兴农村商业银行股份有限公司】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统一社会信用代码：【913305007782713708】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住所：【浙江省湖州市东街55号】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31.企业名称：【浙江临安农村商业银行股份有限公司】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统一社会信用代码：【913301851437582064】</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住所：【浙江省杭州市临安区锦城街道城中街442号】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32.企业名称：【浙江淳安农村商业银行股份有限公司】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统一社会信用代码：【9133012714400940XB】</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住所：【浙江省杭州市淳安县千岛湖镇环湖北路369号】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33.企业名称：【宁波北仑农村商业银行股份有限公司】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统一社会信用代码：【91330206144292356K】</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住所：【浙江省宁波市北仑区新</w:t>
            </w:r>
            <w:r>
              <w:rPr>
                <w:rFonts w:hint="eastAsia" w:ascii="微软雅黑" w:hAnsi="微软雅黑" w:eastAsia="微软雅黑" w:cs="微软雅黑"/>
                <w:color w:val="000000" w:themeColor="text1"/>
                <w:sz w:val="20"/>
                <w:szCs w:val="20"/>
                <w14:textFill>
                  <w14:solidFill>
                    <w14:schemeClr w14:val="tx1"/>
                  </w14:solidFill>
                </w14:textFill>
              </w:rPr>
              <w:t>碶</w:t>
            </w:r>
            <w:r>
              <w:rPr>
                <w:rFonts w:hint="eastAsia" w:ascii="楷体_GB2312" w:eastAsia="楷体_GB2312" w:cs="楷体_GB2312"/>
                <w:color w:val="000000" w:themeColor="text1"/>
                <w:sz w:val="20"/>
                <w:szCs w:val="20"/>
                <w14:textFill>
                  <w14:solidFill>
                    <w14:schemeClr w14:val="tx1"/>
                  </w14:solidFill>
                </w14:textFill>
              </w:rPr>
              <w:t>宝山路69号（凤凰国际商务广场）1幢69号、63号（凤凰国际商务广场）1幢（2-26层）】</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34.企业名称：【宁波奉化农村商业银行股份有限公司】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统一社会信用代码：【913302001448601066】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住所：【浙江省宁波市奉化区锦屏街道中山路27号】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35.企业名称：【宁波镇海农村商业银行股份有限公司】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统一社会信用代码：【91330200717212676J】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住所：【宁波市镇海区骆驼街道镇海大道中段788号】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36.企业名称：【宁波宁海农村商业银行股份有限公司】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统一社会信用代码：【91330200144938786M】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住所：【宁海县跃龙街道学勉路1号（金融中心）】</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37.企业名称：【宁波甬城农村商业银行股份有限公司】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统一社会信用代码：【91330205704848042N】</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住所：【浙江省宁波市江北区育才路15、17号】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38.企业名称：【浙江永嘉农村商业银行股份有限公司】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统一社会信用代码：【91330300693852088P】</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住所：【浙江省温州市永嘉县瓯北街道阳光大道3918号101室、201室、301室、401室、501室、1101室、1801室、2201室】</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39.企业名称：【浙江平阳农村商业银行股份有限公司】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统一社会信用代码：【91330300778260532C】</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住所：【浙江省平阳县鳌江镇车站大道999号】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40.企业名称：【浙江嘉善农村商业银行股份有限公司】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统一社会信用代码：【91330400146600914H】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住所：【浙江省嘉兴市嘉善县罗星街道车站南路999号】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41.企业名称：【浙江平湖农村商业银行股份有限公司】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统一社会信用代码：【913304821466775403】</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住所：【浙江省平湖市当湖街道胜利路518号】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42.企业名称：【浙江海宁农村商业银行股份有限公司】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统一社会信用代码：【91330400146707324M】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住所：【浙江省海宁市海洲街道钱江西路278号】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43.企业名称：【浙江海盐农村商业银行股份有限公司】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统一社会信用代码：【91330424254846268L】</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住所：【浙江省海盐县武原街道枣园西路176号】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44.企业名称：【浙江桐乡农村商业银行股份有限公司】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统一社会信用代码：【91330483146852863F】</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住所：【浙江省嘉兴市桐乡市梧桐街道校场东路59号】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45.企业名称：【浙江安吉农村商业银行股份有限公司】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统一社会信用代码：【91330500680700499G】</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住所：【浙江省湖州市安吉县昌硕街道昌硕东路1号】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46.企业名称：【浙江南浔农村商业银行股份有限公司】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统一社会信用代码：【913305001470196549】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住所：【浙江省湖州市南浔区南浔镇人瑞路1188号】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47.企业名称：【浙江上虞农村商业银行股份有限公司】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统一社会信用代码：【91330600146116161G】</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住所：【浙江省百官街道德盛路55号】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48.企业名称：【浙江缙云农村商业银行股份有限公司】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统一社会信用代码：【913311227047843259】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住所：【浙江省丽水市缙云县五云镇新区仙都路68号】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49.企业名称：【浙江义乌农村商业银行股份有限公司】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统一社会信用代码：【91330782609786576E】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住所：【浙江省义乌市福田街道城北路677号】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50.企业名称：【浙江兰溪农村商业银行股份有限公司】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统一社会信用代码：【91330781147387545R】</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住所：【浙江省兰溪市兰江街道丹溪大道18号】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51.企业名称：【浙江长兴农村商业银行股份有限公司】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统一社会信用代码：【91330522147148640A】</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住所：【浙江省湖州市长兴县太湖街道明珠路1298号】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52.企业名称：【浙江绍兴恒信农村商业银行股份有限公司】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统一社会信用代码：【9133060271252980XJ】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住所：【浙江省绍兴市中兴中路159号】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53.企业名称：【浙江武义农村商业银行股份有限公司】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统一社会信用代码：【91330723552860156J】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住所：【浙江省武义县城武阳中路37号】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54.企业名称：【浙江岱山农村商业银行股份有限公司】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统一社会信用代码：【91330921778250107N】</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住所：【浙江省舟山市岱山县高亭镇衢山大道1009号】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55.企业名称：【浙江仙居农村商业银行股份有限公司】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统一社会信用代码：【91331024148032965W】</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住所：【浙江省仙居县南峰街道穿城中路21号】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56.企业名称：【浙江玉环农村商业银行股份有限公司】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统一社会信用代码：【91331021704702414T】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住所：【浙江省玉环市玉城街道珠港大道26号】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57.企业名称：【浙江诸暨农村商业银行股份有限公司】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统一社会信用代码：【91330600146217704F】</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住所：【浙江省诸暨市暨阳街道大桥东路2号】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58.企业名称：【浙江临海农村商业银行股份有限公司】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统一社会信用代码：【91331000147999461D】</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住所：【浙江省台州市临海市大洋街道河阳路299号】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59.企业名称：【浙江建德农村商业银行股份有限公司】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统一社会信用代码：【9133018270429246XA】</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住所：【浙江省建德市新安江街道江滨中路176号】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60.企业名称：【浙江文成农村商业银行股份有限公司】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统一社会信用代码：【91330328145827746X】</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住所：【浙江省温州市文成县大</w:t>
            </w:r>
            <w:r>
              <w:rPr>
                <w:rFonts w:hint="eastAsia" w:ascii="微软雅黑" w:hAnsi="微软雅黑" w:eastAsia="微软雅黑" w:cs="微软雅黑"/>
                <w:color w:val="000000" w:themeColor="text1"/>
                <w:sz w:val="20"/>
                <w:szCs w:val="20"/>
                <w14:textFill>
                  <w14:solidFill>
                    <w14:schemeClr w14:val="tx1"/>
                  </w14:solidFill>
                </w14:textFill>
              </w:rPr>
              <w:t>峃</w:t>
            </w:r>
            <w:r>
              <w:rPr>
                <w:rFonts w:hint="eastAsia" w:ascii="楷体_GB2312" w:eastAsia="楷体_GB2312" w:cs="楷体_GB2312"/>
                <w:color w:val="000000" w:themeColor="text1"/>
                <w:sz w:val="20"/>
                <w:szCs w:val="20"/>
                <w14:textFill>
                  <w14:solidFill>
                    <w14:schemeClr w14:val="tx1"/>
                  </w14:solidFill>
                </w14:textFill>
              </w:rPr>
              <w:t>镇伯温路6号】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61.企业名称：【浙江萧山农村商业银行股份有限公司】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统一社会信用代码：【91330100143568234F】</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住所：【浙江省杭州市萧山区人民路258号】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62.企业名称：【浙江乐清农村商业银行股份有限公司】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统一社会信用代码：【91330300712576278B】</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住所：【乐清市城南街道伯乐西路99号】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63.企业名称：【宁波余姚农村商业银行股份有限公司】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统一社会信用代码：【91330281768530578N】</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住所：【余姚市新建路69号】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64.企业名称：【浙江桐庐农村商业银行股份有限公司】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统一社会信用代码：【913301228436000474】</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住所：【浙江省杭州市桐庐县城迎春南路278号】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65.企业名称：【杭州联合农村商业银行股份有限公司】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统一社会信用代码：【91330100773585469H】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住所：【浙江省杭州市上城区建国中路99号】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66.企业名称：【浙江温州鹿城农村商业银行股份有限公司】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统一社会信用代码：【91330300777212117L】</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住所：【浙江省温州市鹿城区会展路1500号富银大厦】</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67.企业名称：【浙江绍兴瑞丰农村商业银行股份有限公司】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统一社会信用代码：【91330600145965997H】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住所：【浙江省绍兴市柯桥区柯桥笛扬路1363号】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68.企业名称：【浙江禾城农村商业银行股份有限公司】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统一社会信用代码：【91330400146466356E】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住所：【浙江省嘉兴市经济技术开发区文昌路 1229 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企业名称：【浙江泰顺农村商业银行股份有限公司】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统一社会信用代码：【913303297043793629】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住所：【浙江省温州市泰顺县罗阳镇新城区文祥大道181号】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0.</w:t>
            </w:r>
            <w:r>
              <w:rPr>
                <w:rFonts w:hint="eastAsia" w:ascii="楷体_GB2312" w:eastAsia="楷体_GB2312" w:cs="楷体_GB2312"/>
                <w:color w:val="000000" w:themeColor="text1"/>
                <w:sz w:val="20"/>
                <w:szCs w:val="20"/>
                <w14:textFill>
                  <w14:solidFill>
                    <w14:schemeClr w14:val="tx1"/>
                  </w14:solidFill>
                </w14:textFill>
              </w:rPr>
              <w:t>企业名称：【浙江嵊州农村商业银行股份有限公司】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统一社会信用代码：【91330683146384641Y】</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住所：【浙江省嵊州市剡湖街道官河路398号】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71.</w:t>
            </w:r>
            <w:r>
              <w:rPr>
                <w:rFonts w:hint="eastAsia" w:ascii="楷体_GB2312" w:eastAsia="楷体_GB2312" w:cs="楷体_GB2312"/>
                <w:color w:val="000000" w:themeColor="text1"/>
                <w:sz w:val="20"/>
                <w:szCs w:val="20"/>
                <w14:textFill>
                  <w14:solidFill>
                    <w14:schemeClr w14:val="tx1"/>
                  </w14:solidFill>
                </w14:textFill>
              </w:rPr>
              <w:t>企业名称：【浙江庆元农村商业银行股份有限公司】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统一社会信用代码：【91331126609962015U】</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住所：【浙江省丽水市庆元县</w:t>
            </w:r>
            <w:r>
              <w:rPr>
                <w:rFonts w:hint="eastAsia" w:ascii="微软雅黑" w:hAnsi="微软雅黑" w:eastAsia="微软雅黑" w:cs="微软雅黑"/>
                <w:color w:val="000000" w:themeColor="text1"/>
                <w:sz w:val="20"/>
                <w:szCs w:val="20"/>
                <w14:textFill>
                  <w14:solidFill>
                    <w14:schemeClr w14:val="tx1"/>
                  </w14:solidFill>
                </w14:textFill>
              </w:rPr>
              <w:t>濛</w:t>
            </w:r>
            <w:r>
              <w:rPr>
                <w:rFonts w:hint="eastAsia" w:ascii="楷体_GB2312" w:eastAsia="楷体_GB2312" w:cs="楷体_GB2312"/>
                <w:color w:val="000000" w:themeColor="text1"/>
                <w:sz w:val="20"/>
                <w:szCs w:val="20"/>
                <w14:textFill>
                  <w14:solidFill>
                    <w14:schemeClr w14:val="tx1"/>
                  </w14:solidFill>
                </w14:textFill>
              </w:rPr>
              <w:t>洲街道云鹤路3号】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企业名称：【浙江温州瓯海农村商业银行股份有限公司】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91330300776489333D】</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住所：【浙江省温州市瓯海区瓯海大道</w:t>
            </w:r>
            <w:r>
              <w:rPr>
                <w:rFonts w:ascii="楷体_GB2312" w:eastAsia="楷体_GB2312" w:cs="楷体_GB2312"/>
                <w:color w:val="000000" w:themeColor="text1"/>
                <w:sz w:val="20"/>
                <w:szCs w:val="20"/>
                <w14:textFill>
                  <w14:solidFill>
                    <w14:schemeClr w14:val="tx1"/>
                  </w14:solidFill>
                </w14:textFill>
              </w:rPr>
              <w:t>989号】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r>
              <w:rPr>
                <w:rFonts w:ascii="楷体_GB2312" w:eastAsia="楷体_GB2312" w:cs="楷体_GB2312"/>
                <w:color w:val="000000" w:themeColor="text1"/>
                <w:sz w:val="20"/>
                <w:szCs w:val="20"/>
                <w14:textFill>
                  <w14:solidFill>
                    <w14:schemeClr w14:val="tx1"/>
                  </w14:solidFill>
                </w14:textFill>
              </w:rPr>
              <w: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企业名称：【浙江云和农村商业银行股份有限公司】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9133112514848825XE】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住所：【浙江省丽水市云和县浮云街道新建路</w:t>
            </w:r>
            <w:r>
              <w:rPr>
                <w:rFonts w:ascii="楷体_GB2312" w:eastAsia="楷体_GB2312" w:cs="楷体_GB2312"/>
                <w:color w:val="000000" w:themeColor="text1"/>
                <w:sz w:val="20"/>
                <w:szCs w:val="20"/>
                <w14:textFill>
                  <w14:solidFill>
                    <w14:schemeClr w14:val="tx1"/>
                  </w14:solidFill>
                </w14:textFill>
              </w:rPr>
              <w:t>72号】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74.企业名称：【</w:t>
            </w:r>
            <w:r>
              <w:rPr>
                <w:rFonts w:hint="eastAsia" w:ascii="楷体_GB2312" w:eastAsia="楷体_GB2312" w:cs="楷体_GB2312"/>
                <w:color w:val="000000" w:themeColor="text1"/>
                <w:sz w:val="20"/>
                <w:szCs w:val="20"/>
                <w14:textFill>
                  <w14:solidFill>
                    <w14:schemeClr w14:val="tx1"/>
                  </w14:solidFill>
                </w14:textFill>
              </w:rPr>
              <w:t>宁波慈溪农村商业银行股份有限公司</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统一社会信用代码：【91330200144756720Q】</w:t>
            </w:r>
            <w:r>
              <w:br w:type="textWrapping"/>
            </w:r>
            <w:r>
              <w:rPr>
                <w:rFonts w:ascii="楷体_GB2312" w:eastAsia="楷体_GB2312" w:cs="楷体_GB2312"/>
                <w:color w:val="000000" w:themeColor="text1"/>
                <w:sz w:val="20"/>
                <w:szCs w:val="20"/>
                <w14:textFill>
                  <w14:solidFill>
                    <w14:schemeClr w14:val="tx1"/>
                  </w14:solidFill>
                </w14:textFill>
              </w:rPr>
              <w:t>住所：【</w:t>
            </w:r>
            <w:r>
              <w:rPr>
                <w:rFonts w:hint="eastAsia" w:ascii="楷体_GB2312" w:eastAsia="楷体_GB2312" w:cs="楷体_GB2312"/>
                <w:color w:val="000000" w:themeColor="text1"/>
                <w:sz w:val="20"/>
                <w:szCs w:val="20"/>
                <w14:textFill>
                  <w14:solidFill>
                    <w14:schemeClr w14:val="tx1"/>
                  </w14:solidFill>
                </w14:textFill>
              </w:rPr>
              <w:t>浙江省慈溪市浒山街道南城路</w:t>
            </w:r>
            <w:r>
              <w:rPr>
                <w:rFonts w:ascii="楷体_GB2312" w:eastAsia="楷体_GB2312" w:cs="楷体_GB2312"/>
                <w:color w:val="000000" w:themeColor="text1"/>
                <w:sz w:val="20"/>
                <w:szCs w:val="20"/>
                <w14:textFill>
                  <w14:solidFill>
                    <w14:schemeClr w14:val="tx1"/>
                  </w14:solidFill>
                </w14:textFill>
              </w:rPr>
              <w:t>25号、59号5-6楼】</w:t>
            </w:r>
            <w:r>
              <w:br w:type="textWrapping"/>
            </w:r>
            <w:r>
              <w:rPr>
                <w:rFonts w:ascii="楷体_GB2312" w:eastAsia="楷体_GB2312" w:cs="楷体_GB2312"/>
                <w:color w:val="000000" w:themeColor="text1"/>
                <w:sz w:val="20"/>
                <w:szCs w:val="20"/>
                <w14:textFill>
                  <w14:solidFill>
                    <w14:schemeClr w14:val="tx1"/>
                  </w14:solidFill>
                </w14:textFill>
              </w:rPr>
              <w:t>客户服务热线：【</w:t>
            </w:r>
            <w:r>
              <w:rPr>
                <w:rFonts w:hint="eastAsia" w:ascii="楷体_GB2312" w:eastAsia="楷体_GB2312" w:cs="楷体_GB2312"/>
                <w:color w:val="000000" w:themeColor="text1"/>
                <w:sz w:val="20"/>
                <w:szCs w:val="20"/>
                <w14:textFill>
                  <w14:solidFill>
                    <w14:schemeClr w14:val="tx1"/>
                  </w14:solidFill>
                </w14:textFill>
              </w:rPr>
              <w:t>0571-96596</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75.企业名称：【</w:t>
            </w:r>
            <w:r>
              <w:rPr>
                <w:rFonts w:hint="eastAsia" w:ascii="楷体_GB2312" w:eastAsia="楷体_GB2312" w:cs="楷体_GB2312"/>
                <w:color w:val="000000" w:themeColor="text1"/>
                <w:sz w:val="20"/>
                <w:szCs w:val="20"/>
                <w14:textFill>
                  <w14:solidFill>
                    <w14:schemeClr w14:val="tx1"/>
                  </w14:solidFill>
                </w14:textFill>
              </w:rPr>
              <w:t>宁波银行股份有限公司</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统一社会信用代码：【91330200711192037M】</w:t>
            </w:r>
            <w:r>
              <w:br w:type="textWrapping"/>
            </w:r>
            <w:r>
              <w:rPr>
                <w:rFonts w:ascii="楷体_GB2312" w:eastAsia="楷体_GB2312" w:cs="楷体_GB2312"/>
                <w:color w:val="000000" w:themeColor="text1"/>
                <w:sz w:val="20"/>
                <w:szCs w:val="20"/>
                <w14:textFill>
                  <w14:solidFill>
                    <w14:schemeClr w14:val="tx1"/>
                  </w14:solidFill>
                </w14:textFill>
              </w:rPr>
              <w:t>住所：【</w:t>
            </w:r>
            <w:r>
              <w:rPr>
                <w:rFonts w:hint="eastAsia" w:ascii="楷体_GB2312" w:eastAsia="楷体_GB2312" w:cs="楷体_GB2312"/>
                <w:color w:val="000000" w:themeColor="text1"/>
                <w:sz w:val="20"/>
                <w:szCs w:val="20"/>
                <w14:textFill>
                  <w14:solidFill>
                    <w14:schemeClr w14:val="tx1"/>
                  </w14:solidFill>
                </w14:textFill>
              </w:rPr>
              <w:t>浙江省宁波市鄞州区宁东路</w:t>
            </w:r>
            <w:r>
              <w:rPr>
                <w:rFonts w:ascii="楷体_GB2312" w:eastAsia="楷体_GB2312" w:cs="楷体_GB2312"/>
                <w:color w:val="000000" w:themeColor="text1"/>
                <w:sz w:val="20"/>
                <w:szCs w:val="20"/>
                <w14:textFill>
                  <w14:solidFill>
                    <w14:schemeClr w14:val="tx1"/>
                  </w14:solidFill>
                </w14:textFill>
              </w:rPr>
              <w:t>345号】</w:t>
            </w:r>
            <w:r>
              <w:br w:type="textWrapping"/>
            </w:r>
            <w:r>
              <w:rPr>
                <w:rFonts w:ascii="楷体_GB2312" w:eastAsia="楷体_GB2312" w:cs="楷体_GB2312"/>
                <w:color w:val="000000" w:themeColor="text1"/>
                <w:sz w:val="20"/>
                <w:szCs w:val="20"/>
                <w14:textFill>
                  <w14:solidFill>
                    <w14:schemeClr w14:val="tx1"/>
                  </w14:solidFill>
                </w14:textFill>
              </w:rPr>
              <w:t>客户服务热线：【95574】</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76. 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77.企业名称：【宁波鄞州农村商业银行股份有限公司】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91330212144417235R】</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住所：【浙江省宁波市鄞州区民惠西路</w:t>
            </w:r>
            <w:r>
              <w:rPr>
                <w:rFonts w:ascii="楷体_GB2312" w:eastAsia="楷体_GB2312" w:cs="楷体_GB2312"/>
                <w:color w:val="000000" w:themeColor="text1"/>
                <w:sz w:val="20"/>
                <w:szCs w:val="20"/>
                <w14:textFill>
                  <w14:solidFill>
                    <w14:schemeClr w14:val="tx1"/>
                  </w14:solidFill>
                </w14:textFill>
              </w:rPr>
              <w:t>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956058】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78.企业名称：【浙江温州龙湾农村商业银行股份有限公司】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统一社会信用代码：【913303007772078015】</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住所：【浙江省温州市龙湾区永中街道永宁西路555号】</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79</w:t>
            </w:r>
            <w:r>
              <w:rPr>
                <w:rFonts w:hint="eastAsia" w:ascii="楷体_GB2312" w:eastAsia="楷体_GB2312" w:cs="楷体_GB2312"/>
                <w:color w:val="000000" w:themeColor="text1"/>
                <w:sz w:val="20"/>
                <w:szCs w:val="20"/>
                <w14:textFill>
                  <w14:solidFill>
                    <w14:schemeClr w14:val="tx1"/>
                  </w14:solidFill>
                </w14:textFill>
              </w:rPr>
              <w:t>.企业名称：【江苏扬州农村商业银行股份有限公司】</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统一社会信用代码：【9132100014073476XX】</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住所：【江苏省扬州市同泰路107号】</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80</w:t>
            </w:r>
            <w:r>
              <w:rPr>
                <w:rFonts w:hint="eastAsia" w:ascii="楷体_GB2312" w:eastAsia="楷体_GB2312" w:cs="楷体_GB2312"/>
                <w:color w:val="000000" w:themeColor="text1"/>
                <w:sz w:val="20"/>
                <w:szCs w:val="20"/>
                <w14:textFill>
                  <w14:solidFill>
                    <w14:schemeClr w14:val="tx1"/>
                  </w14:solidFill>
                </w14:textFill>
              </w:rPr>
              <w:t>.企业名称：【江苏民丰农村商业银行股份有限公司】</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统一社会信用代码：【9132130068353983XJ】</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住所：【江苏省宿迁市宿城区高宝湖路1号 】</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81</w:t>
            </w:r>
            <w:r>
              <w:rPr>
                <w:rFonts w:hint="eastAsia" w:ascii="楷体_GB2312" w:eastAsia="楷体_GB2312" w:cs="楷体_GB2312"/>
                <w:color w:val="000000" w:themeColor="text1"/>
                <w:sz w:val="20"/>
                <w:szCs w:val="20"/>
                <w14:textFill>
                  <w14:solidFill>
                    <w14:schemeClr w14:val="tx1"/>
                  </w14:solidFill>
                </w14:textFill>
              </w:rPr>
              <w:t>.企业名称：【江苏射阳农村商业银行股份有限公司】</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统一社会信用代码：【913209001405584874】</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住所：【江苏省盐城市射阳县合德镇解放路385号 】</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客户服务热线：【0515-69966666】</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82</w:t>
            </w:r>
            <w:r>
              <w:rPr>
                <w:rFonts w:hint="eastAsia" w:ascii="楷体_GB2312" w:eastAsia="楷体_GB2312" w:cs="楷体_GB2312"/>
                <w:color w:val="000000" w:themeColor="text1"/>
                <w:sz w:val="20"/>
                <w:szCs w:val="20"/>
                <w14:textFill>
                  <w14:solidFill>
                    <w14:schemeClr w14:val="tx1"/>
                  </w14:solidFill>
                </w14:textFill>
              </w:rPr>
              <w:t>.企业名称：【江苏响水农村商业银行股份有限公司】</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统一社会信用代码：【91320900703856446L】</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住所：【江苏省盐城市响水县双园路84号】</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83</w:t>
            </w:r>
            <w:r>
              <w:rPr>
                <w:rFonts w:hint="eastAsia" w:ascii="楷体_GB2312" w:eastAsia="楷体_GB2312" w:cs="楷体_GB2312"/>
                <w:color w:val="000000" w:themeColor="text1"/>
                <w:sz w:val="20"/>
                <w:szCs w:val="20"/>
                <w14:textFill>
                  <w14:solidFill>
                    <w14:schemeClr w14:val="tx1"/>
                  </w14:solidFill>
                </w14:textFill>
              </w:rPr>
              <w:t>.企业名称：【江苏姜堰农村商业银行股份有限公司】</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统一社会信用代码：【913212001419478711】</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住所：【泰州市姜堰区姜堰大道128号】</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84</w:t>
            </w:r>
            <w:r>
              <w:rPr>
                <w:rFonts w:hint="eastAsia" w:ascii="楷体_GB2312" w:eastAsia="楷体_GB2312" w:cs="楷体_GB2312"/>
                <w:color w:val="000000" w:themeColor="text1"/>
                <w:sz w:val="20"/>
                <w:szCs w:val="20"/>
                <w14:textFill>
                  <w14:solidFill>
                    <w14:schemeClr w14:val="tx1"/>
                  </w14:solidFill>
                </w14:textFill>
              </w:rPr>
              <w:t>.企业名称：【江苏靖江农村商业银行股份有限公司】</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统一社会信用代码：【913212001411273988】</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住所：【江苏省靖江市南环西路12号】</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客户服务热线：【96008】</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lang w:val="en-US" w:eastAsia="zh-CN"/>
                <w14:textFill>
                  <w14:solidFill>
                    <w14:schemeClr w14:val="tx1"/>
                  </w14:solidFill>
                </w14:textFill>
              </w:rPr>
              <w:t>85</w:t>
            </w:r>
            <w:r>
              <w:rPr>
                <w:rFonts w:hint="eastAsia" w:ascii="楷体_GB2312" w:eastAsia="楷体_GB2312" w:cs="楷体_GB2312"/>
                <w:color w:val="000000" w:themeColor="text1"/>
                <w:sz w:val="20"/>
                <w:szCs w:val="20"/>
                <w14:textFill>
                  <w14:solidFill>
                    <w14:schemeClr w14:val="tx1"/>
                  </w14:solidFill>
                </w14:textFill>
              </w:rPr>
              <w:t>.企业名称：【徐州农村商业银行股份有限公司】</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统一社会信用代码：【91320300MA22FQ7C8J】</w:t>
            </w:r>
          </w:p>
          <w:p>
            <w:pPr>
              <w:spacing w:line="300" w:lineRule="atLeast"/>
              <w:ind w:right="31"/>
              <w:rPr>
                <w:rFonts w:hint="eastAsia"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住所：【徐州市铜山区北京南路26号】</w:t>
            </w:r>
          </w:p>
          <w:p>
            <w:pPr>
              <w:spacing w:line="300" w:lineRule="atLeast"/>
              <w:ind w:right="31"/>
            </w:pPr>
            <w:r>
              <w:rPr>
                <w:rFonts w:hint="eastAsia" w:ascii="楷体_GB2312" w:eastAsia="楷体_GB2312" w:cs="楷体_GB2312"/>
                <w:color w:val="000000" w:themeColor="text1"/>
                <w:sz w:val="20"/>
                <w:szCs w:val="20"/>
                <w14:textFill>
                  <w14:solidFill>
                    <w14:schemeClr w14:val="tx1"/>
                  </w14:solidFill>
                </w14:textFill>
              </w:rPr>
              <w:t>客户服务热线：【96008】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br w:type="textWrapping"/>
            </w:r>
            <w:r>
              <w:rPr>
                <w:rFonts w:ascii="楷体_GB2312" w:eastAsia="楷体_GB2312" w:cs="楷体_GB2312"/>
                <w:color w:val="000000" w:themeColor="text1"/>
                <w:sz w:val="20"/>
                <w:szCs w:val="20"/>
                <w14:textFill>
                  <w14:solidFill>
                    <w14:schemeClr w14:val="tx1"/>
                  </w14:solidFill>
                </w14:textFill>
              </w:rPr>
              <w:t>G类份额（份额代码【AF247175G】）合作销售机构信息（销售简称：</w:t>
            </w:r>
            <w:r>
              <w:rPr>
                <w:rFonts w:hint="eastAsia" w:ascii="楷体_GB2312" w:eastAsia="楷体_GB2312" w:cs="楷体_GB2312"/>
                <w:color w:val="000000" w:themeColor="text1"/>
                <w:sz w:val="20"/>
                <w:szCs w:val="20"/>
                <w14:textFill>
                  <w14:solidFill>
                    <w14:schemeClr w14:val="tx1"/>
                  </w14:solidFill>
                </w14:textFill>
              </w:rPr>
              <w:t>安盈象固收稳健丰收</w:t>
            </w:r>
            <w:r>
              <w:rPr>
                <w:rFonts w:ascii="楷体_GB2312" w:eastAsia="楷体_GB2312" w:cs="楷体_GB2312"/>
                <w:color w:val="000000" w:themeColor="text1"/>
                <w:sz w:val="20"/>
                <w:szCs w:val="20"/>
                <w14:textFill>
                  <w14:solidFill>
                    <w14:schemeClr w14:val="tx1"/>
                  </w14:solidFill>
                </w14:textFill>
              </w:rPr>
              <w:t>ESG六个月持有期1号（新客专享））：</w:t>
            </w:r>
            <w:r>
              <w:br w:type="textWrapping"/>
            </w:r>
            <w:r>
              <w:rPr>
                <w:rFonts w:hint="eastAsia" w:ascii="楷体_GB2312" w:eastAsia="楷体_GB2312" w:cs="楷体_GB2312"/>
                <w:color w:val="000000" w:themeColor="text1"/>
                <w:sz w:val="20"/>
                <w:szCs w:val="20"/>
                <w14:textFill>
                  <w14:solidFill>
                    <w14:schemeClr w14:val="tx1"/>
                  </w14:solidFill>
                </w14:textFill>
              </w:rPr>
              <w:t>1.企业名称：【浙江新昌农村商业银行股份有限公司】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统一社会信用代码：【913306007707448740】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住所：【浙江省新昌县七星街道七星路18号】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2.企业名称：【浙江杭州余杭农村商业银行股份有限公司】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统一社会信用代码：【9133010014387221XY】</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住所：【浙江省杭州市临平区南苑街道南大街72号】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3.企业名称：【浙江德清农村商业银行股份有限公司】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统一社会信用代码：【9133050076962455XQ】</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住所：【浙江省德清县武康街道沈长圩街50号】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4.企业名称：【浙江瑞安农村商业银行股份有限公司】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统一社会信用代码：【91330300773121154L】</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住所：【瑞安市安阳街道万松东路148号】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5.企业名称：【浙江富阳农村商业银行股份有限公司】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统一社会信用代码：【91330100YA3600224E】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住所：【浙江省杭州市富阳区鹿山街道依江路501号第1幢】</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6.企业名称：【浙江金华成泰农村商业银行股份有限公司】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统一社会信用代码：【91330700685598446M】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住所：【浙江省金华市八一南街123号】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7.企业名称：【浙江永康农村商业银行股份有限公司】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统一社会信用代码：【91330700563336405G】</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住所：【浙江省金华市永康市九铃东路3259号】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8.企业名称：【浙江东阳农村商业银行股份有限公司】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统一社会信用代码：【91330700147546390Q】</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住所：【东阳市双岘路18号】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9.企业名称：【浙江浦江农村商业银行股份有限公司】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统一社会信用代码：【913307261476928819】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住所：【浙江省浦江县人民东路90号】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10.企业名称：【浙江衢州柯城农村商业银行股份有限公司】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统一社会信用代码：【913308001477477826】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住所：【浙江省上街92号】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11.企业名称：【浙江衢州衢江农村商业银行股份有限公司】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统一社会信用代码：【91330800147752</w:t>
            </w:r>
            <w:r>
              <w:rPr>
                <w:rFonts w:ascii="楷体_GB2312" w:eastAsia="楷体_GB2312" w:cs="楷体_GB2312"/>
                <w:color w:val="000000" w:themeColor="text1"/>
                <w:sz w:val="20"/>
                <w:szCs w:val="20"/>
                <w14:textFill>
                  <w14:solidFill>
                    <w14:schemeClr w14:val="tx1"/>
                  </w14:solidFill>
                </w14:textFill>
              </w:rPr>
              <w:t>81</w:t>
            </w:r>
            <w:r>
              <w:rPr>
                <w:rFonts w:hint="eastAsia" w:ascii="楷体_GB2312" w:eastAsia="楷体_GB2312" w:cs="楷体_GB2312"/>
                <w:color w:val="000000" w:themeColor="text1"/>
                <w:sz w:val="20"/>
                <w:szCs w:val="20"/>
                <w14:textFill>
                  <w14:solidFill>
                    <w14:schemeClr w14:val="tx1"/>
                  </w14:solidFill>
                </w14:textFill>
              </w:rPr>
              <w:t>3B】</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住所：【浙江省衢州市衢江区樟潭街道信安东路37号】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12.企业名称：【浙江龙游农村商业银行股份有限公司】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统一社会信用代码：【91330825769632509M】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住所：【浙江省衢州市龙游县龙洲街道荣昌大道683、685、687号】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13.企业名称：【浙江江山农村商业银行股份有限公司】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统一社会信用代码：【913308001478831865】</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住所：【浙江省江山市双塔街道江滨路188号】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14.企业名称：【浙江常山农村商业银行股份有限公司】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统一社会信用代码：【91330822147845315H】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住所：【浙江省衢州市常山县天马街道人民路125号】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15.企业名称：【浙江开化农村商业银行股份有限公司】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统一社会信用代码：【913308241479259480】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住所：【浙江省衢州市开化县华埠镇永吉二路8号】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16.企业名称：【浙江丽水莲都农村商业银行股份有限公司】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统一社会信用代码：【91331100148440061D】</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住所：【浙江丽水市解放街438号】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17.企业名称：【浙江青田农村商业银行股份有限公司】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统一社会信用代码：【913311007757320399】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住所：【浙江省青田县鹤城街道鹤城东路180号】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18.企业名称：【浙江龙泉农村商业银行股份有限公司】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统一社会信用代码：【91331181148543853J】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住所：【浙江省丽水市龙泉市中山东路101号】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19.企业名称：【浙江遂昌农村商业银行股份有限公司】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统一社会信用代码：【91331123148661817E】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住所：【浙江省丽水市遂昌县妙高街道溪边路100号】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20.企业名称：【浙江松阳农村商业银行股份有限公司】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统一社会信用代码：【91331124148632856X】</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住所：【浙江省丽水市松阳县水南街道要津南路71号】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21.企业名称：【浙江景宁农村商业银行股份有限公司】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统一社会信用代码：【91331127704796094T】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住所：【浙江省丽水市景宁畲族自治县红星街道人民中路201号】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22.企业名称：【浙江台州椒江农村商业银行股份有限公司】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统一社会信用代码：【913310021482768636】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住所：【浙江省台州市椒江区工人东路322号】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23.企业名称：【浙江台州黄岩农村商业银行股份有限公司】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统一社会信用代码：【91331003770736460B】</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住所：【浙江省台州市黄岩区洞天路88号】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24.企业名称：【浙江台州路桥农村商业银行股份有限公司】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统一社会信用代码：【91331004771942717H】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住所：【浙江省台州市路桥区西路桥大道328号】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25.企业名称：【浙江温岭农村商业银行股份有限公司】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统一社会信用代码：【913310001489096329】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住所：【浙江省台州市温岭市城东街道下保路100号】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26.企业名称：【浙江天台农村商业银行股份有限公司】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统一社会信用代码：【91331000148073695C】</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住所：【浙江省天台县赤城街道飞鹤路358号】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27.企业名称：【浙江三门农村商业银行股份有限公司】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统一社会信用代码：【91331022774367359X】</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住所：【浙江省三门县海游街道上洋路68号】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28.企业名称：【浙江舟山定海海洋农村商业银行股份有限公司】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统一社会信用代码：【91330900148740320U】</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住所：【浙江省舟山市定海区环城东路81号】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29.企业名称：【浙江舟山普陀农村商业银行股份有限公司】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统一社会信用代码：【913309006831072360】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住所：【浙江省舟山市普陀区东港街道麒麟街225号（自贸试验区内）】</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30.企业名称：【湖州吴兴农村商业银行股份有限公司】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统一社会信用代码：【913305007782713708】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住所：【浙江省湖州市东街55号】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31.企业名称：【浙江临安农村商业银行股份有限公司】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统一社会信用代码：【913301851437582064】</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住所：【浙江省杭州市临安区锦城街道城中街442号】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32.企业名称：【浙江淳安农村商业银行股份有限公司】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统一社会信用代码：【9133012714400940XB】</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住所：【浙江省杭州市淳安县千岛湖镇环湖北路369号】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33.企业名称：【宁波北仑农村商业银行股份有限公司】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统一社会信用代码：【91330206144292356K】</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住所：【浙江省宁波市北仑区新</w:t>
            </w:r>
            <w:r>
              <w:rPr>
                <w:rFonts w:hint="eastAsia" w:ascii="微软雅黑" w:hAnsi="微软雅黑" w:eastAsia="微软雅黑" w:cs="微软雅黑"/>
                <w:color w:val="000000" w:themeColor="text1"/>
                <w:sz w:val="20"/>
                <w:szCs w:val="20"/>
                <w14:textFill>
                  <w14:solidFill>
                    <w14:schemeClr w14:val="tx1"/>
                  </w14:solidFill>
                </w14:textFill>
              </w:rPr>
              <w:t>碶</w:t>
            </w:r>
            <w:r>
              <w:rPr>
                <w:rFonts w:hint="eastAsia" w:ascii="楷体_GB2312" w:eastAsia="楷体_GB2312" w:cs="楷体_GB2312"/>
                <w:color w:val="000000" w:themeColor="text1"/>
                <w:sz w:val="20"/>
                <w:szCs w:val="20"/>
                <w14:textFill>
                  <w14:solidFill>
                    <w14:schemeClr w14:val="tx1"/>
                  </w14:solidFill>
                </w14:textFill>
              </w:rPr>
              <w:t>宝山路69号（凤凰国际商务广场）1幢69号、63号（凤凰国际商务广场）1幢（2-26层）】</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34.企业名称：【宁波奉化农村商业银行股份有限公司】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统一社会信用代码：【913302001448601066】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住所：【浙江省宁波市奉化区锦屏街道中山路27号】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35.企业名称：【宁波镇海农村商业银行股份有限公司】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统一社会信用代码：【91330200717212676J】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住所：【宁波市镇海区骆驼街道镇海大道中段788号】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36.企业名称：【宁波宁海农村商业银行股份有限公司】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统一社会信用代码：【91330200144938786M】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住所：【宁海县跃龙街道学勉路1号（金融中心）】</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37.企业名称：【宁波甬城农村商业银行股份有限公司】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统一社会信用代码：【91330205704848042N】</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住所：【浙江省宁波市江北区育才路15、17号】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38.企业名称：【浙江永嘉农村商业银行股份有限公司】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统一社会信用代码：【91330300693852088P】</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住所：【浙江省温州市永嘉县瓯北街道阳光大道3918号101室、201室、301室、401室、501室、1101室、1801室、2201室】</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39.企业名称：【浙江平阳农村商业银行股份有限公司】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统一社会信用代码：【91330300778260532C】</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住所：【浙江省平阳县鳌江镇车站大道999号】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40.企业名称：【浙江嘉善农村商业银行股份有限公司】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统一社会信用代码：【91330400146600914H】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住所：【浙江省嘉兴市嘉善县罗星街道车站南路999号】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41.企业名称：【浙江平湖农村商业银行股份有限公司】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统一社会信用代码：【913304821466775403】</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住所：【浙江省平湖市当湖街道胜利路518号】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42.企业名称：【浙江海宁农村商业银行股份有限公司】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统一社会信用代码：【91330400146707324M】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住所：【浙江省海宁市海洲街道钱江西路278号】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43.企业名称：【浙江海盐农村商业银行股份有限公司】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统一社会信用代码：【91330424254846268L】</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住所：【浙江省海盐县武原街道枣园西路176号】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44.企业名称：【浙江桐乡农村商业银行股份有限公司】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统一社会信用代码：【91330483146852863F】</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住所：【浙江省嘉兴市桐乡市梧桐街道校场东路59号】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45.企业名称：【浙江安吉农村商业银行股份有限公司】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统一社会信用代码：【91330500680700499G】</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住所：【浙江省湖州市安吉县昌硕街道昌硕东路1号】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46.企业名称：【浙江南浔农村商业银行股份有限公司】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统一社会信用代码：【913305001470196549】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住所：【浙江省湖州市南浔区南浔镇人瑞路1188号】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47.企业名称：【浙江上虞农村商业银行股份有限公司】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统一社会信用代码：【91330600146116161G】</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住所：【浙江省百官街道德盛路55号】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48.企业名称：【浙江缙云农村商业银行股份有限公司】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统一社会信用代码：【913311227047843259】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住所：【浙江省丽水市缙云县五云镇新区仙都路68号】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49.企业名称：【浙江义乌农村商业银行股份有限公司】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统一社会信用代码：【91330782609786576E】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住所：【浙江省义乌市福田街道城北路677号】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50.企业名称：【浙江兰溪农村商业银行股份有限公司】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统一社会信用代码：【91330781147387545R】</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住所：【浙江省兰溪市兰江街道丹溪大道18号】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51.企业名称：【浙江长兴农村商业银行股份有限公司】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统一社会信用代码：【91330522147148640A】</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住所：【浙江省湖州市长兴县太湖街道明珠路1298号】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52.企业名称：【浙江绍兴恒信农村商业银行股份有限公司】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统一社会信用代码：【9133060271252980XJ】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住所：【浙江省绍兴市中兴中路159号】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53.企业名称：【浙江武义农村商业银行股份有限公司】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统一社会信用代码：【91330723552860156J】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住所：【浙江省武义县城武阳中路37号】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54.企业名称：【浙江岱山农村商业银行股份有限公司】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统一社会信用代码：【91330921778250107N】</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住所：【浙江省舟山市岱山县高亭镇衢山大道1009号】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55.企业名称：【浙江仙居农村商业银行股份有限公司】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统一社会信用代码：【91331024148032965W】</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住所：【浙江省仙居县南峰街道穿城中路21号】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56.企业名称：【浙江玉环农村商业银行股份有限公司】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统一社会信用代码：【91331021704702414T】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住所：【浙江省玉环市玉城街道珠港大道26号】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57.企业名称：【浙江诸暨农村商业银行股份有限公司】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统一社会信用代码：【91330600146217704F】</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住所：【浙江省诸暨市暨阳街道大桥东路2号】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58.企业名称：【浙江临海农村商业银行股份有限公司】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统一社会信用代码：【91331000147999461D】</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住所：【浙江省台州市临海市大洋街道河阳路299号】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59.企业名称：【浙江建德农村商业银行股份有限公司】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统一社会信用代码：【9133018270429246XA】</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住所：【浙江省建德市新安江街道江滨中路176号】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60.企业名称：【浙江文成农村商业银行股份有限公司】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统一社会信用代码：【91330328145827746X】</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住所：【浙江省温州市文成县大</w:t>
            </w:r>
            <w:r>
              <w:rPr>
                <w:rFonts w:hint="eastAsia" w:ascii="微软雅黑" w:hAnsi="微软雅黑" w:eastAsia="微软雅黑" w:cs="微软雅黑"/>
                <w:color w:val="000000" w:themeColor="text1"/>
                <w:sz w:val="20"/>
                <w:szCs w:val="20"/>
                <w14:textFill>
                  <w14:solidFill>
                    <w14:schemeClr w14:val="tx1"/>
                  </w14:solidFill>
                </w14:textFill>
              </w:rPr>
              <w:t>峃</w:t>
            </w:r>
            <w:r>
              <w:rPr>
                <w:rFonts w:hint="eastAsia" w:ascii="楷体_GB2312" w:eastAsia="楷体_GB2312" w:cs="楷体_GB2312"/>
                <w:color w:val="000000" w:themeColor="text1"/>
                <w:sz w:val="20"/>
                <w:szCs w:val="20"/>
                <w14:textFill>
                  <w14:solidFill>
                    <w14:schemeClr w14:val="tx1"/>
                  </w14:solidFill>
                </w14:textFill>
              </w:rPr>
              <w:t>镇伯温路6号】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61.企业名称：【浙江萧山农村商业银行股份有限公司】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统一社会信用代码：【91330100143568234F】</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住所：【浙江省杭州市萧山区人民路258号】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62.企业名称：【浙江乐清农村商业银行股份有限公司】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统一社会信用代码：【91330300712576278B】</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住所：【乐清市城南街道伯乐西路99号】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63.企业名称：【宁波余姚农村商业银行股份有限公司】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统一社会信用代码：【91330281768530578N】</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住所：【余姚市新建路69号】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64.企业名称：【浙江桐庐农村商业银行股份有限公司】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统一社会信用代码：【913301228436000474】</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住所：【浙江省杭州市桐庐县城迎春南路278号】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65.企业名称：【杭州联合农村商业银行股份有限公司】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统一社会信用代码：【91330100773585469H】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住所：【浙江省杭州市上城区建国中路99号】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66.企业名称：【浙江温州鹿城农村商业银行股份有限公司】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统一社会信用代码：【91330300777212117L】</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住所：【浙江省温州市鹿城区会展路1500号富银大厦】</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67.企业名称：【浙江绍兴瑞丰农村商业银行股份有限公司】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统一社会信用代码：【91330600145965997H】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住所：【浙江省绍兴市柯桥区柯桥笛扬路1363号】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68.企业名称：【浙江禾城农村商业银行股份有限公司】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统一社会信用代码：【91330400146466356E】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住所：【浙江省嘉兴市经济技术开发区文昌路 1229 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企业名称：【浙江泰顺农村商业银行股份有限公司】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统一社会信用代码：【913303297043793629】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住所：【浙江省温州市泰顺县罗阳镇新城区文祥大道181号】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0.</w:t>
            </w:r>
            <w:r>
              <w:rPr>
                <w:rFonts w:hint="eastAsia" w:ascii="楷体_GB2312" w:eastAsia="楷体_GB2312" w:cs="楷体_GB2312"/>
                <w:color w:val="000000" w:themeColor="text1"/>
                <w:sz w:val="20"/>
                <w:szCs w:val="20"/>
                <w14:textFill>
                  <w14:solidFill>
                    <w14:schemeClr w14:val="tx1"/>
                  </w14:solidFill>
                </w14:textFill>
              </w:rPr>
              <w:t>企业名称：【浙江嵊州农村商业银行股份有限公司】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统一社会信用代码：【91330683146384641Y】</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住所：【浙江省嵊州市剡湖街道官河路398号】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71.</w:t>
            </w:r>
            <w:r>
              <w:rPr>
                <w:rFonts w:hint="eastAsia" w:ascii="楷体_GB2312" w:eastAsia="楷体_GB2312" w:cs="楷体_GB2312"/>
                <w:color w:val="000000" w:themeColor="text1"/>
                <w:sz w:val="20"/>
                <w:szCs w:val="20"/>
                <w14:textFill>
                  <w14:solidFill>
                    <w14:schemeClr w14:val="tx1"/>
                  </w14:solidFill>
                </w14:textFill>
              </w:rPr>
              <w:t>企业名称：【浙江庆元农村商业银行股份有限公司】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统一社会信用代码：【91331126609962015U】</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住所：【浙江省丽水市庆元县</w:t>
            </w:r>
            <w:r>
              <w:rPr>
                <w:rFonts w:hint="eastAsia" w:ascii="微软雅黑" w:hAnsi="微软雅黑" w:eastAsia="微软雅黑" w:cs="微软雅黑"/>
                <w:color w:val="000000" w:themeColor="text1"/>
                <w:sz w:val="20"/>
                <w:szCs w:val="20"/>
                <w14:textFill>
                  <w14:solidFill>
                    <w14:schemeClr w14:val="tx1"/>
                  </w14:solidFill>
                </w14:textFill>
              </w:rPr>
              <w:t>濛</w:t>
            </w:r>
            <w:r>
              <w:rPr>
                <w:rFonts w:hint="eastAsia" w:ascii="楷体_GB2312" w:eastAsia="楷体_GB2312" w:cs="楷体_GB2312"/>
                <w:color w:val="000000" w:themeColor="text1"/>
                <w:sz w:val="20"/>
                <w:szCs w:val="20"/>
                <w14:textFill>
                  <w14:solidFill>
                    <w14:schemeClr w14:val="tx1"/>
                  </w14:solidFill>
                </w14:textFill>
              </w:rPr>
              <w:t>洲街道云鹤路3号】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72.企业名称：【信银理财有限责任公司】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H类份额（份额代码【AF247175H】）合作销售机构信息：</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91310000MA1FL7AC87】</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w:t>
            </w:r>
            <w:r>
              <w:rPr>
                <w:rFonts w:ascii="楷体_GB2312" w:eastAsia="楷体_GB2312" w:cs="楷体_GB2312"/>
                <w:color w:val="000000" w:themeColor="text1"/>
                <w:sz w:val="20"/>
                <w:szCs w:val="20"/>
                <w14:textFill>
                  <w14:solidFill>
                    <w14:schemeClr w14:val="tx1"/>
                  </w14:solidFill>
                </w14:textFill>
              </w:rPr>
              <w:t>600号1幢35层、36层】</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w:t>
            </w:r>
            <w:r>
              <w:rPr>
                <w:rFonts w:hint="eastAsia" w:ascii="楷体_GB2312" w:eastAsia="楷体_GB2312" w:cs="楷体_GB2312"/>
                <w:color w:val="000000" w:themeColor="text1"/>
                <w:sz w:val="20"/>
                <w:szCs w:val="20"/>
                <w14:textFill>
                  <w14:solidFill>
                    <w14:schemeClr w14:val="tx1"/>
                  </w14:solidFill>
                </w14:textFill>
              </w:rPr>
              <w:t>兴业银行股份有限公司</w:t>
            </w:r>
            <w:r>
              <w:rPr>
                <w:rFonts w:ascii="楷体_GB2312" w:eastAsia="楷体_GB2312" w:cs="楷体_GB2312"/>
                <w:color w:val="000000" w:themeColor="text1"/>
                <w:sz w:val="20"/>
                <w:szCs w:val="20"/>
                <w14:textFill>
                  <w14:solidFill>
                    <w14:schemeClr w14:val="tx1"/>
                  </w14:solidFill>
                </w14:textFill>
              </w:rPr>
              <w: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91350000158142711F】</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住所：【福建省福州市台江区江滨中大道</w:t>
            </w:r>
            <w:r>
              <w:rPr>
                <w:rFonts w:ascii="楷体_GB2312" w:eastAsia="楷体_GB2312" w:cs="楷体_GB2312"/>
                <w:color w:val="000000" w:themeColor="text1"/>
                <w:sz w:val="20"/>
                <w:szCs w:val="20"/>
                <w14:textFill>
                  <w14:solidFill>
                    <w14:schemeClr w14:val="tx1"/>
                  </w14:solidFill>
                </w14:textFill>
              </w:rPr>
              <w:t>398号兴业银行大厦】</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95561】</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p>
          <w:p>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后续合作销售机构如有新增、减少和变更，信银理财将按照本说明书约定的方式告知投资者。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873" w:type="pct"/>
            <w:vAlign w:val="center"/>
          </w:tcPr>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pPr>
              <w:pStyle w:val="7"/>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873" w:type="pct"/>
            <w:vAlign w:val="center"/>
          </w:tcPr>
          <w:p>
            <w:pPr>
              <w:spacing w:line="300" w:lineRule="exact"/>
              <w:ind w:left="-2" w:leftChars="-1" w:right="36" w:rightChars="15"/>
              <w:rPr>
                <w:rFonts w:ascii="楷体_GB2312" w:eastAsia="楷体_GB2312" w:cs="楷体_GB2312"/>
                <w:sz w:val="20"/>
                <w:szCs w:val="20"/>
                <w:highlight w:val="yellow"/>
              </w:rPr>
            </w:pPr>
            <w:r>
              <w:rPr>
                <w:rFonts w:hint="eastAsia" w:ascii="楷体_GB2312" w:eastAsia="楷体_GB2312" w:cs="楷体_GB2312"/>
                <w:sz w:val="20"/>
                <w:szCs w:val="20"/>
              </w:rPr>
              <w:t>企业名称：【中信银行股份有限公司】</w:t>
            </w:r>
            <w:r>
              <w:br w:type="textWrapping"/>
            </w:r>
            <w:r>
              <w:rPr>
                <w:rFonts w:hint="eastAsia" w:ascii="楷体_GB2312" w:eastAsia="楷体_GB2312" w:cs="楷体_GB2312"/>
                <w:sz w:val="20"/>
                <w:szCs w:val="20"/>
              </w:rPr>
              <w:t>统一社会信用代码：【91110000101690725E】</w:t>
            </w:r>
            <w:r>
              <w:br w:type="textWrapping"/>
            </w:r>
            <w:r>
              <w:rPr>
                <w:rFonts w:hint="eastAsia" w:ascii="楷体_GB2312" w:eastAsia="楷体_GB2312" w:cs="楷体_GB2312"/>
                <w:sz w:val="20"/>
                <w:szCs w:val="20"/>
              </w:rPr>
              <w:t>纳税人识别号：【91110000101690725E】</w:t>
            </w:r>
            <w:r>
              <w:br w:type="textWrapping"/>
            </w:r>
            <w:r>
              <w:rPr>
                <w:rFonts w:hint="eastAsia" w:ascii="楷体_GB2312" w:eastAsia="楷体_GB2312" w:cs="楷体_GB2312"/>
                <w:sz w:val="20"/>
                <w:szCs w:val="20"/>
              </w:rPr>
              <w:t>法定代表人：【方合英】</w:t>
            </w:r>
            <w:r>
              <w:br w:type="textWrapping"/>
            </w:r>
            <w:r>
              <w:rPr>
                <w:rFonts w:hint="eastAsia" w:ascii="楷体_GB2312" w:eastAsia="楷体_GB2312" w:cs="楷体_GB2312"/>
                <w:sz w:val="20"/>
                <w:szCs w:val="20"/>
              </w:rPr>
              <w:t>住所：【北京市朝阳区光华路10号中信大厦】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873" w:type="pct"/>
            <w:vAlign w:val="center"/>
          </w:tcPr>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建立与理财产品管理人的对账机制，复核、审查理财产品资金头寸、资产账目、资产净值、理财产品份额认/申购、赎回价格等数据，及时核查认/申购、赎回以及投资资金的支付和到账情况；</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pPr>
              <w:pStyle w:val="7"/>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信银理财</w:t>
            </w:r>
            <w:r>
              <w:rPr>
                <w:rFonts w:hint="eastAsia" w:ascii="楷体_GB2312" w:eastAsia="楷体_GB2312" w:cs="楷体_GB2312"/>
                <w:color w:val="000000" w:themeColor="text1"/>
                <w:sz w:val="20"/>
                <w:szCs w:val="20"/>
                <w14:textFill>
                  <w14:solidFill>
                    <w14:schemeClr w14:val="tx1"/>
                  </w14:solidFill>
                </w14:textFill>
              </w:rPr>
              <w:t>为投资者</w:t>
            </w:r>
            <w:r>
              <w:rPr>
                <w:rFonts w:ascii="楷体_GB2312" w:eastAsia="楷体_GB2312" w:cs="楷体_GB2312"/>
                <w:color w:val="000000" w:themeColor="text1"/>
                <w:sz w:val="20"/>
                <w:szCs w:val="20"/>
                <w14:textFill>
                  <w14:solidFill>
                    <w14:schemeClr w14:val="tx1"/>
                  </w14:solidFill>
                </w14:textFill>
              </w:rPr>
              <w:t>开立的</w:t>
            </w:r>
            <w:r>
              <w:rPr>
                <w:rFonts w:hint="eastAsia" w:ascii="楷体_GB2312" w:eastAsia="楷体_GB2312" w:cs="楷体_GB2312"/>
                <w:color w:val="000000" w:themeColor="text1"/>
                <w:sz w:val="20"/>
                <w:szCs w:val="20"/>
                <w14:textFill>
                  <w14:solidFill>
                    <w14:schemeClr w14:val="tx1"/>
                  </w14:solidFill>
                </w14:textFill>
              </w:rPr>
              <w:t>，唯一</w:t>
            </w:r>
            <w:r>
              <w:rPr>
                <w:rFonts w:ascii="楷体_GB2312" w:eastAsia="楷体_GB2312" w:cs="楷体_GB2312"/>
                <w:color w:val="000000" w:themeColor="text1"/>
                <w:sz w:val="20"/>
                <w:szCs w:val="20"/>
                <w14:textFill>
                  <w14:solidFill>
                    <w14:schemeClr w14:val="tx1"/>
                  </w14:solidFill>
                </w14:textFill>
              </w:rPr>
              <w:t>用于</w:t>
            </w:r>
            <w:r>
              <w:rPr>
                <w:rFonts w:hint="eastAsia" w:ascii="楷体_GB2312" w:eastAsia="楷体_GB2312" w:cs="楷体_GB2312"/>
                <w:color w:val="000000" w:themeColor="text1"/>
                <w:sz w:val="20"/>
                <w:szCs w:val="20"/>
                <w14:textFill>
                  <w14:solidFill>
                    <w14:schemeClr w14:val="tx1"/>
                  </w14:solidFill>
                </w14:textFill>
              </w:rPr>
              <w:t>信银</w:t>
            </w:r>
            <w:r>
              <w:rPr>
                <w:rFonts w:ascii="楷体_GB2312" w:eastAsia="楷体_GB2312" w:cs="楷体_GB2312"/>
                <w:color w:val="000000" w:themeColor="text1"/>
                <w:sz w:val="20"/>
                <w:szCs w:val="20"/>
                <w14:textFill>
                  <w14:solidFill>
                    <w14:schemeClr w14:val="tx1"/>
                  </w14:solidFill>
                </w14:textFill>
              </w:rPr>
              <w:t>理财管理和记录投资者持有信银理财理财产品份额及</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变化</w:t>
            </w:r>
            <w:r>
              <w:rPr>
                <w:rFonts w:hint="eastAsia" w:ascii="楷体_GB2312" w:eastAsia="楷体_GB2312" w:cs="楷体_GB2312"/>
                <w:color w:val="000000" w:themeColor="text1"/>
                <w:sz w:val="20"/>
                <w:szCs w:val="20"/>
                <w14:textFill>
                  <w14:solidFill>
                    <w14:schemeClr w14:val="tx1"/>
                  </w14:solidFill>
                </w14:textFill>
              </w:rPr>
              <w:t>等</w:t>
            </w:r>
            <w:r>
              <w:rPr>
                <w:rFonts w:ascii="楷体_GB2312" w:eastAsia="楷体_GB2312" w:cs="楷体_GB2312"/>
                <w:color w:val="000000" w:themeColor="text1"/>
                <w:sz w:val="20"/>
                <w:szCs w:val="20"/>
                <w14:textFill>
                  <w14:solidFill>
                    <w14:schemeClr w14:val="tx1"/>
                  </w14:solidFill>
                </w14:textFill>
              </w:rPr>
              <w:t>情况的账户。</w:t>
            </w:r>
            <w:r>
              <w:rPr>
                <w:rFonts w:hint="eastAsia" w:ascii="楷体_GB2312" w:eastAsia="楷体_GB2312" w:cs="楷体_GB2312"/>
                <w:color w:val="000000" w:themeColor="text1"/>
                <w:sz w:val="20"/>
                <w:szCs w:val="20"/>
                <w14:textFill>
                  <w14:solidFill>
                    <w14:schemeClr w14:val="tx1"/>
                  </w14:solidFill>
                </w14:textFill>
              </w:rPr>
              <w:t>投资者购买信银</w:t>
            </w:r>
            <w:r>
              <w:rPr>
                <w:rFonts w:ascii="楷体_GB2312" w:eastAsia="楷体_GB2312" w:cs="楷体_GB2312"/>
                <w:color w:val="000000" w:themeColor="text1"/>
                <w:sz w:val="20"/>
                <w:szCs w:val="20"/>
                <w14:textFill>
                  <w14:solidFill>
                    <w14:schemeClr w14:val="tx1"/>
                  </w14:solidFill>
                </w14:textFill>
              </w:rPr>
              <w:t>理财理财产品的，信银理财</w:t>
            </w:r>
            <w:r>
              <w:rPr>
                <w:rFonts w:hint="eastAsia" w:ascii="楷体_GB2312" w:eastAsia="楷体_GB2312" w:cs="楷体_GB2312"/>
                <w:color w:val="000000" w:themeColor="text1"/>
                <w:sz w:val="20"/>
                <w:szCs w:val="20"/>
                <w14:textFill>
                  <w14:solidFill>
                    <w14:schemeClr w14:val="tx1"/>
                  </w14:solidFill>
                </w14:textFill>
              </w:rPr>
              <w:t>将为其开立</w:t>
            </w:r>
            <w:r>
              <w:rPr>
                <w:rFonts w:ascii="楷体_GB2312" w:eastAsia="楷体_GB2312" w:cs="楷体_GB2312"/>
                <w:color w:val="000000" w:themeColor="text1"/>
                <w:sz w:val="20"/>
                <w:szCs w:val="20"/>
                <w14:textFill>
                  <w14:solidFill>
                    <w14:schemeClr w14:val="tx1"/>
                  </w14:solidFill>
                </w14:textFill>
              </w:rPr>
              <w:t>理财账户</w:t>
            </w:r>
            <w:r>
              <w:rPr>
                <w:rFonts w:hint="eastAsia" w:ascii="楷体_GB2312" w:eastAsia="楷体_GB2312" w:cs="楷体_GB2312"/>
                <w:color w:val="000000" w:themeColor="text1"/>
                <w:sz w:val="20"/>
                <w:szCs w:val="20"/>
                <w14:textFill>
                  <w14:solidFill>
                    <w14:schemeClr w14:val="tx1"/>
                  </w14:solidFill>
                </w14:textFill>
              </w:rPr>
              <w:t>。开户需要的信息和要求以</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营业</w:t>
            </w:r>
            <w:r>
              <w:rPr>
                <w:rFonts w:ascii="楷体_GB2312" w:eastAsia="楷体_GB2312" w:cs="楷体_GB2312"/>
                <w:color w:val="000000" w:themeColor="text1"/>
                <w:sz w:val="20"/>
                <w:szCs w:val="20"/>
                <w14:textFill>
                  <w14:solidFill>
                    <w14:schemeClr w14:val="tx1"/>
                  </w14:solidFill>
                </w14:textFill>
              </w:rPr>
              <w:t>场所或线上办理要求</w:t>
            </w:r>
            <w:r>
              <w:rPr>
                <w:rFonts w:hint="eastAsia" w:ascii="楷体_GB2312" w:eastAsia="楷体_GB2312" w:cs="楷体_GB2312"/>
                <w:color w:val="000000" w:themeColor="text1"/>
                <w:sz w:val="20"/>
                <w:szCs w:val="20"/>
                <w14:textFill>
                  <w14:solidFill>
                    <w14:schemeClr w14:val="tx1"/>
                  </w14:solidFill>
                </w14:textFill>
              </w:rPr>
              <w:t>为准</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873" w:type="pct"/>
            <w:vAlign w:val="center"/>
          </w:tcPr>
          <w:p>
            <w:pPr>
              <w:pStyle w:val="7"/>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将通过【</w:t>
            </w:r>
            <w:r>
              <w:rPr>
                <w:rFonts w:hint="eastAsia" w:ascii="楷体_GB2312" w:eastAsia="楷体_GB2312" w:cs="楷体_GB2312"/>
                <w:color w:val="000000" w:themeColor="text1"/>
                <w:sz w:val="20"/>
                <w:szCs w:val="20"/>
                <w14:textFill>
                  <w14:solidFill>
                    <w14:schemeClr w14:val="tx1"/>
                  </w14:solidFill>
                </w14:textFill>
              </w:rPr>
              <w:t>信银理财官方网站（</w:t>
            </w:r>
            <w:r>
              <w:fldChar w:fldCharType="begin"/>
            </w:r>
            <w:r>
              <w:instrText xml:space="preserve"> HYPERLINK "http://www.citic-wealth.com" </w:instrText>
            </w:r>
            <w:r>
              <w:fldChar w:fldCharType="separate"/>
            </w:r>
            <w:r>
              <w:rPr>
                <w:rStyle w:val="6"/>
                <w:rFonts w:ascii="楷体_GB2312" w:eastAsia="楷体_GB2312" w:cs="楷体_GB2312"/>
                <w:sz w:val="20"/>
                <w:szCs w:val="20"/>
              </w:rPr>
              <w:t>http://www.citic-wealth.com</w:t>
            </w:r>
            <w:r>
              <w:rPr>
                <w:rStyle w:val="6"/>
                <w:rFonts w:ascii="楷体_GB2312" w:eastAsia="楷体_GB2312" w:cs="楷体_GB2312"/>
                <w:sz w:val="20"/>
                <w:szCs w:val="20"/>
              </w:rPr>
              <w:fldChar w:fldCharType="end"/>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本理财产品的各类信息。</w:t>
            </w:r>
          </w:p>
          <w:p>
            <w:pPr>
              <w:pStyle w:val="7"/>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本理财产品存续期间内，信银理财有权提前【2】个工作日向投资者发出</w:t>
            </w:r>
            <w:r>
              <w:rPr>
                <w:rFonts w:ascii="楷体_GB2312" w:eastAsia="楷体_GB2312" w:cs="楷体_GB2312"/>
                <w:color w:val="000000" w:themeColor="text1"/>
                <w:sz w:val="20"/>
                <w:szCs w:val="20"/>
                <w14:textFill>
                  <w14:solidFill>
                    <w14:schemeClr w14:val="tx1"/>
                  </w14:solidFill>
                </w14:textFill>
              </w:rPr>
              <w:t>通知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符合监管规定的方式</w:t>
            </w:r>
            <w:r>
              <w:rPr>
                <w:rFonts w:hint="eastAsia" w:ascii="楷体_GB2312" w:eastAsia="楷体_GB2312" w:cs="楷体_GB2312"/>
                <w:color w:val="000000" w:themeColor="text1"/>
                <w:sz w:val="20"/>
                <w:szCs w:val="20"/>
                <w14:textFill>
                  <w14:solidFill>
                    <w14:schemeClr w14:val="tx1"/>
                  </w14:solidFill>
                </w14:textFill>
              </w:rPr>
              <w:t>对说明书条款进行补充、说明和修改，投资者不接受的，可于最近</w:t>
            </w:r>
            <w:r>
              <w:rPr>
                <w:rFonts w:ascii="楷体_GB2312" w:eastAsia="楷体_GB2312" w:cs="楷体_GB2312"/>
                <w:color w:val="000000" w:themeColor="text1"/>
                <w:sz w:val="20"/>
                <w:szCs w:val="20"/>
                <w14:textFill>
                  <w14:solidFill>
                    <w14:schemeClr w14:val="tx1"/>
                  </w14:solidFill>
                </w14:textFill>
              </w:rPr>
              <w:t>一个</w:t>
            </w:r>
            <w:r>
              <w:rPr>
                <w:rFonts w:hint="eastAsia" w:ascii="楷体_GB2312" w:eastAsia="楷体_GB2312" w:cs="楷体_GB2312"/>
                <w:color w:val="000000" w:themeColor="text1"/>
                <w:sz w:val="20"/>
                <w:szCs w:val="20"/>
                <w14:textFill>
                  <w14:solidFill>
                    <w14:schemeClr w14:val="tx1"/>
                  </w14:solidFill>
                </w14:textFill>
              </w:rPr>
              <w:t>开放日赎回理财产品。信银理财有权</w:t>
            </w:r>
            <w:r>
              <w:rPr>
                <w:rFonts w:ascii="楷体_GB2312" w:eastAsia="楷体_GB2312" w:cs="楷体_GB2312"/>
                <w:color w:val="000000" w:themeColor="text1"/>
                <w:sz w:val="20"/>
                <w:szCs w:val="20"/>
                <w14:textFill>
                  <w14:solidFill>
                    <w14:schemeClr w14:val="tx1"/>
                  </w14:solidFill>
                </w14:textFill>
              </w:rPr>
              <w:t>根据情况决定增加临时开放日。</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、监管</w:t>
            </w:r>
            <w:r>
              <w:rPr>
                <w:rFonts w:ascii="楷体_GB2312" w:eastAsia="楷体_GB2312" w:cs="楷体_GB2312"/>
                <w:color w:val="000000" w:themeColor="text1"/>
                <w:sz w:val="20"/>
                <w:szCs w:val="20"/>
                <w14:textFill>
                  <w14:solidFill>
                    <w14:schemeClr w14:val="tx1"/>
                  </w14:solidFill>
                </w14:textFill>
              </w:rPr>
              <w:t>规定</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强制性要求</w:t>
            </w:r>
            <w:r>
              <w:rPr>
                <w:rFonts w:hint="eastAsia" w:ascii="楷体_GB2312" w:eastAsia="楷体_GB2312" w:cs="楷体_GB2312"/>
                <w:color w:val="000000" w:themeColor="text1"/>
                <w:sz w:val="20"/>
                <w:szCs w:val="20"/>
                <w14:textFill>
                  <w14:solidFill>
                    <w14:schemeClr w14:val="tx1"/>
                  </w14:solidFill>
                </w14:textFill>
              </w:rPr>
              <w:t>对产品</w:t>
            </w:r>
            <w:r>
              <w:rPr>
                <w:rFonts w:ascii="楷体_GB2312" w:eastAsia="楷体_GB2312" w:cs="楷体_GB2312"/>
                <w:color w:val="000000" w:themeColor="text1"/>
                <w:sz w:val="20"/>
                <w:szCs w:val="20"/>
                <w14:textFill>
                  <w14:solidFill>
                    <w14:schemeClr w14:val="tx1"/>
                  </w14:solidFill>
                </w14:textFill>
              </w:rPr>
              <w:t>说明书做出修改的，无须</w:t>
            </w:r>
            <w:r>
              <w:rPr>
                <w:rFonts w:hint="eastAsia" w:ascii="楷体_GB2312" w:eastAsia="楷体_GB2312" w:cs="楷体_GB2312"/>
                <w:color w:val="000000" w:themeColor="text1"/>
                <w:sz w:val="20"/>
                <w:szCs w:val="20"/>
                <w14:textFill>
                  <w14:solidFill>
                    <w14:schemeClr w14:val="tx1"/>
                  </w14:solidFill>
                </w14:textFill>
              </w:rPr>
              <w:t>取得</w:t>
            </w:r>
            <w:r>
              <w:rPr>
                <w:rFonts w:ascii="楷体_GB2312" w:eastAsia="楷体_GB2312" w:cs="楷体_GB2312"/>
                <w:color w:val="000000" w:themeColor="text1"/>
                <w:sz w:val="20"/>
                <w:szCs w:val="20"/>
                <w14:textFill>
                  <w14:solidFill>
                    <w14:schemeClr w14:val="tx1"/>
                  </w14:solidFill>
                </w14:textFill>
              </w:rPr>
              <w:t>投资</w:t>
            </w:r>
            <w:r>
              <w:rPr>
                <w:rFonts w:hint="eastAsia" w:ascii="楷体_GB2312" w:eastAsia="楷体_GB2312" w:cs="楷体_GB2312"/>
                <w:color w:val="000000" w:themeColor="text1"/>
                <w:sz w:val="20"/>
                <w:szCs w:val="20"/>
                <w14:textFill>
                  <w14:solidFill>
                    <w14:schemeClr w14:val="tx1"/>
                  </w14:solidFill>
                </w14:textFill>
              </w:rPr>
              <w:t>者</w:t>
            </w:r>
            <w:r>
              <w:rPr>
                <w:rFonts w:ascii="楷体_GB2312" w:eastAsia="楷体_GB2312" w:cs="楷体_GB2312"/>
                <w:color w:val="000000" w:themeColor="text1"/>
                <w:sz w:val="20"/>
                <w:szCs w:val="20"/>
                <w14:textFill>
                  <w14:solidFill>
                    <w14:schemeClr w14:val="tx1"/>
                  </w14:solidFill>
                </w14:textFill>
              </w:rPr>
              <w:t>同意。</w:t>
            </w:r>
          </w:p>
          <w:p>
            <w:pPr>
              <w:pStyle w:val="7"/>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w:t>
            </w:r>
            <w:r>
              <w:rPr>
                <w:rFonts w:hint="eastAsia" w:ascii="楷体_GB2312" w:eastAsia="楷体_GB2312" w:cs="楷体_GB2312"/>
                <w:color w:val="000000" w:themeColor="text1"/>
                <w:sz w:val="20"/>
                <w:szCs w:val="20"/>
                <w14:textFill>
                  <w14:solidFill>
                    <w14:schemeClr w14:val="tx1"/>
                  </w14:solidFill>
                </w14:textFill>
              </w:rPr>
              <w:t>内向</w:t>
            </w:r>
            <w:r>
              <w:rPr>
                <w:rFonts w:ascii="楷体_GB2312" w:eastAsia="楷体_GB2312" w:cs="楷体_GB2312"/>
                <w:color w:val="000000" w:themeColor="text1"/>
                <w:sz w:val="20"/>
                <w:szCs w:val="20"/>
                <w14:textFill>
                  <w14:solidFill>
                    <w14:schemeClr w14:val="tx1"/>
                  </w14:solidFill>
                </w14:textFill>
              </w:rPr>
              <w:t>投资者发布信息。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w:t>
            </w:r>
            <w:r>
              <w:rPr>
                <w:rFonts w:hint="eastAsia" w:ascii="楷体_GB2312" w:eastAsia="楷体_GB2312" w:cs="楷体_GB2312"/>
                <w:color w:val="000000" w:themeColor="text1"/>
                <w:sz w:val="20"/>
                <w:szCs w:val="20"/>
                <w14:textFill>
                  <w14:solidFill>
                    <w14:schemeClr w14:val="tx1"/>
                  </w14:solidFill>
                </w14:textFill>
              </w:rPr>
              <w:t>结束募集期或</w:t>
            </w:r>
            <w:r>
              <w:rPr>
                <w:rFonts w:ascii="楷体_GB2312" w:eastAsia="楷体_GB2312" w:cs="楷体_GB2312"/>
                <w:color w:val="000000" w:themeColor="text1"/>
                <w:sz w:val="20"/>
                <w:szCs w:val="20"/>
                <w14:textFill>
                  <w14:solidFill>
                    <w14:schemeClr w14:val="tx1"/>
                  </w14:solidFill>
                </w14:textFill>
              </w:rPr>
              <w:t>延长募集期</w:t>
            </w:r>
            <w:r>
              <w:rPr>
                <w:rFonts w:hint="eastAsia" w:ascii="楷体_GB2312" w:eastAsia="楷体_GB2312" w:cs="楷体_GB2312"/>
                <w:color w:val="000000" w:themeColor="text1"/>
                <w:sz w:val="20"/>
                <w:szCs w:val="20"/>
                <w14:textFill>
                  <w14:solidFill>
                    <w14:schemeClr w14:val="tx1"/>
                  </w14:solidFill>
                </w14:textFill>
              </w:rPr>
              <w:t>的，将在</w:t>
            </w:r>
            <w:r>
              <w:rPr>
                <w:rFonts w:ascii="楷体_GB2312" w:eastAsia="楷体_GB2312" w:cs="楷体_GB2312"/>
                <w:color w:val="000000" w:themeColor="text1"/>
                <w:sz w:val="20"/>
                <w:szCs w:val="20"/>
                <w14:textFill>
                  <w14:solidFill>
                    <w14:schemeClr w14:val="tx1"/>
                  </w14:solidFill>
                </w14:textFill>
              </w:rPr>
              <w:t>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w:t>
            </w:r>
            <w:r>
              <w:rPr>
                <w:rFonts w:hint="eastAsia" w:ascii="楷体_GB2312" w:eastAsia="楷体_GB2312" w:cs="楷体_GB2312"/>
                <w:color w:val="000000" w:themeColor="text1"/>
                <w:sz w:val="20"/>
                <w:szCs w:val="20"/>
                <w14:textFill>
                  <w14:solidFill>
                    <w14:schemeClr w14:val="tx1"/>
                  </w14:solidFill>
                </w14:textFill>
              </w:rPr>
              <w:t>投资者发布</w:t>
            </w:r>
            <w:r>
              <w:rPr>
                <w:rFonts w:ascii="楷体_GB2312" w:eastAsia="楷体_GB2312" w:cs="楷体_GB2312"/>
                <w:color w:val="000000" w:themeColor="text1"/>
                <w:sz w:val="20"/>
                <w:szCs w:val="20"/>
                <w14:textFill>
                  <w14:solidFill>
                    <w14:schemeClr w14:val="tx1"/>
                  </w14:solidFill>
                </w14:textFill>
              </w:rPr>
              <w:t>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在本产品成立后【</w:t>
            </w: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内披露发行公告。</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产品成立后，</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每个开放日结束后【</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该开放日的份额净值、份额累计净值、认购</w:t>
            </w:r>
            <w:r>
              <w:rPr>
                <w:rFonts w:hint="eastAsia" w:ascii="楷体_GB2312" w:eastAsia="楷体_GB2312" w:cs="楷体_GB2312"/>
                <w:color w:val="000000" w:themeColor="text1"/>
                <w:sz w:val="20"/>
                <w:szCs w:val="20"/>
                <w14:textFill>
                  <w14:solidFill>
                    <w14:schemeClr w14:val="tx1"/>
                  </w14:solidFill>
                </w14:textFill>
              </w:rPr>
              <w:t>/申购</w:t>
            </w:r>
            <w:r>
              <w:rPr>
                <w:rFonts w:ascii="楷体_GB2312" w:eastAsia="楷体_GB2312" w:cs="楷体_GB2312"/>
                <w:color w:val="000000" w:themeColor="text1"/>
                <w:sz w:val="20"/>
                <w:szCs w:val="20"/>
                <w14:textFill>
                  <w14:solidFill>
                    <w14:schemeClr w14:val="tx1"/>
                  </w14:solidFill>
                </w14:textFill>
              </w:rPr>
              <w:t>价格和赎回价格</w:t>
            </w:r>
            <w:r>
              <w:rPr>
                <w:rFonts w:hint="eastAsia" w:ascii="楷体_GB2312" w:eastAsia="楷体_GB2312" w:cs="楷体_GB2312"/>
                <w:color w:val="000000" w:themeColor="text1"/>
                <w:sz w:val="20"/>
                <w:szCs w:val="20"/>
                <w14:textFill>
                  <w14:solidFill>
                    <w14:schemeClr w14:val="tx1"/>
                  </w14:solidFill>
                </w14:textFill>
              </w:rPr>
              <w:t>。</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如本产品合作销售机构有新增、减少和变更，信银理财将提前【2】个工作日内向投资者发布相关信息。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w:t>
            </w:r>
            <w:r>
              <w:rPr>
                <w:rFonts w:ascii="楷体_GB2312" w:eastAsia="楷体_GB2312" w:cs="楷体_GB2312"/>
                <w:color w:val="000000" w:themeColor="text1"/>
                <w:sz w:val="20"/>
                <w:szCs w:val="20"/>
                <w14:textFill>
                  <w14:solidFill>
                    <w14:schemeClr w14:val="tx1"/>
                  </w14:solidFill>
                </w14:textFill>
              </w:rPr>
              <w:t>（包括</w:t>
            </w:r>
            <w:r>
              <w:rPr>
                <w:rFonts w:hint="eastAsia" w:ascii="楷体_GB2312" w:eastAsia="楷体_GB2312" w:cs="楷体_GB2312"/>
                <w:color w:val="000000" w:themeColor="text1"/>
                <w:sz w:val="20"/>
                <w:szCs w:val="20"/>
                <w14:textFill>
                  <w14:solidFill>
                    <w14:schemeClr w14:val="tx1"/>
                  </w14:solidFill>
                </w14:textFill>
              </w:rPr>
              <w:t>到期和</w:t>
            </w:r>
            <w:r>
              <w:rPr>
                <w:rFonts w:ascii="楷体_GB2312" w:eastAsia="楷体_GB2312" w:cs="楷体_GB2312"/>
                <w:color w:val="000000" w:themeColor="text1"/>
                <w:sz w:val="20"/>
                <w:szCs w:val="20"/>
                <w14:textFill>
                  <w14:solidFill>
                    <w14:schemeClr w14:val="tx1"/>
                  </w14:solidFill>
                </w14:textFill>
              </w:rPr>
              <w:t>提前终止）</w:t>
            </w:r>
            <w:r>
              <w:rPr>
                <w:rFonts w:hint="eastAsia" w:ascii="楷体_GB2312" w:eastAsia="楷体_GB2312" w:cs="楷体_GB2312"/>
                <w:color w:val="000000" w:themeColor="text1"/>
                <w:sz w:val="20"/>
                <w:szCs w:val="20"/>
                <w14:textFill>
                  <w14:solidFill>
                    <w14:schemeClr w14:val="tx1"/>
                  </w14:solidFill>
                </w14:textFill>
              </w:rPr>
              <w:t>日后【5】个工作日内，向投资者披露</w:t>
            </w:r>
            <w:r>
              <w:rPr>
                <w:rFonts w:ascii="楷体_GB2312" w:eastAsia="楷体_GB2312" w:cs="楷体_GB2312"/>
                <w:color w:val="000000" w:themeColor="text1"/>
                <w:sz w:val="20"/>
                <w:szCs w:val="20"/>
                <w14:textFill>
                  <w14:solidFill>
                    <w14:schemeClr w14:val="tx1"/>
                  </w14:solidFill>
                </w14:textFill>
              </w:rPr>
              <w:t>到期公告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到期日产品单位净值在内的</w:t>
            </w:r>
            <w:r>
              <w:rPr>
                <w:rFonts w:hint="eastAsia" w:ascii="楷体_GB2312" w:eastAsia="楷体_GB2312" w:cs="楷体_GB2312"/>
                <w:color w:val="000000" w:themeColor="text1"/>
                <w:sz w:val="20"/>
                <w:szCs w:val="20"/>
                <w14:textFill>
                  <w14:solidFill>
                    <w14:schemeClr w14:val="tx1"/>
                  </w14:solidFill>
                </w14:textFill>
              </w:rPr>
              <w:t>到期相关信息。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在运用收取短期赎回费、摆动定价等措施后，</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在【3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个交易日内告知投资者；在运用暂停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拒绝认</w:t>
            </w:r>
            <w:r>
              <w:rPr>
                <w:rFonts w:hint="eastAsia" w:ascii="楷体_GB2312" w:eastAsia="楷体_GB2312" w:cs="楷体_GB2312"/>
                <w:color w:val="000000" w:themeColor="text1"/>
                <w:sz w:val="20"/>
                <w:szCs w:val="20"/>
                <w14:textFill>
                  <w14:solidFill>
                    <w14:schemeClr w14:val="tx1"/>
                  </w14:solidFill>
                </w14:textFill>
              </w:rPr>
              <w:t>/申</w:t>
            </w:r>
            <w:r>
              <w:rPr>
                <w:rFonts w:ascii="楷体_GB2312" w:eastAsia="楷体_GB2312" w:cs="楷体_GB2312"/>
                <w:color w:val="000000" w:themeColor="text1"/>
                <w:sz w:val="20"/>
                <w:szCs w:val="20"/>
                <w14:textFill>
                  <w14:solidFill>
                    <w14:schemeClr w14:val="tx1"/>
                  </w14:solidFill>
                </w14:textFill>
              </w:rPr>
              <w:t>购、延期办理巨额赎回申请、暂停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拒绝接受赎回申请、延缓支付赎回款项、暂停理财产品估值等措施后，</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个交易日内告知投资者，并说明运用相关措施的原因、拟采取的应对安排等。在发生涉及理财产品认购、赎回事项调整或潜在影响投资者赎回等事项时，及时发布临时公告</w:t>
            </w:r>
            <w:r>
              <w:rPr>
                <w:rFonts w:hint="eastAsia" w:ascii="楷体_GB2312" w:eastAsia="楷体_GB2312" w:cs="楷体_GB2312"/>
                <w:color w:val="000000" w:themeColor="text1"/>
                <w:sz w:val="20"/>
                <w:szCs w:val="20"/>
                <w14:textFill>
                  <w14:solidFill>
                    <w14:schemeClr w14:val="tx1"/>
                  </w14:solidFill>
                </w14:textFill>
              </w:rPr>
              <w:t>。</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w:t>
            </w:r>
            <w:r>
              <w:rPr>
                <w:rFonts w:ascii="楷体_GB2312" w:eastAsia="楷体_GB2312" w:cs="楷体_GB2312"/>
                <w:color w:val="000000" w:themeColor="text1"/>
                <w:sz w:val="20"/>
                <w:szCs w:val="20"/>
                <w14:textFill>
                  <w14:solidFill>
                    <w14:schemeClr w14:val="tx1"/>
                  </w14:solidFill>
                </w14:textFill>
              </w:rPr>
              <w:t>存续期间，</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市场情况对投资范围、投资品种或投资比例进行调整</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提前【2】个工作日告知</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w:t>
            </w:r>
            <w:r>
              <w:rPr>
                <w:rFonts w:ascii="楷体_GB2312" w:eastAsia="楷体_GB2312"/>
                <w:color w:val="000000" w:themeColor="text1"/>
                <w:sz w:val="20"/>
                <w:szCs w:val="20"/>
                <w14:textFill>
                  <w14:solidFill>
                    <w14:schemeClr w14:val="tx1"/>
                  </w14:solidFill>
                </w14:textFill>
              </w:rPr>
              <w:t>生效前</w:t>
            </w: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w:t>
            </w:r>
            <w:r>
              <w:rPr>
                <w:rFonts w:hint="eastAsia" w:ascii="楷体_GB2312" w:eastAsia="楷体_GB2312"/>
                <w:color w:val="000000" w:themeColor="text1"/>
                <w:sz w:val="20"/>
                <w:szCs w:val="20"/>
                <w14:textFill>
                  <w14:solidFill>
                    <w14:schemeClr w14:val="tx1"/>
                  </w14:solidFill>
                </w14:textFill>
              </w:rPr>
              <w:t>告知投资者。</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产品存续</w:t>
            </w:r>
            <w:r>
              <w:rPr>
                <w:rFonts w:hint="eastAsia" w:ascii="Times New Roman" w:hAnsi="Times New Roman" w:eastAsia="楷体_GB2312" w:cs="楷体_GB2312"/>
                <w:color w:val="000000" w:themeColor="text1"/>
                <w:sz w:val="20"/>
                <w:szCs w:val="20"/>
                <w14:textFill>
                  <w14:solidFill>
                    <w14:schemeClr w14:val="tx1"/>
                  </w14:solidFill>
                </w14:textFill>
              </w:rPr>
              <w:t>期间</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如</w:t>
            </w:r>
            <w:r>
              <w:rPr>
                <w:rFonts w:ascii="Times New Roman" w:hAnsi="Times New Roman" w:eastAsia="楷体_GB2312" w:cs="楷体_GB2312"/>
                <w:color w:val="000000" w:themeColor="text1"/>
                <w:sz w:val="20"/>
                <w:szCs w:val="20"/>
                <w14:textFill>
                  <w14:solidFill>
                    <w14:schemeClr w14:val="tx1"/>
                  </w14:solidFill>
                </w14:textFill>
              </w:rPr>
              <w:t>因市场</w:t>
            </w:r>
            <w:r>
              <w:rPr>
                <w:rFonts w:hint="eastAsia" w:ascii="Times New Roman" w:hAnsi="Times New Roman" w:eastAsia="楷体_GB2312" w:cs="楷体_GB2312"/>
                <w:color w:val="000000" w:themeColor="text1"/>
                <w:sz w:val="20"/>
                <w:szCs w:val="20"/>
                <w14:textFill>
                  <w14:solidFill>
                    <w14:schemeClr w14:val="tx1"/>
                  </w14:solidFill>
                </w14:textFill>
              </w:rPr>
              <w:t>重大</w:t>
            </w:r>
            <w:r>
              <w:rPr>
                <w:rFonts w:ascii="Times New Roman" w:hAnsi="Times New Roman" w:eastAsia="楷体_GB2312" w:cs="楷体_GB2312"/>
                <w:color w:val="000000" w:themeColor="text1"/>
                <w:sz w:val="20"/>
                <w:szCs w:val="20"/>
                <w14:textFill>
                  <w14:solidFill>
                    <w14:schemeClr w14:val="tx1"/>
                  </w14:solidFill>
                </w14:textFill>
              </w:rPr>
              <w:t>变化导致投资比例暂时超出</w:t>
            </w: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说明书约定的投资比例区间</w:t>
            </w:r>
            <w:r>
              <w:rPr>
                <w:rFonts w:hint="eastAsia" w:ascii="Times New Roman" w:hAnsi="Times New Roman" w:eastAsia="楷体_GB2312" w:cs="楷体_GB2312"/>
                <w:color w:val="000000" w:themeColor="text1"/>
                <w:sz w:val="20"/>
                <w:szCs w:val="20"/>
                <w14:textFill>
                  <w14:solidFill>
                    <w14:schemeClr w14:val="tx1"/>
                  </w14:solidFill>
                </w14:textFill>
              </w:rPr>
              <w:t>且</w:t>
            </w:r>
            <w:r>
              <w:rPr>
                <w:rFonts w:ascii="Times New Roman" w:hAnsi="Times New Roman" w:eastAsia="楷体_GB2312" w:cs="楷体_GB2312"/>
                <w:color w:val="000000" w:themeColor="text1"/>
                <w:sz w:val="20"/>
                <w:szCs w:val="20"/>
                <w14:textFill>
                  <w14:solidFill>
                    <w14:schemeClr w14:val="tx1"/>
                  </w14:solidFill>
                </w14:textFill>
              </w:rPr>
              <w:t>可能对理财产品收益产生重大影响的，</w:t>
            </w:r>
            <w:r>
              <w:rPr>
                <w:rFonts w:hint="eastAsia" w:ascii="Times New Roman" w:hAnsi="Times New Roman" w:eastAsia="楷体_GB2312" w:cs="楷体_GB2312"/>
                <w:color w:val="000000" w:themeColor="text1"/>
                <w:sz w:val="20"/>
                <w:szCs w:val="20"/>
                <w14:textFill>
                  <w14:solidFill>
                    <w14:schemeClr w14:val="tx1"/>
                  </w14:solidFill>
                </w14:textFill>
              </w:rPr>
              <w:t>信银理财</w:t>
            </w:r>
            <w:r>
              <w:rPr>
                <w:rFonts w:ascii="Times New Roman" w:hAnsi="Times New Roman" w:eastAsia="楷体_GB2312" w:cs="楷体_GB2312"/>
                <w:color w:val="000000" w:themeColor="text1"/>
                <w:sz w:val="20"/>
                <w:szCs w:val="20"/>
                <w14:textFill>
                  <w14:solidFill>
                    <w14:schemeClr w14:val="tx1"/>
                  </w14:solidFill>
                </w14:textFill>
              </w:rPr>
              <w:t>将</w:t>
            </w:r>
            <w:r>
              <w:rPr>
                <w:rFonts w:hint="eastAsia" w:ascii="Times New Roman" w:hAnsi="Times New Roman" w:eastAsia="楷体_GB2312" w:cs="楷体_GB2312"/>
                <w:color w:val="000000" w:themeColor="text1"/>
                <w:sz w:val="20"/>
                <w:szCs w:val="20"/>
                <w14:textFill>
                  <w14:solidFill>
                    <w14:schemeClr w14:val="tx1"/>
                  </w14:solidFill>
                </w14:textFill>
              </w:rPr>
              <w:t>在【2】个</w:t>
            </w:r>
            <w:r>
              <w:rPr>
                <w:rFonts w:ascii="Times New Roman" w:hAnsi="Times New Roman" w:eastAsia="楷体_GB2312" w:cs="楷体_GB2312"/>
                <w:color w:val="000000" w:themeColor="text1"/>
                <w:sz w:val="20"/>
                <w:szCs w:val="20"/>
                <w14:textFill>
                  <w14:solidFill>
                    <w14:schemeClr w14:val="tx1"/>
                  </w14:solidFill>
                </w14:textFill>
              </w:rPr>
              <w:t>工作日内</w:t>
            </w:r>
            <w:r>
              <w:rPr>
                <w:rFonts w:hint="eastAsia" w:ascii="Times New Roman" w:hAnsi="Times New Roman" w:eastAsia="楷体_GB2312" w:cs="楷体_GB2312"/>
                <w:color w:val="000000" w:themeColor="text1"/>
                <w:sz w:val="20"/>
                <w:szCs w:val="20"/>
                <w14:textFill>
                  <w14:solidFill>
                    <w14:schemeClr w14:val="tx1"/>
                  </w14:solidFill>
                </w14:textFill>
              </w:rPr>
              <w:t>告知投资者</w:t>
            </w:r>
            <w:r>
              <w:rPr>
                <w:rFonts w:ascii="Times New Roman" w:hAnsi="Times New Roman" w:eastAsia="楷体_GB2312" w:cs="楷体_GB2312"/>
                <w:color w:val="000000" w:themeColor="text1"/>
                <w:sz w:val="20"/>
                <w:szCs w:val="20"/>
                <w14:textFill>
                  <w14:solidFill>
                    <w14:schemeClr w14:val="tx1"/>
                  </w14:solidFill>
                </w14:textFill>
              </w:rPr>
              <w:t>。</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将向投资者</w:t>
            </w:r>
            <w:r>
              <w:rPr>
                <w:rFonts w:hint="eastAsia" w:ascii="楷体_GB2312" w:eastAsia="楷体_GB2312" w:cs="楷体_GB2312"/>
                <w:color w:val="000000" w:themeColor="text1"/>
                <w:sz w:val="20"/>
                <w:szCs w:val="20"/>
                <w14:textFill>
                  <w14:solidFill>
                    <w14:schemeClr w14:val="tx1"/>
                  </w14:solidFill>
                </w14:textFill>
              </w:rPr>
              <w:t>发布</w:t>
            </w:r>
            <w:r>
              <w:rPr>
                <w:rFonts w:ascii="楷体_GB2312" w:eastAsia="楷体_GB2312" w:cs="楷体_GB2312"/>
                <w:color w:val="000000" w:themeColor="text1"/>
                <w:sz w:val="20"/>
                <w:szCs w:val="20"/>
                <w14:textFill>
                  <w14:solidFill>
                    <w14:schemeClr w14:val="tx1"/>
                  </w14:solidFill>
                </w14:textFill>
              </w:rPr>
              <w:t>定期报告，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但不限于季度、半年和年度报告。</w:t>
            </w:r>
            <w:r>
              <w:rPr>
                <w:rFonts w:hint="eastAsia" w:ascii="楷体_GB2312" w:eastAsia="楷体_GB2312" w:cs="楷体_GB2312"/>
                <w:color w:val="000000" w:themeColor="text1"/>
                <w:sz w:val="20"/>
                <w:szCs w:val="20"/>
                <w14:textFill>
                  <w14:solidFill>
                    <w14:schemeClr w14:val="tx1"/>
                  </w14:solidFill>
                </w14:textFill>
              </w:rPr>
              <w:t>理财产品成立不足</w:t>
            </w:r>
            <w:r>
              <w:rPr>
                <w:rFonts w:ascii="楷体_GB2312" w:eastAsia="楷体_GB2312" w:cs="楷体_GB2312"/>
                <w:color w:val="000000" w:themeColor="text1"/>
                <w:sz w:val="20"/>
                <w:szCs w:val="20"/>
                <w14:textFill>
                  <w14:solidFill>
                    <w14:schemeClr w14:val="tx1"/>
                  </w14:solidFill>
                </w14:textFill>
              </w:rPr>
              <w:t>90日或者剩余存续期不超过90日的，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将在理财产品季度、半年和年度报告中披露理财产品组合资产情况及其流动性风险分析等</w:t>
            </w:r>
            <w:r>
              <w:rPr>
                <w:rFonts w:hint="eastAsia" w:ascii="楷体_GB2312" w:eastAsia="楷体_GB2312" w:cs="楷体_GB2312"/>
                <w:color w:val="000000" w:themeColor="text1"/>
                <w:sz w:val="20"/>
                <w:szCs w:val="20"/>
                <w14:textFill>
                  <w14:solidFill>
                    <w14:schemeClr w14:val="tx1"/>
                  </w14:solidFill>
                </w14:textFill>
              </w:rPr>
              <w:t>。</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本理财产品存续期间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获知</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经</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合理判断认为对</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w:t>
            </w:r>
            <w:r>
              <w:rPr>
                <w:rFonts w:ascii="楷体_GB2312" w:eastAsia="楷体_GB2312" w:cs="楷体_GB2312"/>
                <w:color w:val="000000" w:themeColor="text1"/>
                <w:sz w:val="20"/>
                <w:szCs w:val="20"/>
                <w14:textFill>
                  <w14:solidFill>
                    <w14:schemeClr w14:val="tx1"/>
                  </w14:solidFill>
                </w14:textFill>
              </w:rPr>
              <w:t>法律法规、监管规定及时向投资者发布相关信息。</w:t>
            </w:r>
          </w:p>
          <w:p>
            <w:pPr>
              <w:pStyle w:val="7"/>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w:t>
            </w:r>
            <w:r>
              <w:rPr>
                <w:rFonts w:ascii="楷体_GB2312" w:eastAsia="楷体_GB2312" w:cs="楷体_GB2312"/>
                <w:color w:val="000000" w:themeColor="text1"/>
                <w:sz w:val="20"/>
                <w:szCs w:val="20"/>
                <w14:textFill>
                  <w14:solidFill>
                    <w14:schemeClr w14:val="tx1"/>
                  </w14:solidFill>
                </w14:textFill>
              </w:rPr>
              <w:t>规范性文件、</w:t>
            </w:r>
            <w:r>
              <w:rPr>
                <w:rFonts w:hint="eastAsia" w:ascii="楷体_GB2312" w:eastAsia="楷体_GB2312" w:cs="楷体_GB2312"/>
                <w:color w:val="000000" w:themeColor="text1"/>
                <w:sz w:val="20"/>
                <w:szCs w:val="20"/>
                <w14:textFill>
                  <w14:solidFill>
                    <w14:schemeClr w14:val="tx1"/>
                  </w14:solidFill>
                </w14:textFill>
              </w:rPr>
              <w:t>监管政策规定或本说明书约定其他应向投资者进行</w:t>
            </w:r>
            <w:r>
              <w:rPr>
                <w:rFonts w:ascii="楷体_GB2312" w:eastAsia="楷体_GB2312" w:cs="楷体_GB2312"/>
                <w:color w:val="000000" w:themeColor="text1"/>
                <w:sz w:val="20"/>
                <w:szCs w:val="20"/>
                <w14:textFill>
                  <w14:solidFill>
                    <w14:schemeClr w14:val="tx1"/>
                  </w14:solidFill>
                </w14:textFill>
              </w:rPr>
              <w:t>信息</w:t>
            </w:r>
            <w:r>
              <w:rPr>
                <w:rFonts w:hint="eastAsia" w:ascii="楷体_GB2312" w:eastAsia="楷体_GB2312" w:cs="楷体_GB2312"/>
                <w:color w:val="000000" w:themeColor="text1"/>
                <w:sz w:val="20"/>
                <w:szCs w:val="20"/>
                <w14:textFill>
                  <w14:solidFill>
                    <w14:schemeClr w14:val="tx1"/>
                  </w14:solidFill>
                </w14:textFill>
              </w:rPr>
              <w:t>披露的情形</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将根据上述规定向投资者发布相关信息</w:t>
            </w:r>
            <w:r>
              <w:rPr>
                <w:rFonts w:hint="eastAsia" w:ascii="楷体_GB2312" w:eastAsia="楷体_GB2312" w:cs="楷体_GB2312"/>
                <w:color w:val="000000" w:themeColor="text1"/>
                <w:sz w:val="20"/>
                <w:szCs w:val="20"/>
                <w14:textFill>
                  <w14:solidFill>
                    <w14:schemeClr w14:val="tx1"/>
                  </w14:solidFill>
                </w14:textFill>
              </w:rPr>
              <w:t>。</w:t>
            </w:r>
          </w:p>
        </w:tc>
      </w:tr>
    </w:tbl>
    <w:p>
      <w:pPr>
        <w:snapToGrid w:val="0"/>
        <w:ind w:right="53" w:rightChars="22"/>
        <w:outlineLvl w:val="0"/>
        <w:rPr>
          <w:rFonts w:ascii="黑体" w:hAnsi="Times New Roman" w:eastAsia="黑体" w:cs="黑体"/>
          <w:color w:val="000000" w:themeColor="text1"/>
          <w:sz w:val="20"/>
          <w:szCs w:val="20"/>
          <w14:textFill>
            <w14:solidFill>
              <w14:schemeClr w14:val="tx1"/>
            </w14:solidFill>
          </w14:textFill>
        </w:rPr>
      </w:pPr>
    </w:p>
    <w:p>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pPr>
        <w:pStyle w:val="7"/>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pPr>
        <w:pStyle w:val="7"/>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按照理财产品说明书的约定，管理、运用和处分理财资金。</w:t>
      </w:r>
    </w:p>
    <w:p>
      <w:pPr>
        <w:pStyle w:val="7"/>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pPr>
        <w:pStyle w:val="7"/>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pPr>
        <w:pStyle w:val="7"/>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pPr>
        <w:pStyle w:val="7"/>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pPr>
        <w:pStyle w:val="7"/>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pPr>
        <w:pStyle w:val="7"/>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pPr>
        <w:spacing w:line="300" w:lineRule="exact"/>
        <w:ind w:left="-2" w:leftChars="-1" w:right="36" w:rightChars="15" w:firstLine="400" w:firstLineChars="20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rPr>
          <w:rFonts w:ascii="黑体" w:hAnsi="Times New Roman" w:eastAsia="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r>
        <w:rPr>
          <w:rFonts w:hint="eastAsia" w:ascii="黑体" w:hAnsi="Times New Roman" w:eastAsia="黑体" w:cs="黑体"/>
          <w:color w:val="000000" w:themeColor="text1"/>
          <w:sz w:val="20"/>
          <w:szCs w:val="20"/>
          <w14:textFill>
            <w14:solidFill>
              <w14:schemeClr w14:val="tx1"/>
            </w14:solidFill>
          </w14:textFill>
        </w:rPr>
        <w:t>申购</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可在</w:t>
      </w:r>
      <w:r>
        <w:rPr>
          <w:rFonts w:hint="eastAsia" w:ascii="楷体_GB2312" w:eastAsia="楷体_GB2312" w:cs="楷体_GB2312"/>
          <w:color w:val="000000" w:themeColor="text1"/>
          <w:sz w:val="20"/>
          <w:szCs w:val="20"/>
          <w14:textFill>
            <w14:solidFill>
              <w14:schemeClr w14:val="tx1"/>
            </w14:solidFill>
          </w14:textFill>
        </w:rPr>
        <w:t>本产品募集期内</w:t>
      </w:r>
      <w:r>
        <w:rPr>
          <w:rFonts w:ascii="楷体_GB2312" w:eastAsia="楷体_GB2312" w:cs="楷体_GB2312"/>
          <w:color w:val="000000" w:themeColor="text1"/>
          <w:sz w:val="20"/>
          <w:szCs w:val="20"/>
          <w14:textFill>
            <w14:solidFill>
              <w14:schemeClr w14:val="tx1"/>
            </w14:solidFill>
          </w14:textFill>
        </w:rPr>
        <w:t>进行认购</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本产品采取金额认购</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方式，认购份额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人民币认购金额×（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认购费率）</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元，认购份额按照四舍五入方法计算，保留小数点后【2】位，由此误差产生的损失由理财财产承担，产生的收益归理财财产所有。</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14:textFill>
            <w14:solidFill>
              <w14:schemeClr w14:val="tx1"/>
            </w14:solidFill>
          </w14:textFill>
        </w:rPr>
        <w:t>】为认购份额确认日，</w:t>
      </w:r>
      <w:r>
        <w:rPr>
          <w:rFonts w:hint="eastAsia" w:ascii="楷体_GB2312" w:eastAsia="楷体_GB2312" w:cs="楷体_GB2312"/>
          <w:color w:val="000000" w:themeColor="text1"/>
          <w:sz w:val="20"/>
          <w:szCs w:val="20"/>
          <w14:textFill>
            <w14:solidFill>
              <w14:schemeClr w14:val="tx1"/>
            </w14:solidFill>
          </w14:textFill>
        </w:rPr>
        <w:t>认购</w:t>
      </w:r>
      <w:r>
        <w:rPr>
          <w:rFonts w:ascii="楷体_GB2312" w:eastAsia="楷体_GB2312" w:cs="楷体_GB2312"/>
          <w:color w:val="000000" w:themeColor="text1"/>
          <w:sz w:val="20"/>
          <w:szCs w:val="20"/>
          <w14:textFill>
            <w14:solidFill>
              <w14:schemeClr w14:val="tx1"/>
            </w14:solidFill>
          </w14:textFill>
        </w:rPr>
        <w:t>份额确认日后投资者可向</w:t>
      </w:r>
      <w:r>
        <w:rPr>
          <w:rFonts w:hint="eastAsia" w:ascii="楷体_GB2312" w:eastAsia="楷体_GB2312" w:cs="楷体_GB2312"/>
          <w:color w:val="000000" w:themeColor="text1"/>
          <w:sz w:val="20"/>
          <w:szCs w:val="20"/>
          <w14:textFill>
            <w14:solidFill>
              <w14:schemeClr w14:val="tx1"/>
            </w14:solidFill>
          </w14:textFill>
        </w:rPr>
        <w:t>销售机构</w:t>
      </w:r>
      <w:r>
        <w:rPr>
          <w:rFonts w:ascii="楷体_GB2312" w:eastAsia="楷体_GB2312" w:cs="楷体_GB2312"/>
          <w:color w:val="000000" w:themeColor="text1"/>
          <w:sz w:val="20"/>
          <w:szCs w:val="20"/>
          <w14:textFill>
            <w14:solidFill>
              <w14:schemeClr w14:val="tx1"/>
            </w14:solidFill>
          </w14:textFill>
        </w:rPr>
        <w:t>查询认购是否成功。</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．投资者可在本产品开放日的交易时间内进行</w:t>
      </w:r>
      <w:r>
        <w:rPr>
          <w:rFonts w:ascii="楷体_GB2312" w:eastAsia="楷体_GB2312" w:cs="楷体_GB2312"/>
          <w:color w:val="000000" w:themeColor="text1"/>
          <w:sz w:val="20"/>
          <w:szCs w:val="20"/>
          <w14:textFill>
            <w14:solidFill>
              <w14:schemeClr w14:val="tx1"/>
            </w14:solidFill>
          </w14:textFill>
        </w:rPr>
        <w:t>申购，</w:t>
      </w:r>
      <w:r>
        <w:rPr>
          <w:rFonts w:hint="eastAsia" w:ascii="楷体_GB2312" w:eastAsia="楷体_GB2312" w:cs="楷体_GB2312"/>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hint="eastAsia" w:ascii="楷体_GB2312" w:eastAsia="楷体_GB2312" w:cs="楷体_GB2312"/>
          <w:color w:val="000000" w:themeColor="text1"/>
          <w:sz w:val="20"/>
          <w:szCs w:val="20"/>
          <w14:textFill>
            <w14:solidFill>
              <w14:schemeClr w14:val="tx1"/>
            </w14:solidFill>
          </w14:textFill>
        </w:rPr>
        <w:t>。非交易时间提交的申购申请将于下一个申购开放日正式受理，</w:t>
      </w:r>
      <w:r>
        <w:rPr>
          <w:rFonts w:ascii="楷体_GB2312" w:eastAsia="楷体_GB2312" w:cs="楷体_GB2312"/>
          <w:color w:val="000000" w:themeColor="text1"/>
          <w:sz w:val="20"/>
          <w:szCs w:val="20"/>
          <w14:textFill>
            <w14:solidFill>
              <w14:schemeClr w14:val="tx1"/>
            </w14:solidFill>
          </w14:textFill>
        </w:rPr>
        <w:t>代销机构</w:t>
      </w:r>
      <w:r>
        <w:rPr>
          <w:rFonts w:hint="eastAsia" w:ascii="楷体_GB2312" w:eastAsia="楷体_GB2312" w:cs="楷体_GB2312"/>
          <w:color w:val="000000" w:themeColor="text1"/>
          <w:sz w:val="20"/>
          <w:szCs w:val="20"/>
          <w14:textFill>
            <w14:solidFill>
              <w14:schemeClr w14:val="tx1"/>
            </w14:solidFill>
          </w14:textFill>
        </w:rPr>
        <w:t>有</w:t>
      </w:r>
      <w:r>
        <w:rPr>
          <w:rFonts w:ascii="楷体_GB2312" w:eastAsia="楷体_GB2312" w:cs="楷体_GB2312"/>
          <w:color w:val="000000" w:themeColor="text1"/>
          <w:sz w:val="20"/>
          <w:szCs w:val="20"/>
          <w14:textFill>
            <w14:solidFill>
              <w14:schemeClr w14:val="tx1"/>
            </w14:solidFill>
          </w14:textFill>
        </w:rPr>
        <w:t>另行规定的，以代销机构的规定为准</w:t>
      </w:r>
      <w:r>
        <w:rPr>
          <w:rFonts w:hint="eastAsia" w:ascii="楷体_GB2312" w:eastAsia="楷体_GB2312" w:cs="楷体_GB2312"/>
          <w:color w:val="000000" w:themeColor="text1"/>
          <w:sz w:val="20"/>
          <w:szCs w:val="20"/>
          <w14:textFill>
            <w14:solidFill>
              <w14:schemeClr w14:val="tx1"/>
            </w14:solidFill>
          </w14:textFill>
        </w:rPr>
        <w:t>。本产品按金额申购，按【申购开放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单位净值计算申购份额，即申购份额＝申购金额×（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申购费率）</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单位净值（申购份额按照四舍五入方法计算，保留小数点后【2】位，由此误差产生的损失由理财财产承担，产生的收益归理财财产所有）。</w:t>
      </w:r>
    </w:p>
    <w:p>
      <w:pPr>
        <w:spacing w:line="300" w:lineRule="exact"/>
        <w:ind w:firstLine="400" w:firstLineChars="200"/>
        <w:jc w:val="both"/>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某开放日投资者以</w:t>
      </w:r>
      <w:r>
        <w:rPr>
          <w:rFonts w:ascii="楷体_GB2312" w:eastAsia="楷体_GB2312" w:cs="楷体_GB2312"/>
          <w:sz w:val="20"/>
          <w:szCs w:val="20"/>
        </w:rPr>
        <w:t>500万元申购本产品份额，申购费率为0%，开放日单位净值为1.010，则投资者获得的申购份额=5,000,000×（1-0%）/1.010=4,950,495.05份</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上述示例采用假设数据计算，并不代表投资者实际可获得的份额。）</w:t>
      </w:r>
    </w:p>
    <w:p>
      <w:pPr>
        <w:spacing w:line="300" w:lineRule="exact"/>
        <w:ind w:firstLine="400" w:firstLineChars="200"/>
        <w:jc w:val="both"/>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【申购申请正式受理的开放日后第一个工作日】即为申购份额确认日，投资者可在申购</w:t>
      </w:r>
      <w:r>
        <w:rPr>
          <w:rFonts w:ascii="楷体_GB2312" w:eastAsia="楷体_GB2312" w:cs="楷体_GB2312"/>
          <w:sz w:val="20"/>
          <w:szCs w:val="20"/>
        </w:rPr>
        <w:t>份额</w:t>
      </w:r>
      <w:r>
        <w:rPr>
          <w:rFonts w:hint="eastAsia" w:ascii="楷体_GB2312" w:eastAsia="楷体_GB2312" w:cs="楷体_GB2312"/>
          <w:sz w:val="20"/>
          <w:szCs w:val="20"/>
        </w:rPr>
        <w:t>确认日后向销售机构查询申购是否成功。当日交易</w:t>
      </w:r>
      <w:r>
        <w:rPr>
          <w:rFonts w:ascii="楷体_GB2312" w:eastAsia="楷体_GB2312" w:cs="楷体_GB2312"/>
          <w:sz w:val="20"/>
          <w:szCs w:val="20"/>
        </w:rPr>
        <w:t>时间内提交且</w:t>
      </w:r>
      <w:r>
        <w:rPr>
          <w:rFonts w:hint="eastAsia" w:ascii="楷体_GB2312" w:eastAsia="楷体_GB2312" w:cs="楷体_GB2312"/>
          <w:sz w:val="20"/>
          <w:szCs w:val="20"/>
        </w:rPr>
        <w:t>有效</w:t>
      </w:r>
      <w:r>
        <w:rPr>
          <w:rFonts w:ascii="楷体_GB2312" w:eastAsia="楷体_GB2312" w:cs="楷体_GB2312"/>
          <w:sz w:val="20"/>
          <w:szCs w:val="20"/>
        </w:rPr>
        <w:t>的</w:t>
      </w:r>
      <w:r>
        <w:rPr>
          <w:rFonts w:hint="eastAsia" w:ascii="楷体_GB2312" w:eastAsia="楷体_GB2312" w:cs="楷体_GB2312"/>
          <w:sz w:val="20"/>
          <w:szCs w:val="20"/>
        </w:rPr>
        <w:t>申购申请对应的份额自下一个工作日起享有分配权。</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．管理人保留不接受认、申购申请的权利。</w:t>
      </w:r>
    </w:p>
    <w:p>
      <w:pPr>
        <w:spacing w:line="300" w:lineRule="exact"/>
        <w:ind w:left="-2" w:leftChars="-1" w:right="36" w:rightChars="15" w:firstLine="400" w:firstLineChars="200"/>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五、理财产品的赎回</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．本产品按份额赎回，</w:t>
      </w:r>
      <w:r>
        <w:rPr>
          <w:rFonts w:ascii="楷体_GB2312" w:eastAsia="楷体_GB2312" w:cs="楷体_GB2312"/>
          <w:color w:val="000000" w:themeColor="text1"/>
          <w:sz w:val="20"/>
          <w:szCs w:val="20"/>
          <w14:textFill>
            <w14:solidFill>
              <w14:schemeClr w14:val="tx1"/>
            </w14:solidFill>
          </w14:textFill>
        </w:rPr>
        <w:t>B类份额单次最低赎回份额为【0.01】份，G类份额单次最低赎回份额为【0.01】份，H类份额单次最低赎回份额为【0.01】份</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 xml:space="preserve">. </w:t>
      </w:r>
      <w:r>
        <w:rPr>
          <w:rFonts w:ascii="楷体_GB2312" w:eastAsia="楷体_GB2312" w:cs="楷体_GB2312"/>
          <w:color w:val="000000" w:themeColor="text1"/>
          <w:sz w:val="20"/>
          <w:szCs w:val="20"/>
          <w14:textFill>
            <w14:solidFill>
              <w14:schemeClr w14:val="tx1"/>
            </w14:solidFill>
          </w14:textFill>
        </w:rPr>
        <w:t>投资者可</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本产品开放日的</w:t>
      </w:r>
      <w:r>
        <w:rPr>
          <w:rFonts w:hint="eastAsia" w:ascii="楷体_GB2312" w:eastAsia="楷体_GB2312" w:cs="楷体_GB2312"/>
          <w:color w:val="000000" w:themeColor="text1"/>
          <w:sz w:val="20"/>
          <w:szCs w:val="20"/>
          <w14:textFill>
            <w14:solidFill>
              <w14:schemeClr w14:val="tx1"/>
            </w14:solidFill>
          </w14:textFill>
        </w:rPr>
        <w:t>交易</w:t>
      </w:r>
      <w:r>
        <w:rPr>
          <w:rFonts w:ascii="楷体_GB2312" w:eastAsia="楷体_GB2312" w:cs="楷体_GB2312"/>
          <w:color w:val="000000" w:themeColor="text1"/>
          <w:sz w:val="20"/>
          <w:szCs w:val="20"/>
          <w14:textFill>
            <w14:solidFill>
              <w14:schemeClr w14:val="tx1"/>
            </w14:solidFill>
          </w14:textFill>
        </w:rPr>
        <w:t>时间内</w:t>
      </w:r>
      <w:r>
        <w:rPr>
          <w:rFonts w:hint="eastAsia" w:ascii="楷体_GB2312" w:eastAsia="楷体_GB2312" w:cs="楷体_GB2312"/>
          <w:color w:val="000000" w:themeColor="text1"/>
          <w:sz w:val="20"/>
          <w:szCs w:val="20"/>
          <w14:textFill>
            <w14:solidFill>
              <w14:schemeClr w14:val="tx1"/>
            </w14:solidFill>
          </w14:textFill>
        </w:rPr>
        <w:t>申请</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设置最短持有期的产品份额，须在超过最短持有期后</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14:textFill>
            <w14:solidFill>
              <w14:schemeClr w14:val="tx1"/>
            </w14:solidFill>
          </w14:textFill>
        </w:rPr>
        <w:t>/代销机构另有规定的，以合作销售机构/代销机构为准。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．投资者在进行份额赎回时，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赎回金额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赎回份额×【</w:t>
      </w:r>
      <w:r>
        <w:rPr>
          <w:rFonts w:hint="eastAsia" w:ascii="楷体_GB2312" w:eastAsia="楷体_GB2312" w:cs="楷体_GB2312"/>
          <w:sz w:val="20"/>
          <w:szCs w:val="20"/>
        </w:rPr>
        <w:t>赎回开放</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赎回费率）-</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sz w:val="20"/>
          <w:szCs w:val="20"/>
        </w:rPr>
      </w:pPr>
      <w:r>
        <w:rPr>
          <w:rFonts w:hint="eastAsia" w:ascii="楷体_GB2312" w:eastAsia="楷体_GB2312" w:cs="楷体_GB2312"/>
          <w:color w:val="000000" w:themeColor="text1"/>
          <w:sz w:val="20"/>
          <w:szCs w:val="20"/>
          <w14:textFill>
            <w14:solidFill>
              <w14:schemeClr w14:val="tx1"/>
            </w14:solidFill>
          </w14:textFill>
        </w:rPr>
        <w:t>赎回金额按照四舍五入原则保留至小数点后【2】位，由此误差产生的损失由理财财产承担，产生的收益归理财财产所有。</w:t>
      </w:r>
      <w:r>
        <w:rPr>
          <w:rFonts w:hint="eastAsia" w:ascii="楷体_GB2312" w:eastAsia="楷体_GB2312" w:cs="楷体_GB2312"/>
          <w:sz w:val="20"/>
          <w:szCs w:val="20"/>
        </w:rPr>
        <w:t>当理财产品份额全部被赎回时，为保证投资者利益，管理人有权调整单位净值小数点取位规则。</w:t>
      </w:r>
    </w:p>
    <w:p>
      <w:pPr>
        <w:spacing w:line="300" w:lineRule="exact"/>
        <w:ind w:right="36" w:rightChars="15"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例如，【某开放日T日投资者成功申购本产品500万份，于T+1日确认申购，之后于开放日T+3日成功申购本产品200万份，于T+4日确认申购，根据赎回规则，投资者可于T+181（含）之后的每个工作日对T日申购的500万份产品发起赎回，T+184日（含）之后的每个工作日对T+3日申购的200万份产品发起赎回。某开放日投资者成功赎回所持有500万份本产品份额，该开放日本产品单位净值为1.1000，赎回费率为0%，则投资者获得的赎回金额=5,000,000.00×1.1000=5,500,000.00元】。</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xml:space="preserve"> (</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上述示例采用假设数据计算，并不代表投资者实际可获得的赎回金额。）</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sz w:val="20"/>
          <w:szCs w:val="20"/>
        </w:rPr>
        <w:t>【赎回申请正式受理的开放日后第一个工作日】即为赎回确认日，赎回份额确认日后投资者可向销售机构查询赎回是否成功。管理人</w:t>
      </w:r>
      <w:r>
        <w:rPr>
          <w:rFonts w:ascii="楷体_GB2312" w:eastAsia="楷体_GB2312"/>
          <w:sz w:val="20"/>
          <w:szCs w:val="20"/>
        </w:rPr>
        <w:t>按照“</w:t>
      </w:r>
      <w:r>
        <w:rPr>
          <w:rFonts w:hint="eastAsia" w:ascii="楷体_GB2312" w:eastAsia="楷体_GB2312"/>
          <w:sz w:val="20"/>
          <w:szCs w:val="20"/>
        </w:rPr>
        <w:t>先进</w:t>
      </w:r>
      <w:r>
        <w:rPr>
          <w:rFonts w:ascii="楷体_GB2312" w:eastAsia="楷体_GB2312"/>
          <w:sz w:val="20"/>
          <w:szCs w:val="20"/>
        </w:rPr>
        <w:t>先出”</w:t>
      </w:r>
      <w:r>
        <w:rPr>
          <w:rFonts w:hint="eastAsia" w:ascii="楷体_GB2312" w:eastAsia="楷体_GB2312"/>
          <w:sz w:val="20"/>
          <w:szCs w:val="20"/>
        </w:rPr>
        <w:t>的</w:t>
      </w:r>
      <w:r>
        <w:rPr>
          <w:rFonts w:ascii="楷体_GB2312" w:eastAsia="楷体_GB2312"/>
          <w:sz w:val="20"/>
          <w:szCs w:val="20"/>
        </w:rPr>
        <w:t>原则处理投资者持有份额的赎回，</w:t>
      </w:r>
      <w:r>
        <w:rPr>
          <w:rFonts w:hint="eastAsia" w:ascii="楷体_GB2312" w:eastAsia="楷体_GB2312"/>
          <w:sz w:val="20"/>
          <w:szCs w:val="20"/>
        </w:rPr>
        <w:t>即</w:t>
      </w:r>
      <w:r>
        <w:rPr>
          <w:rFonts w:ascii="楷体_GB2312" w:eastAsia="楷体_GB2312"/>
          <w:sz w:val="20"/>
          <w:szCs w:val="20"/>
        </w:rPr>
        <w:t>份额</w:t>
      </w:r>
      <w:r>
        <w:rPr>
          <w:rFonts w:hint="eastAsia" w:ascii="楷体_GB2312" w:eastAsia="楷体_GB2312"/>
          <w:sz w:val="20"/>
          <w:szCs w:val="20"/>
        </w:rPr>
        <w:t>注册</w:t>
      </w:r>
      <w:r>
        <w:rPr>
          <w:rFonts w:ascii="楷体_GB2312" w:eastAsia="楷体_GB2312"/>
          <w:sz w:val="20"/>
          <w:szCs w:val="20"/>
        </w:rPr>
        <w:t>日期在前的份额先赎回，份额注册日期在后的份额后赎回。</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通过代销机构购买理财产品的，</w:t>
      </w:r>
      <w:r>
        <w:rPr>
          <w:rFonts w:hint="eastAsia" w:ascii="楷体_GB2312" w:eastAsia="楷体_GB2312" w:cs="楷体_GB2312"/>
          <w:color w:val="000000" w:themeColor="text1"/>
          <w:sz w:val="20"/>
          <w:szCs w:val="20"/>
          <w14:textFill>
            <w14:solidFill>
              <w14:schemeClr w14:val="tx1"/>
            </w14:solidFill>
          </w14:textFill>
        </w:rPr>
        <w:t>代销机构受理赎回申请并不表示对该申请成功的确认，而仅代表收到了赎回申请，申请是否成功应以管理人的最终确认为准。具体而言，如管理人在赎回确认日根据投资者的赎回确认</w:t>
      </w:r>
      <w:r>
        <w:rPr>
          <w:rFonts w:ascii="楷体_GB2312" w:eastAsia="楷体_GB2312" w:cs="楷体_GB2312"/>
          <w:color w:val="000000" w:themeColor="text1"/>
          <w:sz w:val="20"/>
          <w:szCs w:val="20"/>
          <w14:textFill>
            <w14:solidFill>
              <w14:schemeClr w14:val="tx1"/>
            </w14:solidFill>
          </w14:textFill>
        </w:rPr>
        <w:t>结果为</w:t>
      </w:r>
      <w:r>
        <w:rPr>
          <w:rFonts w:hint="eastAsia" w:ascii="楷体_GB2312" w:eastAsia="楷体_GB2312" w:cs="楷体_GB2312"/>
          <w:color w:val="000000" w:themeColor="text1"/>
          <w:sz w:val="20"/>
          <w:szCs w:val="20"/>
          <w14:textFill>
            <w14:solidFill>
              <w14:schemeClr w14:val="tx1"/>
            </w14:solidFill>
          </w14:textFill>
        </w:rPr>
        <w:t>投资者成功注销赎回份额，则视为投资者的赎回申请成功，并以管理人的登记结果为准。管理人会将赎回确认结果及时反馈给代销机构，投资者应及时按照本产品说明书的约定查询赎回确认结果。</w:t>
      </w:r>
    </w:p>
    <w:p>
      <w:pPr>
        <w:spacing w:line="300" w:lineRule="exact"/>
        <w:ind w:firstLine="428" w:firstLineChars="214"/>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若投资者在开放日全额或部分赎回，管理人将在该开放日后【5】个工作日内支付赎回款项，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．管理人保留不接受赎回申请的权利。</w:t>
      </w:r>
    </w:p>
    <w:p>
      <w:pPr>
        <w:spacing w:line="300" w:lineRule="exact"/>
        <w:ind w:right="96" w:rightChars="40" w:firstLine="426" w:firstLineChars="213"/>
        <w:rPr>
          <w:rFonts w:ascii="楷体_GB2312" w:eastAsia="楷体_GB2312"/>
          <w:color w:val="000000" w:themeColor="text1"/>
          <w:sz w:val="20"/>
          <w:szCs w:val="20"/>
          <w14:textFill>
            <w14:solidFill>
              <w14:schemeClr w14:val="tx1"/>
            </w14:solidFill>
          </w14:textFill>
        </w:rPr>
      </w:pPr>
    </w:p>
    <w:p>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六、理财产品的巨额赎回</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．如某开放日投资者净赎回份额超过本产品上一日终存续总份额的【</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2．在巨额赎回情况下，对于超过本产品上一日终存续总份额【10%】以上的赎回申请，管理人有权全部或部分暂停接受或延期办理。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1）对于接受办理的部分，可以按照单个投资者的赎回申请占当日申请赎回总份额的比例确定该投资者当日办理的赎回份额；</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对于不予办理的部分，若投资者在申请赎回时选择将该部分予以撤销的，则该部分份额申请失效，投资者可在下一开放日正常赎回交易时间内重新提交赎回申请；若投资者在申请赎回时未选择将该部分予以撤销的，管理人有权决定对该部分份额申请采取下述任一种处理方式，并按照本说明书约定通知投资者：</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a．失效，投资者可在下一开放日正常赎回交易时间内重新提交赎回申请。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b．延迟至下一个开放日办理，赎回价格为下一个开放日的价格。</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对于不予办理的部分，投资者是否在申请赎回时有选择撤销的权利，以销售机构为准。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．本产品连续【2】个以上开放日（含）发生巨额赎回，管理人有权暂停接受投资者的申购和赎回申请、</w:t>
      </w:r>
      <w:r>
        <w:rPr>
          <w:rFonts w:ascii="楷体_GB2312" w:eastAsia="楷体_GB2312" w:cs="楷体_GB2312"/>
          <w:color w:val="000000" w:themeColor="text1"/>
          <w:sz w:val="20"/>
          <w:szCs w:val="20"/>
          <w14:textFill>
            <w14:solidFill>
              <w14:schemeClr w14:val="tx1"/>
            </w14:solidFill>
          </w14:textFill>
        </w:rPr>
        <w:t>延期办理巨额赎回申请等</w:t>
      </w:r>
      <w:r>
        <w:rPr>
          <w:rFonts w:hint="eastAsia" w:ascii="楷体_GB2312" w:eastAsia="楷体_GB2312" w:cs="楷体_GB2312"/>
          <w:color w:val="000000" w:themeColor="text1"/>
          <w:sz w:val="20"/>
          <w:szCs w:val="20"/>
          <w14:textFill>
            <w14:solidFill>
              <w14:schemeClr w14:val="tx1"/>
            </w14:solidFill>
          </w14:textFill>
        </w:rPr>
        <w:t>。投资者根据管理人披露的开放日可重新进行申购和赎回。</w:t>
      </w:r>
      <w:r>
        <w:rPr>
          <w:rFonts w:ascii="楷体_GB2312" w:eastAsia="楷体_GB2312" w:cs="楷体_GB2312"/>
          <w:color w:val="000000" w:themeColor="text1"/>
          <w:sz w:val="20"/>
          <w:szCs w:val="20"/>
          <w14:textFill>
            <w14:solidFill>
              <w14:schemeClr w14:val="tx1"/>
            </w14:solidFill>
          </w14:textFill>
        </w:rPr>
        <w:t>对于已经接受的赎回申请，</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还可以延缓支付赎回款项，但延缓期限不得超过20个工作日。</w:t>
      </w:r>
    </w:p>
    <w:p>
      <w:pPr>
        <w:spacing w:line="300" w:lineRule="exact"/>
        <w:ind w:right="36" w:rightChars="15"/>
        <w:rPr>
          <w:rFonts w:ascii="楷体_GB2312" w:eastAsia="楷体_GB2312"/>
          <w:color w:val="000000" w:themeColor="text1"/>
          <w:sz w:val="20"/>
          <w:szCs w:val="20"/>
          <w14:textFill>
            <w14:solidFill>
              <w14:schemeClr w14:val="tx1"/>
            </w14:solidFill>
          </w14:textFill>
        </w:rPr>
      </w:pPr>
    </w:p>
    <w:p>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七、拒绝或暂停接受认、申购或赎回申请、延缓支付赎回款项等情形及处理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．管理人可拒绝接受或暂停接受投资者的认、申购申请的情形包括：</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）本产品资产规模过大，管理人无法找到合适的投资品种，或继续接受认/申购可能对理财产品业绩产生影响；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）当管理人认为某笔认/申购申请会有损于本产品其他份额持有人利益时，或基于</w:t>
      </w:r>
      <w:r>
        <w:rPr>
          <w:rFonts w:ascii="楷体_GB2312" w:eastAsia="楷体_GB2312" w:cs="楷体_GB2312"/>
          <w:color w:val="000000" w:themeColor="text1"/>
          <w:sz w:val="20"/>
          <w:szCs w:val="20"/>
          <w14:textFill>
            <w14:solidFill>
              <w14:schemeClr w14:val="tx1"/>
            </w14:solidFill>
          </w14:textFill>
        </w:rPr>
        <w:t>投资运作和风险控制需要，</w:t>
      </w:r>
      <w:r>
        <w:rPr>
          <w:rFonts w:hint="eastAsia" w:ascii="楷体_GB2312" w:eastAsia="楷体_GB2312" w:cs="楷体_GB2312"/>
          <w:color w:val="000000" w:themeColor="text1"/>
          <w:sz w:val="20"/>
          <w:szCs w:val="20"/>
          <w14:textFill>
            <w14:solidFill>
              <w14:schemeClr w14:val="tx1"/>
            </w14:solidFill>
          </w14:textFill>
        </w:rPr>
        <w:t>可拒绝该笔认/申购申请；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）当投资者认/申购金额将导致单笔认/申购金额上限、单个投资者持仓上限、计划募集金额上限、产品规模上限等各指标超限时，或单笔认/申购金额不足认/申购金额起点</w:t>
      </w:r>
      <w:r>
        <w:rPr>
          <w:rFonts w:ascii="楷体_GB2312" w:eastAsia="楷体_GB2312" w:cs="楷体_GB2312"/>
          <w:color w:val="000000" w:themeColor="text1"/>
          <w:sz w:val="20"/>
          <w:szCs w:val="20"/>
          <w14:textFill>
            <w14:solidFill>
              <w14:schemeClr w14:val="tx1"/>
            </w14:solidFill>
          </w14:textFill>
        </w:rPr>
        <w:t>金额时，</w:t>
      </w:r>
      <w:r>
        <w:rPr>
          <w:rFonts w:hint="eastAsia" w:ascii="楷体_GB2312" w:eastAsia="楷体_GB2312" w:cs="楷体_GB2312"/>
          <w:color w:val="000000" w:themeColor="text1"/>
          <w:sz w:val="20"/>
          <w:szCs w:val="20"/>
          <w14:textFill>
            <w14:solidFill>
              <w14:schemeClr w14:val="tx1"/>
            </w14:solidFill>
          </w14:textFill>
        </w:rPr>
        <w:t>管理人有权拒绝投资者的认/申购申请；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如果投资者的认、申购申请被拒绝，被拒绝的认、申购款项将全额退还给投资者，扣款日至资金返还日期间不计付利息。投资者通过代销机构购买理财产品的，以代销机构的规定为准。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．管理人可拒绝接受或暂停接受投资者的赎回申请，延缓支付赎回款项的情形包括：</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）因不可抗力或国家经济金融政策发生变化等原因导致管理人不能支付赎回款项；</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）本产品投资的公开或非公开交易市场的资产无法变现，或经管理人基于审慎的原则判断资产变现可能会对本产品投资收益造成重大不利影响的；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）本产品发生巨额赎回情形的；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）当管理人认为某笔</w:t>
      </w:r>
      <w:r>
        <w:rPr>
          <w:rFonts w:hint="eastAsia" w:ascii="楷体_GB2312" w:eastAsia="楷体_GB2312" w:cs="楷体_GB2312"/>
          <w:color w:val="000000" w:themeColor="text1"/>
          <w:sz w:val="20"/>
          <w:szCs w:val="20"/>
          <w14:textFill>
            <w14:solidFill>
              <w14:schemeClr w14:val="tx1"/>
            </w14:solidFill>
          </w14:textFill>
        </w:rPr>
        <w:t>赎回</w:t>
      </w:r>
      <w:r>
        <w:rPr>
          <w:rFonts w:ascii="楷体_GB2312" w:eastAsia="楷体_GB2312" w:cs="楷体_GB2312"/>
          <w:color w:val="000000" w:themeColor="text1"/>
          <w:sz w:val="20"/>
          <w:szCs w:val="20"/>
          <w14:textFill>
            <w14:solidFill>
              <w14:schemeClr w14:val="tx1"/>
            </w14:solidFill>
          </w14:textFill>
        </w:rPr>
        <w:t>申请会有损于本产品其他份额持有人利益时，或基于投资运作和风险控制需要；</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单个投资者在单个开放日申请赎回份额超过产品总份额【10】</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可以暂停接受其赎回申请；已经接受的赎回申请可以延缓支付赎回款项，但延缓期限不得超过20个工作日。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管理人可以向连续持有少于</w:t>
      </w:r>
      <w:r>
        <w:rPr>
          <w:rFonts w:ascii="楷体_GB2312" w:eastAsia="楷体_GB2312" w:cs="楷体_GB2312"/>
          <w:color w:val="000000" w:themeColor="text1"/>
          <w:sz w:val="20"/>
          <w:szCs w:val="20"/>
          <w14:textFill>
            <w14:solidFill>
              <w14:schemeClr w14:val="tx1"/>
            </w14:solidFill>
          </w14:textFill>
        </w:rPr>
        <w:t>7日的投资者收取赎回费，并将上述赎回费全额计入理财产品财产。</w:t>
      </w:r>
    </w:p>
    <w:p>
      <w:pPr>
        <w:spacing w:line="300" w:lineRule="exact"/>
        <w:ind w:firstLine="402"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5.当产品发生大额认购或赎回时，管理人可以采用摆动定价机制。摆动定价机制的相关原理与操作方法【</w:t>
      </w:r>
      <w:r>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Pr>
          <w:rFonts w:ascii="楷体_GB2312" w:eastAsia="楷体_GB2312" w:cs="楷体_GB2312"/>
          <w:b/>
          <w:color w:val="000000" w:themeColor="text1"/>
          <w:sz w:val="20"/>
          <w:szCs w:val="20"/>
          <w14:textFill>
            <w14:solidFill>
              <w14:schemeClr w14:val="tx1"/>
            </w14:solidFill>
          </w14:textFill>
        </w:rPr>
        <w:t>】。</w:t>
      </w:r>
    </w:p>
    <w:p>
      <w:pPr>
        <w:spacing w:line="300" w:lineRule="exact"/>
        <w:ind w:right="96" w:rightChars="4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八、理财资金分配</w:t>
      </w:r>
    </w:p>
    <w:p>
      <w:pPr>
        <w:pStyle w:val="7"/>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（一）</w:t>
      </w:r>
      <w:r>
        <w:rPr>
          <w:rFonts w:hint="eastAsia" w:ascii="黑体" w:eastAsia="黑体" w:cs="黑体"/>
          <w:color w:val="000000" w:themeColor="text1"/>
          <w:sz w:val="20"/>
          <w:szCs w:val="20"/>
          <w14:textFill>
            <w14:solidFill>
              <w14:schemeClr w14:val="tx1"/>
            </w14:solidFill>
          </w14:textFill>
        </w:rPr>
        <w:t xml:space="preserve">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pPr>
        <w:pStyle w:val="7"/>
        <w:spacing w:line="300" w:lineRule="exact"/>
        <w:ind w:left="388" w:right="96" w:rightChars="40" w:firstLine="0"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p>
      <w:pPr>
        <w:pStyle w:val="7"/>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 xml:space="preserve">（二）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终止</w:t>
      </w:r>
      <w:r>
        <w:rPr>
          <w:rFonts w:ascii="黑体" w:eastAsia="黑体" w:cs="黑体"/>
          <w:color w:val="000000" w:themeColor="text1"/>
          <w:sz w:val="20"/>
          <w:szCs w:val="20"/>
          <w14:textFill>
            <w14:solidFill>
              <w14:schemeClr w14:val="tx1"/>
            </w14:solidFill>
          </w14:textFill>
        </w:rPr>
        <w:t>分配</w:t>
      </w:r>
    </w:p>
    <w:p>
      <w:pPr>
        <w:pStyle w:val="7"/>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本产品在扣除信银理财</w:t>
      </w:r>
      <w:r>
        <w:rPr>
          <w:rFonts w:ascii="楷体_GB2312" w:eastAsia="楷体_GB2312"/>
          <w:color w:val="000000" w:themeColor="text1"/>
          <w:sz w:val="20"/>
          <w:szCs w:val="20"/>
          <w14:textFill>
            <w14:solidFill>
              <w14:schemeClr w14:val="tx1"/>
            </w14:solidFill>
          </w14:textFill>
        </w:rPr>
        <w:t>应收取费用</w:t>
      </w:r>
      <w:r>
        <w:rPr>
          <w:rFonts w:hint="eastAsia" w:ascii="楷体_GB2312" w:eastAsia="楷体_GB2312"/>
          <w:color w:val="000000" w:themeColor="text1"/>
          <w:sz w:val="20"/>
          <w:szCs w:val="20"/>
          <w14:textFill>
            <w14:solidFill>
              <w14:schemeClr w14:val="tx1"/>
            </w14:solidFill>
          </w14:textFill>
        </w:rPr>
        <w:t>及其他应由产品承担的税费后的投资损益全部归属投资者。</w:t>
      </w:r>
    </w:p>
    <w:p>
      <w:pPr>
        <w:pStyle w:val="7"/>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后【5】个工作日内根据实际情况一次性分配，如遇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pPr>
        <w:pStyle w:val="7"/>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pPr>
        <w:pStyle w:val="7"/>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，产品到期日视情况将可能相应进行调整，若进行调整，信银理财将以本产品说明书约定的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pPr>
        <w:pStyle w:val="7"/>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pPr>
        <w:spacing w:line="300" w:lineRule="exact"/>
        <w:ind w:left="-2" w:leftChars="-1" w:right="36" w:rightChars="15"/>
        <w:rPr>
          <w:color w:val="000000" w:themeColor="text1"/>
          <w14:textFill>
            <w14:solidFill>
              <w14:schemeClr w14:val="tx1"/>
            </w14:solidFill>
          </w14:textFill>
        </w:rPr>
      </w:pPr>
    </w:p>
    <w:p>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九、理财产品的费用</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2．认购费：</w:t>
      </w:r>
      <w:r>
        <w:rPr>
          <w:rFonts w:hint="eastAsia" w:ascii="楷体_GB2312" w:eastAsia="楷体_GB2312" w:cs="楷体_GB2312"/>
          <w:b/>
          <w:color w:val="000000" w:themeColor="text1"/>
          <w:sz w:val="20"/>
          <w:szCs w:val="20"/>
          <w14:textFill>
            <w14:solidFill>
              <w14:schemeClr w14:val="tx1"/>
            </w14:solidFill>
          </w14:textFill>
        </w:rPr>
        <w:t>B类份额不收取认购费，G类份额不收取认购费，</w:t>
      </w:r>
      <w:r>
        <w:rPr>
          <w:rFonts w:ascii="楷体_GB2312" w:eastAsia="楷体_GB2312" w:cs="楷体_GB2312"/>
          <w:b/>
          <w:color w:val="000000" w:themeColor="text1"/>
          <w:sz w:val="20"/>
          <w:szCs w:val="20"/>
          <w14:textFill>
            <w14:solidFill>
              <w14:schemeClr w14:val="tx1"/>
            </w14:solidFill>
          </w14:textFill>
        </w:rPr>
        <w:t>H</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3．申购费：</w:t>
      </w:r>
      <w:r>
        <w:rPr>
          <w:rFonts w:ascii="楷体_GB2312" w:eastAsia="楷体_GB2312" w:cs="楷体_GB2312"/>
          <w:b/>
          <w:sz w:val="20"/>
          <w:szCs w:val="20"/>
        </w:rPr>
        <w:t>B类份额不收取申购费，G类份额不收取申购费，H类份额不收取申购费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4．赎回费：</w:t>
      </w:r>
      <w:r>
        <w:rPr>
          <w:rFonts w:hint="eastAsia" w:ascii="楷体_GB2312" w:eastAsia="楷体_GB2312" w:cs="楷体_GB2312"/>
          <w:b/>
          <w:color w:val="000000" w:themeColor="text1"/>
          <w:sz w:val="20"/>
          <w:szCs w:val="20"/>
          <w14:textFill>
            <w14:solidFill>
              <w14:schemeClr w14:val="tx1"/>
            </w14:solidFill>
          </w14:textFill>
        </w:rPr>
        <w:t>B类份额不收取赎回费，G类份额不收取赎回费，</w:t>
      </w:r>
      <w:r>
        <w:rPr>
          <w:rFonts w:ascii="楷体_GB2312" w:eastAsia="楷体_GB2312" w:cs="楷体_GB2312"/>
          <w:b/>
          <w:color w:val="000000" w:themeColor="text1"/>
          <w:sz w:val="20"/>
          <w:szCs w:val="20"/>
          <w14:textFill>
            <w14:solidFill>
              <w14:schemeClr w14:val="tx1"/>
            </w14:solidFill>
          </w14:textFill>
        </w:rPr>
        <w:t>H</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5．销售服务费</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sz w:val="20"/>
          <w:szCs w:val="20"/>
        </w:rPr>
        <w:t>B类份额费率【0.30%】/年，G类份额费率【0.30%】/年，H类份额费率【0.30%】/年</w:t>
      </w:r>
      <w:r>
        <w:rPr>
          <w:rFonts w:hint="eastAsia" w:ascii="楷体_GB2312" w:eastAsia="楷体_GB2312" w:cs="楷体_GB2312"/>
          <w:b/>
          <w:sz w:val="20"/>
          <w:szCs w:val="20"/>
        </w:rPr>
        <w:t>，</w:t>
      </w:r>
      <w:r>
        <w:rPr>
          <w:rFonts w:ascii="楷体_GB2312" w:eastAsia="楷体_GB2312" w:cs="楷体_GB2312"/>
          <w:b/>
          <w:color w:val="000000" w:themeColor="text1"/>
          <w:sz w:val="20"/>
          <w:szCs w:val="20"/>
          <w14:textFill>
            <w14:solidFill>
              <w14:schemeClr w14:val="tx1"/>
            </w14:solidFill>
          </w14:textFill>
        </w:rPr>
        <w:t>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销售服务费每日计提，按【季】支付，由管理人向托管人发送指令，托管人复核后按【季】从资产中一次性支付。投资者通过代销机构购买理财产品的，代销机构收取的销售相关费用以代销机构规定为准。</w:t>
      </w:r>
    </w:p>
    <w:p>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6．托管费</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费率【0.03%】/年，计算方式为【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托管费每日计提，按【</w:t>
      </w:r>
      <w:r>
        <w:rPr>
          <w:rFonts w:hint="eastAsia" w:ascii="楷体_GB2312" w:eastAsia="楷体_GB2312" w:cs="楷体_GB2312"/>
          <w:b/>
          <w:color w:val="000000" w:themeColor="text1"/>
          <w:sz w:val="20"/>
          <w:szCs w:val="20"/>
          <w14:textFill>
            <w14:solidFill>
              <w14:schemeClr w14:val="tx1"/>
            </w14:solidFill>
          </w14:textFill>
        </w:rPr>
        <w:t>年</w:t>
      </w:r>
      <w:r>
        <w:rPr>
          <w:rFonts w:ascii="楷体_GB2312" w:eastAsia="楷体_GB2312" w:cs="楷体_GB2312"/>
          <w:b/>
          <w:color w:val="000000" w:themeColor="text1"/>
          <w:sz w:val="20"/>
          <w:szCs w:val="20"/>
          <w14:textFill>
            <w14:solidFill>
              <w14:schemeClr w14:val="tx1"/>
            </w14:solidFill>
          </w14:textFill>
        </w:rPr>
        <w:t>】支付，由管理人向托管人发送指令，托管人复核后从资产中一次性支付。</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7．固定管理费</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费率【0.30%】/年，计算方式为【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固定管理费每日计提，按【月】支付，由管理人向托管人发送指令，托管人复核后从资产中一次性支付。</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8</w:t>
      </w:r>
      <w:r>
        <w:rPr>
          <w:rFonts w:ascii="楷体_GB2312" w:eastAsia="楷体_GB2312" w:cs="楷体_GB2312"/>
          <w:b/>
          <w:color w:val="000000" w:themeColor="text1"/>
          <w:sz w:val="20"/>
          <w:szCs w:val="20"/>
          <w14:textFill>
            <w14:solidFill>
              <w14:schemeClr w14:val="tx1"/>
            </w14:solidFill>
          </w14:textFill>
        </w:rPr>
        <w:t>．浮动管理费</w:t>
      </w:r>
    </w:p>
    <w:p>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B类、G类、H类份额不收取浮动管理费。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9</w:t>
      </w:r>
      <w:r>
        <w:rPr>
          <w:rFonts w:ascii="楷体_GB2312" w:eastAsia="楷体_GB2312" w:cs="楷体_GB2312"/>
          <w:b/>
          <w:color w:val="000000" w:themeColor="text1"/>
          <w:sz w:val="20"/>
          <w:szCs w:val="20"/>
          <w14:textFill>
            <w14:solidFill>
              <w14:schemeClr w14:val="tx1"/>
            </w14:solidFill>
          </w14:textFill>
        </w:rPr>
        <w:t>．产品运作和清算中产生的其他资金汇划费、结算费、交易手续费、注册登记费、信息披露费、账户服务费、审计费、律师费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及按照法律法规规章规定和理财产品销售文件约定应由产品承担的费用等，按照实际发生时从产品资产中列支。</w:t>
      </w:r>
    </w:p>
    <w:p>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十、资产估值</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产品开放日、净值披露日和收益分配日</w:t>
      </w:r>
      <w:r>
        <w:rPr>
          <w:rFonts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按第三方估值机构（中债、中证等）提供的相应品种当日的估值净价进行估值，未获取到第三方估值结果的，按照最新监管规定进行估值。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5）信托计划、资管计划、私募基金等资产，以对方管理人披露的可获取到的最新净值，或前一估值日后至估值日期间（含节假日）能获取到的最新万分收益进行估值。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6）非标准化债权，存在并可以确定公允价值的，以公允价值估值；公允价值不能确定的，按照最新监管规定或管理人认可的估值技术进行估值。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8）期货、互换、期权等衍生金融工具，有活跃市场的交易，以最近交易日结算价或收盘价进行估值；无活跃市场的交易，按照第三方机构提供的估值数据或管理人认可的估值技术进行估值。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9）若本产品存续期间持有其他投资品种，以管理人和托管人共同认可的方法估值。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w:t>
      </w:r>
      <w:r>
        <w:rPr>
          <w:rFonts w:hint="eastAsia" w:ascii="楷体_GB2312" w:eastAsia="楷体_GB2312" w:cs="楷体_GB2312"/>
          <w:color w:val="000000" w:themeColor="text1"/>
          <w:sz w:val="20"/>
          <w:szCs w:val="20"/>
          <w14:textFill>
            <w14:solidFill>
              <w14:schemeClr w14:val="tx1"/>
            </w14:solidFill>
          </w14:textFill>
        </w:rPr>
        <w:t>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本产品管理人和托管人将采取必要、适当合理的措施确保资产估值的准确性、及时性。当单位净值出现错误时，本产品管理人和托管人应当立即予以纠正，并采取合理的措施防止损失进一步扩大。</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1）估值错误处理原则</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A由于管理人或托管人自身的过错造成估值错误，导致投资者遭受损失的，由估值错误责任方按照各自过错程度对该估值错误导致投资者遭受的直接损失给予赔偿，承担赔偿责任。</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D当估值出现错误时，因估值错误而获得不当得利的投资者负有及时返还不当得利的义务。</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E按法律法规规定的其他原则处理估值错误。</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2）估值错误处理程序</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A查明估值错误发生的原因，列明所有的管理人和托管人并根据估值错误发生的原因确定估值错误的责任方；</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B根据估值错误处理原则对因估值错误造成的损失进行评估；</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C根据管理人和托管人协商的方法，由管理人和托管人共同进行更正，由估值错误的责任方进行赔偿损失。</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特殊情况的处理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2）前述内容如法律法规、监管机关另有规定的，或有关会计准则发生变化等，按照国家最新规定或管理人最新约定估值。如果行业另有通行做法，管理人和托管人本着平等和保护投资者的原则进行协商。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2）理财产品投资所涉及的交易市场遇法定节假日或因其他原因暂停营业时；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遇以上情形，管理人可暂停本产品估值直至另行通知。</w:t>
      </w:r>
    </w:p>
    <w:p>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十一、产品不成立</w:t>
      </w:r>
    </w:p>
    <w:p>
      <w:pPr>
        <w:spacing w:line="300" w:lineRule="exact"/>
        <w:ind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pPr>
        <w:spacing w:line="300" w:lineRule="exact"/>
        <w:ind w:firstLine="400" w:firstLineChars="200"/>
        <w:jc w:val="both"/>
        <w:rPr>
          <w:rFonts w:ascii="Times New Roman" w:hAnsi="Times New Roman"/>
          <w:b/>
          <w:bCs/>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14:textFill>
            <w14:solidFill>
              <w14:schemeClr w14:val="tx1"/>
            </w14:solidFill>
          </w14:textFill>
        </w:rPr>
        <w:t> </w:t>
      </w:r>
    </w:p>
    <w:p>
      <w:pPr>
        <w:spacing w:line="300" w:lineRule="exact"/>
        <w:ind w:left="-2" w:leftChars="-1" w:right="36" w:rightChars="15" w:firstLine="480" w:firstLineChars="200"/>
        <w:jc w:val="both"/>
        <w:rPr>
          <w:color w:val="000000" w:themeColor="text1"/>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十二、产品的提前终止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（1）遇不可</w:t>
      </w:r>
      <w:r>
        <w:rPr>
          <w:rFonts w:ascii="楷体_GB2312" w:eastAsia="楷体_GB2312" w:cs="楷体_GB2312"/>
          <w:color w:val="000000" w:themeColor="text1"/>
          <w:sz w:val="20"/>
          <w:szCs w:val="20"/>
          <w14:textFill>
            <w14:solidFill>
              <w14:schemeClr w14:val="tx1"/>
            </w14:solidFill>
          </w14:textFill>
        </w:rPr>
        <w:t>抗力事件</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规定、</w:t>
      </w:r>
      <w:r>
        <w:rPr>
          <w:rFonts w:ascii="楷体_GB2312" w:eastAsia="楷体_GB2312" w:cs="楷体_GB2312"/>
          <w:color w:val="000000" w:themeColor="text1"/>
          <w:sz w:val="20"/>
          <w:szCs w:val="20"/>
          <w14:textFill>
            <w14:solidFill>
              <w14:schemeClr w14:val="tx1"/>
            </w14:solidFill>
          </w14:textFill>
        </w:rPr>
        <w:t>国家有权机关强制要求等原因导致理财产品无法继续存续</w:t>
      </w:r>
      <w:r>
        <w:rPr>
          <w:rFonts w:hint="eastAsia" w:ascii="楷体_GB2312" w:eastAsia="楷体_GB2312" w:cs="楷体_GB2312"/>
          <w:color w:val="000000" w:themeColor="text1"/>
          <w:sz w:val="20"/>
          <w:szCs w:val="20"/>
          <w14:textFill>
            <w14:solidFill>
              <w14:schemeClr w14:val="tx1"/>
            </w14:solidFill>
          </w14:textFill>
        </w:rPr>
        <w:t>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（2）遇国家金融政策出现重大调整，或本产品所投资资产市场价格大幅下滑，或信银理财认为将</w:t>
      </w:r>
      <w:r>
        <w:rPr>
          <w:rFonts w:ascii="楷体_GB2312" w:eastAsia="楷体_GB2312" w:cs="楷体_GB2312"/>
          <w:color w:val="000000" w:themeColor="text1"/>
          <w:sz w:val="20"/>
          <w:szCs w:val="20"/>
          <w14:textFill>
            <w14:solidFill>
              <w14:schemeClr w14:val="tx1"/>
            </w14:solidFill>
          </w14:textFill>
        </w:rPr>
        <w:t>影响理财产品正常运作</w:t>
      </w:r>
      <w:r>
        <w:rPr>
          <w:rFonts w:hint="eastAsia" w:ascii="楷体_GB2312" w:eastAsia="楷体_GB2312" w:cs="楷体_GB2312"/>
          <w:color w:val="000000" w:themeColor="text1"/>
          <w:sz w:val="20"/>
          <w:szCs w:val="20"/>
          <w14:textFill>
            <w14:solidFill>
              <w14:schemeClr w14:val="tx1"/>
            </w14:solidFill>
          </w14:textFill>
        </w:rPr>
        <w:t>、需要提前终止本产品的其他情形的；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（3）本产品所投资资产的信用状况发生恶化，信银理财合理判断可能影响到期正常兑付时；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（4）因投资者理财资金被有权机关扣划等原因导致理财产品剩余资产无法满足相关法律法规规定、所投资市场要求或协议等相关法律文件约定，或者继续存续无法实现投资目的；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（5）因相关投资管理机构解散、破产、撤销、被取消业务资格等原因无法继续履行相应职责导致产品无法继续运作；</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（6）相关投资管理机构或运用理财资金的第三方主体实施符合法律法规规定或协议等相关文件约定的行为导致理财产品被动提前终止；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（7）提前终止产品比维持产品运作更有利于保护产品持有人的权益；</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（8）法律法规规定或监管部门认定的其他情形。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如果信银理财提前终止本理财产品，信银理财将于提前终止日前【2】个工作日通知投资者，并在提前终止日后【5】个工作日内支付投资者应得</w:t>
      </w:r>
      <w:r>
        <w:rPr>
          <w:rFonts w:ascii="楷体_GB2312" w:eastAsia="楷体_GB2312" w:cs="楷体_GB2312"/>
          <w:color w:val="000000" w:themeColor="text1"/>
          <w:sz w:val="20"/>
          <w:szCs w:val="20"/>
          <w14:textFill>
            <w14:solidFill>
              <w14:schemeClr w14:val="tx1"/>
            </w14:solidFill>
          </w14:textFill>
        </w:rPr>
        <w:t>资金</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代销机构购买本理财产品的</w:t>
      </w:r>
      <w:r>
        <w:rPr>
          <w:rFonts w:hint="eastAsia" w:ascii="楷体_GB2312" w:eastAsia="楷体_GB2312" w:cs="楷体_GB2312"/>
          <w:color w:val="000000" w:themeColor="text1"/>
          <w:sz w:val="20"/>
          <w:szCs w:val="20"/>
          <w14:textFill>
            <w14:solidFill>
              <w14:schemeClr w14:val="tx1"/>
            </w14:solidFill>
          </w14:textFill>
        </w:rPr>
        <w:t>，理财资金划转至投资者账户的时间以该代销机构的清算时间为准。若产品提前终止，产品到期日相应调整为提前终止日。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．理财产品不因投资者死亡、丧失民事行为能力、破产而终止；投资者的法定继承人、承继人或指定受益人以及继任管理人承担本理财产品项下的相应权利和义务。</w:t>
      </w:r>
    </w:p>
    <w:p>
      <w:pPr>
        <w:snapToGrid w:val="0"/>
        <w:ind w:left="-2" w:leftChars="-1" w:right="53" w:rightChars="22" w:firstLine="480" w:firstLineChars="200"/>
        <w:jc w:val="both"/>
        <w:rPr>
          <w:color w:val="000000" w:themeColor="text1"/>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十三、产品的延期清算</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w:t>
      </w:r>
    </w:p>
    <w:p>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十四、产品管理人与投资者权利义务</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pPr>
        <w:snapToGrid w:val="0"/>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pPr>
        <w:spacing w:line="300" w:lineRule="exact"/>
        <w:ind w:left="400" w:right="29" w:rightChars="12" w:hanging="400" w:hangingChars="200"/>
        <w:rPr>
          <w:rFonts w:ascii="黑体" w:eastAsia="黑体" w:cs="黑体"/>
          <w:color w:val="000000" w:themeColor="text1"/>
          <w:sz w:val="20"/>
          <w:szCs w:val="20"/>
          <w14:textFill>
            <w14:solidFill>
              <w14:schemeClr w14:val="tx1"/>
            </w14:solidFill>
          </w14:textFill>
        </w:rPr>
      </w:pPr>
    </w:p>
    <w:p>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十五、保密</w:t>
      </w:r>
      <w:r>
        <w:rPr>
          <w:rFonts w:ascii="黑体" w:eastAsia="黑体" w:cs="黑体"/>
          <w:b/>
          <w:color w:val="000000" w:themeColor="text1"/>
          <w:sz w:val="20"/>
          <w:szCs w:val="20"/>
          <w14:textFill>
            <w14:solidFill>
              <w14:schemeClr w14:val="tx1"/>
            </w14:solidFill>
          </w14:textFill>
        </w:rPr>
        <w:t>条款</w:t>
      </w:r>
    </w:p>
    <w:p>
      <w:pPr>
        <w:pStyle w:val="7"/>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pPr>
        <w:pStyle w:val="7"/>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pPr>
        <w:pStyle w:val="7"/>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pPr>
        <w:spacing w:line="300" w:lineRule="exact"/>
        <w:ind w:right="29" w:rightChars="12"/>
        <w:rPr>
          <w:rFonts w:ascii="黑体" w:eastAsia="黑体" w:cs="黑体"/>
          <w:color w:val="000000" w:themeColor="text1"/>
          <w:sz w:val="20"/>
          <w:szCs w:val="20"/>
          <w14:textFill>
            <w14:solidFill>
              <w14:schemeClr w14:val="tx1"/>
            </w14:solidFill>
          </w14:textFill>
        </w:rPr>
      </w:pPr>
    </w:p>
    <w:p>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十六、特别提示</w:t>
      </w:r>
    </w:p>
    <w:p>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可于最近一个开放日赎回理财产品。</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拨打信银理财客户服务热线【</w:t>
      </w:r>
      <w:r>
        <w:rPr>
          <w:rFonts w:ascii="楷体_GB2312" w:eastAsia="楷体_GB2312"/>
          <w:b/>
          <w:bCs/>
          <w:sz w:val="20"/>
          <w:szCs w:val="20"/>
        </w:rPr>
        <w:t>950950，工作时间为工作日8：30-20：30</w:t>
      </w:r>
      <w:r>
        <w:rPr>
          <w:rFonts w:ascii="楷体_GB2312" w:eastAsia="楷体_GB2312"/>
          <w:b/>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w:t>
      </w:r>
      <w:r>
        <w:rPr>
          <w:rFonts w:ascii="楷体_GB2312" w:eastAsia="楷体_GB2312"/>
          <w:b/>
          <w:bCs/>
          <w:sz w:val="20"/>
          <w:szCs w:val="20"/>
        </w:rPr>
        <w:t>http://www.citic-wealth.com/</w:t>
      </w:r>
      <w:r>
        <w:rPr>
          <w:rFonts w:ascii="楷体_GB2312" w:eastAsia="楷体_GB2312"/>
          <w:b/>
          <w:color w:val="000000" w:themeColor="text1"/>
          <w:sz w:val="20"/>
          <w:szCs w:val="20"/>
          <w14:textFill>
            <w14:solidFill>
              <w14:schemeClr w14:val="tx1"/>
            </w14:solidFill>
          </w14:textFill>
        </w:rPr>
        <w:t>】进行查询。信银理财将安排专人及时收集客户投诉，并在收到客户投诉的第一时间内与客户取得联系，及时处理并进行反馈投资者通过代销机构购买理财产品的，可按照代销机构提供的联系方式反馈信息、咨询和投诉。</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pPr>
        <w:spacing w:line="300" w:lineRule="exact"/>
        <w:ind w:firstLine="430"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十七、违约责任</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十八、免责内容</w:t>
      </w:r>
    </w:p>
    <w:p>
      <w:pPr>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十九、本说明书的生效与终止</w:t>
      </w:r>
    </w:p>
    <w:p>
      <w:pPr>
        <w:pStyle w:val="7"/>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理财营业场所购买理财产品的，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pPr>
        <w:pStyle w:val="7"/>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pPr>
        <w:pStyle w:val="7"/>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二十、争议解决</w:t>
      </w:r>
    </w:p>
    <w:p>
      <w:pPr>
        <w:spacing w:line="300" w:lineRule="exact"/>
        <w:ind w:firstLine="402" w:firstLineChars="200"/>
        <w:jc w:val="both"/>
        <w:rPr>
          <w:rFonts w:ascii="Times New Roman" w:hAnsi="Times New Roman" w:eastAsia="楷体_GB2312" w:cs="Times New Roman"/>
          <w:b/>
          <w:bCs/>
          <w:sz w:val="20"/>
          <w:szCs w:val="20"/>
        </w:rPr>
      </w:pPr>
      <w:bookmarkStart w:id="0" w:name="_Hlk144405041"/>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bookmarkEnd w:id="0"/>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r>
        <w:rPr>
          <w:rFonts w:ascii="楷体_GB2312" w:eastAsia="楷体_GB2312"/>
          <w:color w:val="000000" w:themeColor="text1"/>
          <w:sz w:val="20"/>
          <w:szCs w:val="20"/>
          <w:u w:val="single"/>
          <w14:textFill>
            <w14:solidFill>
              <w14:schemeClr w14:val="tx1"/>
            </w14:solidFill>
          </w14:textFill>
        </w:rPr>
        <w:t>                                 </w:t>
      </w:r>
    </w:p>
    <w:p>
      <w:pPr>
        <w:jc w:val="both"/>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pPr>
        <w:spacing w:line="300" w:lineRule="exact"/>
        <w:ind w:left="-2" w:leftChars="-1" w:right="36" w:rightChars="15"/>
        <w:rPr>
          <w:rFonts w:ascii="黑体" w:hAnsi="Times New Roman" w:eastAsia="黑体"/>
          <w:color w:val="000000" w:themeColor="text1"/>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pPr>
        <w:ind w:left="4440" w:right="440" w:hanging="4440" w:hangingChars="1850"/>
        <w:rPr>
          <w:rFonts w:ascii="楷体" w:hAnsi="楷体" w:eastAsia="楷体"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pPr>
        <w:ind w:right="-902" w:rightChars="-376"/>
        <w:rPr>
          <w:rFonts w:ascii="楷体" w:hAnsi="楷体" w:eastAsia="楷体"/>
          <w:color w:val="000000" w:themeColor="text1"/>
          <w14:textFill>
            <w14:solidFill>
              <w14:schemeClr w14:val="tx1"/>
            </w14:solidFill>
          </w14:textFill>
        </w:rPr>
      </w:pPr>
      <w:r>
        <w:rPr>
          <w:rFonts w:ascii="Calibri" w:hAnsi="Calibri" w:eastAsia="楷体" w:cs="Calibri"/>
          <w:color w:val="000000" w:themeColor="text1"/>
          <w14:textFill>
            <w14:solidFill>
              <w14:schemeClr w14:val="tx1"/>
            </w14:solidFill>
          </w14:textFill>
        </w:rPr>
        <w:t> </w:t>
      </w:r>
    </w:p>
    <w:p>
      <w:pPr>
        <w:ind w:right="-902" w:rightChars="-376"/>
        <w:rPr>
          <w:rFonts w:ascii="黑体" w:hAnsi="Times New Roman" w:eastAsia="黑体"/>
          <w:color w:val="000000" w:themeColor="text1"/>
          <w14:textFill>
            <w14:solidFill>
              <w14:schemeClr w14:val="tx1"/>
            </w14:solidFill>
          </w14:textFill>
        </w:rPr>
      </w:pPr>
    </w:p>
    <w:p>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机构客户（盖章）：</w:t>
      </w:r>
      <w:r>
        <w:rPr>
          <w:rFonts w:ascii="黑体" w:hAnsi="Times New Roman" w:eastAsia="黑体"/>
          <w:color w:val="000000" w:themeColor="text1"/>
          <w14:textFill>
            <w14:solidFill>
              <w14:schemeClr w14:val="tx1"/>
            </w14:solidFill>
          </w14:textFill>
        </w:rPr>
        <w:t xml:space="preserve">                    </w:t>
      </w:r>
    </w:p>
    <w:p>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pPr>
        <w:ind w:right="-902" w:rightChars="-376"/>
        <w:rPr>
          <w:rFonts w:ascii="黑体" w:hAnsi="Times New Roman" w:eastAsia="黑体"/>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pPr>
        <w:ind w:right="-902" w:rightChars="-376"/>
        <w:rPr>
          <w:rFonts w:ascii="黑体" w:hAnsi="Times New Roman" w:eastAsia="黑体"/>
          <w:color w:val="000000" w:themeColor="text1"/>
          <w14:textFill>
            <w14:solidFill>
              <w14:schemeClr w14:val="tx1"/>
            </w14:solidFill>
          </w14:textFill>
        </w:rPr>
      </w:pPr>
    </w:p>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本产品风险评级为【</w:t>
    </w:r>
    <w:r>
      <w:t>PR2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13340"/>
    <w:multiLevelType w:val="multilevel"/>
    <w:tmpl w:val="0CE13340"/>
    <w:lvl w:ilvl="0" w:tentative="0">
      <w:start w:val="1"/>
      <w:numFmt w:val="decimal"/>
      <w:lvlText w:val="%1."/>
      <w:lvlJc w:val="left"/>
      <w:pPr>
        <w:ind w:left="758" w:hanging="360"/>
      </w:pPr>
      <w:rPr>
        <w:rFonts w:ascii="楷体_GB2312" w:hAnsi="宋体"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1">
    <w:nsid w:val="15C00D17"/>
    <w:multiLevelType w:val="multilevel"/>
    <w:tmpl w:val="15C00D17"/>
    <w:lvl w:ilvl="0" w:tentative="0">
      <w:start w:val="1"/>
      <w:numFmt w:val="decimal"/>
      <w:lvlText w:val="%1."/>
      <w:lvlJc w:val="left"/>
      <w:pPr>
        <w:ind w:left="644" w:hanging="360"/>
      </w:pPr>
      <w:rPr>
        <w:rFonts w:ascii="Times New Roman" w:hAnsi="Times New Roman" w:eastAsia="楷体_GB2312" w:cs="楷体_GB2312"/>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2">
    <w:nsid w:val="26136516"/>
    <w:multiLevelType w:val="multilevel"/>
    <w:tmpl w:val="26136516"/>
    <w:lvl w:ilvl="0" w:tentative="0">
      <w:start w:val="1"/>
      <w:numFmt w:val="decimal"/>
      <w:lvlText w:val="%1."/>
      <w:lvlJc w:val="left"/>
      <w:pPr>
        <w:ind w:left="758" w:hanging="360"/>
      </w:pPr>
      <w:rPr>
        <w:rFonts w:ascii="Times New Roman" w:hAnsi="Times New Roman"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3">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B6B1016"/>
    <w:multiLevelType w:val="multilevel"/>
    <w:tmpl w:val="4B6B1016"/>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5">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abstractNum w:abstractNumId="6">
    <w:nsid w:val="72463A12"/>
    <w:multiLevelType w:val="multilevel"/>
    <w:tmpl w:val="72463A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DA27A1"/>
    <w:rsid w:val="73DA2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0"/>
    <w:rPr>
      <w:color w:val="0563C1" w:themeColor="hyperlink"/>
      <w:u w:val="single"/>
      <w14:textFill>
        <w14:solidFill>
          <w14:schemeClr w14:val="hlink"/>
        </w14:solidFill>
      </w14:textFill>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2025-06-30T01:27:00Z</dcterms:created>
  <dc:creator>刘哲铭-盐城分行</dc:creator>
  <cp:lastModifiedBy>刘哲铭-盐城分行</cp:lastModifiedBy>
  <dcterms:modified xsi:type="dcterms:W3CDTF">2025-06-30T01:29:54Z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3D528ABC9FF348FFB5480B9B9AF519B8</vt:lpwstr>
  </property>
</Properties>
</file>