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pageBreakBefore w:val="0"/>
        <w:spacing w:before="0" w:beforeAutospacing="0" w:after="0" w:afterAutospacing="0" w:line="240" w:lineRule="auto"/>
        <w:jc w:val="center"/>
        <w:rPr>
          <w:rFonts w:hint="eastAsia" w:ascii="楷体" w:hAnsi="楷体" w:eastAsia="楷体"/>
          <w:b/>
          <w:color w:val="auto"/>
          <w:sz w:val="28"/>
          <w:szCs w:val="28"/>
        </w:rPr>
      </w:pPr>
      <w:r>
        <w:rPr>
          <w:rFonts w:hint="eastAsia" w:ascii="楷体" w:hAnsi="楷体" w:eastAsia="楷体"/>
          <w:b/>
          <w:color w:val="auto"/>
          <w:sz w:val="28"/>
          <w:szCs w:val="28"/>
        </w:rPr>
        <w:t>“苏银理财</w:t>
      </w:r>
      <w:r>
        <w:rPr>
          <w:rFonts w:hint="eastAsia" w:ascii="楷体" w:hAnsi="楷体" w:eastAsia="楷体"/>
          <w:b/>
          <w:color w:val="auto"/>
          <w:sz w:val="28"/>
          <w:szCs w:val="28"/>
          <w:lang w:eastAsia="zh-CN"/>
        </w:rPr>
        <w:t>恒源封闭债权245期</w:t>
      </w:r>
      <w:r>
        <w:rPr>
          <w:rFonts w:hint="eastAsia" w:ascii="楷体" w:hAnsi="楷体" w:eastAsia="楷体"/>
          <w:b/>
          <w:color w:val="auto"/>
          <w:sz w:val="28"/>
          <w:szCs w:val="28"/>
        </w:rPr>
        <w:t>”理财产品风险揭示书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4"/>
          <w:szCs w:val="24"/>
        </w:rPr>
        <w:t>理财非存款、产品有风险、投资须谨慎</w:t>
      </w:r>
    </w:p>
    <w:p>
      <w:pPr>
        <w:pStyle w:val="14"/>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4"/>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4"/>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numPr>
          <w:ilvl w:val="0"/>
          <w:numId w:val="1"/>
        </w:numPr>
        <w:tabs>
          <w:tab w:val="left" w:pos="1134"/>
        </w:tabs>
        <w:spacing w:line="240" w:lineRule="atLeast"/>
        <w:ind w:left="0" w:firstLine="482" w:firstLineChars="200"/>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4"/>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2"/>
        </w:numPr>
        <w:tabs>
          <w:tab w:val="left" w:pos="993"/>
        </w:tabs>
        <w:spacing w:line="240" w:lineRule="atLeast"/>
        <w:ind w:left="0" w:firstLine="422" w:firstLineChars="200"/>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2"/>
        </w:numPr>
        <w:tabs>
          <w:tab w:val="left" w:pos="993"/>
        </w:tabs>
        <w:ind w:left="0" w:firstLine="422" w:firstLineChars="200"/>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numPr>
          <w:ilvl w:val="0"/>
          <w:numId w:val="2"/>
        </w:numPr>
        <w:tabs>
          <w:tab w:val="left" w:pos="993"/>
        </w:tabs>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numPr>
          <w:ilvl w:val="0"/>
          <w:numId w:val="3"/>
        </w:numPr>
        <w:tabs>
          <w:tab w:val="left" w:pos="742"/>
        </w:tabs>
        <w:ind w:left="0" w:firstLine="420" w:firstLineChars="200"/>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default" w:ascii="Calibri" w:hAnsi="Calibri" w:eastAsia="楷体" w:cs="Calibri"/>
          <w:color w:val="auto"/>
          <w:sz w:val="21"/>
          <w:szCs w:val="21"/>
        </w:rPr>
        <w:t>①</w:t>
      </w:r>
      <w:r>
        <w:rPr>
          <w:rFonts w:hint="eastAsia" w:ascii="楷体" w:hAnsi="楷体" w:eastAsia="楷体"/>
          <w:color w:val="auto"/>
          <w:sz w:val="21"/>
          <w:szCs w:val="21"/>
        </w:rPr>
        <w:t>市场平均利率水平变化导致债券价格变化的风险。</w:t>
      </w:r>
      <w:r>
        <w:rPr>
          <w:rFonts w:hint="default" w:ascii="Calibri" w:hAnsi="Calibri" w:eastAsia="楷体" w:cs="Calibri"/>
          <w:color w:val="auto"/>
          <w:sz w:val="21"/>
          <w:szCs w:val="21"/>
        </w:rPr>
        <w:t>②</w:t>
      </w:r>
      <w:r>
        <w:rPr>
          <w:rFonts w:hint="eastAsia" w:ascii="楷体" w:hAnsi="楷体" w:eastAsia="楷体"/>
          <w:color w:val="auto"/>
          <w:sz w:val="21"/>
          <w:szCs w:val="21"/>
        </w:rPr>
        <w:t>债券市场不同期限、不同类别债券之间的利差变动导致相应期限和类别债券价格变化的风险。</w:t>
      </w:r>
      <w:r>
        <w:rPr>
          <w:rFonts w:hint="default" w:ascii="Calibri" w:hAnsi="Calibri" w:eastAsia="楷体" w:cs="Calibri"/>
          <w:color w:val="auto"/>
          <w:sz w:val="21"/>
          <w:szCs w:val="21"/>
        </w:rPr>
        <w:t>③</w:t>
      </w:r>
      <w:r>
        <w:rPr>
          <w:rFonts w:hint="eastAsia" w:ascii="楷体" w:hAnsi="楷体" w:eastAsia="楷体"/>
          <w:color w:val="auto"/>
          <w:sz w:val="21"/>
          <w:szCs w:val="21"/>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r>
        <w:rPr>
          <w:rFonts w:hint="eastAsia" w:ascii="楷体" w:hAnsi="楷体" w:eastAsia="楷体" w:cs="楷体"/>
          <w:color w:val="auto"/>
          <w:sz w:val="21"/>
          <w:szCs w:val="21"/>
        </w:rPr>
        <w:t>④</w:t>
      </w:r>
      <w:r>
        <w:rPr>
          <w:rFonts w:hint="eastAsia" w:ascii="楷体" w:hAnsi="楷体" w:eastAsia="楷体"/>
          <w:color w:val="auto"/>
          <w:sz w:val="21"/>
          <w:szCs w:val="21"/>
        </w:rPr>
        <w:t>债券发行人、担保人出现违约拒绝支付到期本息，或由于债券发行人、担保人信用质量降低导致债券价格下降及无法收回投资收益的风险。</w:t>
      </w:r>
      <w:r>
        <w:rPr>
          <w:rFonts w:hint="eastAsia" w:ascii="楷体" w:hAnsi="楷体" w:eastAsia="楷体" w:cs="楷体"/>
          <w:color w:val="auto"/>
          <w:sz w:val="21"/>
          <w:szCs w:val="21"/>
        </w:rPr>
        <w:t>⑤</w:t>
      </w:r>
      <w:r>
        <w:rPr>
          <w:rFonts w:hint="eastAsia" w:ascii="楷体" w:hAnsi="楷体" w:eastAsia="楷体"/>
          <w:color w:val="auto"/>
          <w:sz w:val="21"/>
          <w:szCs w:val="21"/>
        </w:rPr>
        <w:t>与信用等级较高的债券相比，投资于信用等级较低的债券将因为发行主体的偿还债务能力略低、受不利经济环境的影响更大以及违约风险更高等原因而面临更大的投资风险。</w:t>
      </w:r>
      <w:r>
        <w:rPr>
          <w:rFonts w:hint="eastAsia" w:ascii="楷体" w:hAnsi="楷体" w:eastAsia="楷体" w:cs="楷体"/>
          <w:color w:val="auto"/>
          <w:sz w:val="21"/>
          <w:szCs w:val="21"/>
        </w:rPr>
        <w:t>⑥</w:t>
      </w:r>
      <w:r>
        <w:rPr>
          <w:rFonts w:hint="eastAsia" w:ascii="楷体" w:hAnsi="楷体" w:eastAsia="楷体"/>
          <w:color w:val="auto"/>
          <w:sz w:val="21"/>
          <w:szCs w:val="21"/>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3"/>
        </w:numPr>
        <w:tabs>
          <w:tab w:val="left" w:pos="742"/>
        </w:tabs>
        <w:rPr>
          <w:rFonts w:hint="eastAsia" w:ascii="楷体" w:hAnsi="楷体" w:eastAsia="楷体"/>
          <w:b/>
          <w:bCs w:val="0"/>
          <w:color w:val="auto"/>
          <w:sz w:val="21"/>
          <w:szCs w:val="21"/>
        </w:rPr>
      </w:pPr>
      <w:r>
        <w:rPr>
          <w:rFonts w:hint="eastAsia" w:ascii="楷体" w:hAnsi="楷体" w:eastAsia="楷体"/>
          <w:color w:val="auto"/>
          <w:sz w:val="21"/>
          <w:szCs w:val="21"/>
        </w:rPr>
        <w:t>非标准化债权的特殊风险</w:t>
      </w:r>
    </w:p>
    <w:p>
      <w:pPr>
        <w:numPr>
          <w:ilvl w:val="-1"/>
          <w:numId w:val="0"/>
        </w:numPr>
        <w:tabs>
          <w:tab w:val="left" w:pos="1092"/>
        </w:tabs>
        <w:ind w:left="0" w:leftChars="0" w:firstLine="422" w:firstLineChars="200"/>
        <w:rPr>
          <w:rFonts w:hint="eastAsia" w:ascii="楷体" w:hAnsi="楷体" w:eastAsia="楷体" w:cs="楷体"/>
          <w:b/>
          <w:bCs w:val="0"/>
          <w:color w:val="auto"/>
          <w:sz w:val="21"/>
          <w:szCs w:val="21"/>
        </w:rPr>
      </w:pPr>
      <w:r>
        <w:rPr>
          <w:rFonts w:hint="eastAsia" w:ascii="楷体" w:hAnsi="楷体" w:eastAsia="楷体" w:cs="楷体"/>
          <w:b/>
          <w:bCs w:val="0"/>
          <w:color w:val="auto"/>
          <w:sz w:val="21"/>
          <w:szCs w:val="21"/>
        </w:rPr>
        <w:t>①融资方还款履约能力可能的变化导致的信用风险。②债务人提前还款或逾期还款的风险。③保证人未履行保证义务的风险等。</w:t>
      </w:r>
    </w:p>
    <w:p>
      <w:pPr>
        <w:numPr>
          <w:ilvl w:val="0"/>
          <w:numId w:val="3"/>
        </w:numPr>
        <w:tabs>
          <w:tab w:val="left" w:pos="742"/>
        </w:tabs>
        <w:rPr>
          <w:rFonts w:hint="eastAsia" w:ascii="楷体" w:hAnsi="楷体" w:eastAsia="楷体"/>
          <w:color w:val="auto"/>
          <w:sz w:val="21"/>
          <w:szCs w:val="21"/>
        </w:rPr>
      </w:pPr>
      <w:r>
        <w:rPr>
          <w:rFonts w:hint="eastAsia" w:ascii="楷体" w:hAnsi="楷体" w:eastAsia="楷体"/>
          <w:color w:val="auto"/>
          <w:sz w:val="21"/>
          <w:szCs w:val="21"/>
        </w:rPr>
        <w:t>股票投资的特殊风险</w:t>
      </w:r>
    </w:p>
    <w:p>
      <w:pPr>
        <w:numPr>
          <w:ilvl w:val="0"/>
          <w:numId w:val="0"/>
        </w:numPr>
        <w:tabs>
          <w:tab w:val="left" w:pos="742"/>
        </w:tabs>
        <w:ind w:left="0" w:leftChars="0" w:firstLine="422" w:firstLineChars="200"/>
        <w:rPr>
          <w:rFonts w:hint="eastAsia" w:ascii="楷体" w:hAnsi="楷体" w:eastAsia="楷体"/>
          <w:b/>
          <w:bCs w:val="0"/>
          <w:color w:val="auto"/>
          <w:sz w:val="21"/>
          <w:szCs w:val="21"/>
        </w:rPr>
      </w:pPr>
      <w:r>
        <w:rPr>
          <w:rFonts w:hint="default" w:ascii="楷体" w:hAnsi="楷体" w:eastAsia="楷体"/>
          <w:b/>
          <w:bCs w:val="0"/>
          <w:color w:val="auto"/>
          <w:sz w:val="21"/>
          <w:szCs w:val="21"/>
        </w:rPr>
        <w:t>①</w:t>
      </w:r>
      <w:r>
        <w:rPr>
          <w:rFonts w:hint="eastAsia" w:ascii="楷体" w:hAnsi="楷体" w:eastAsia="楷体"/>
          <w:b/>
          <w:bCs w:val="0"/>
          <w:color w:val="auto"/>
          <w:sz w:val="21"/>
          <w:szCs w:val="21"/>
        </w:rPr>
        <w:t>国家货币政策、财政政策、产业政策等的变化对证券市场产生一定的影响，导致市场价格水平波动的风险。</w:t>
      </w:r>
      <w:r>
        <w:rPr>
          <w:rFonts w:hint="default" w:ascii="楷体" w:hAnsi="楷体" w:eastAsia="楷体"/>
          <w:b/>
          <w:bCs w:val="0"/>
          <w:color w:val="auto"/>
          <w:sz w:val="21"/>
          <w:szCs w:val="21"/>
        </w:rPr>
        <w:t>②</w:t>
      </w:r>
      <w:r>
        <w:rPr>
          <w:rFonts w:hint="eastAsia" w:ascii="楷体" w:hAnsi="楷体" w:eastAsia="楷体"/>
          <w:b/>
          <w:bCs w:val="0"/>
          <w:color w:val="auto"/>
          <w:sz w:val="21"/>
          <w:szCs w:val="21"/>
        </w:rPr>
        <w:t>宏观经济运行周期性波动，对股票市场的收益水平产生影响的风险。</w:t>
      </w:r>
      <w:r>
        <w:rPr>
          <w:rFonts w:hint="default" w:ascii="楷体" w:hAnsi="楷体" w:eastAsia="楷体"/>
          <w:b/>
          <w:bCs w:val="0"/>
          <w:color w:val="auto"/>
          <w:sz w:val="21"/>
          <w:szCs w:val="21"/>
        </w:rPr>
        <w:t>③</w:t>
      </w:r>
      <w:r>
        <w:rPr>
          <w:rFonts w:hint="eastAsia" w:ascii="楷体" w:hAnsi="楷体" w:eastAsia="楷体"/>
          <w:b/>
          <w:bCs w:val="0"/>
          <w:color w:val="auto"/>
          <w:sz w:val="21"/>
          <w:szCs w:val="21"/>
        </w:rPr>
        <w:t>上市公司的经营状况受多种因素影响，如市场、技术、竞争、管理、财务等都会导致公司盈利发生变化，从而导致股票价格变动的风险。</w:t>
      </w:r>
    </w:p>
    <w:p>
      <w:pPr>
        <w:numPr>
          <w:ilvl w:val="0"/>
          <w:numId w:val="3"/>
        </w:numPr>
        <w:tabs>
          <w:tab w:val="left" w:pos="742"/>
        </w:tabs>
        <w:rPr>
          <w:rFonts w:hint="eastAsia" w:ascii="楷体" w:hAnsi="楷体" w:eastAsia="楷体"/>
          <w:color w:val="auto"/>
          <w:sz w:val="21"/>
          <w:szCs w:val="21"/>
          <w:lang w:val="en-US" w:eastAsia="zh-CN"/>
        </w:rPr>
      </w:pPr>
      <w:r>
        <w:rPr>
          <w:rFonts w:hint="eastAsia" w:ascii="楷体" w:hAnsi="楷体" w:eastAsia="楷体"/>
          <w:color w:val="auto"/>
          <w:sz w:val="21"/>
          <w:szCs w:val="21"/>
          <w:lang w:val="en-US" w:eastAsia="zh-CN"/>
        </w:rPr>
        <w:t>结构性存款的特殊风险：</w:t>
      </w:r>
    </w:p>
    <w:p>
      <w:pPr>
        <w:pStyle w:val="14"/>
        <w:spacing w:before="0" w:beforeAutospacing="0" w:after="0" w:afterAutospacing="0"/>
        <w:ind w:firstLine="422" w:firstLineChars="200"/>
        <w:jc w:val="both"/>
        <w:rPr>
          <w:rFonts w:hint="eastAsia" w:ascii="楷体" w:hAnsi="楷体" w:eastAsia="楷体"/>
          <w:b/>
          <w:color w:val="auto"/>
          <w:sz w:val="21"/>
          <w:szCs w:val="21"/>
          <w:u w:val="none"/>
        </w:rPr>
      </w:pPr>
      <w:r>
        <w:rPr>
          <w:rFonts w:hint="default" w:ascii="楷体" w:hAnsi="楷体" w:eastAsia="楷体"/>
          <w:b/>
          <w:color w:val="auto"/>
          <w:sz w:val="21"/>
          <w:szCs w:val="21"/>
          <w:u w:val="none"/>
          <w:lang w:val="en-US" w:eastAsia="zh-CN"/>
        </w:rPr>
        <w:fldChar w:fldCharType="begin"/>
      </w:r>
      <w:r>
        <w:rPr>
          <w:rFonts w:hint="default" w:ascii="楷体" w:hAnsi="楷体" w:eastAsia="楷体"/>
          <w:b/>
          <w:color w:val="auto"/>
          <w:sz w:val="21"/>
          <w:szCs w:val="21"/>
          <w:u w:val="none"/>
          <w:lang w:val="en-US" w:eastAsia="zh-CN"/>
        </w:rPr>
        <w:instrText xml:space="preserve"> = 1 \* GB3 \* MERGEFORMAT </w:instrText>
      </w:r>
      <w:r>
        <w:rPr>
          <w:rFonts w:hint="default" w:ascii="楷体" w:hAnsi="楷体" w:eastAsia="楷体"/>
          <w:b/>
          <w:color w:val="auto"/>
          <w:sz w:val="21"/>
          <w:szCs w:val="21"/>
          <w:u w:val="none"/>
          <w:lang w:val="en-US" w:eastAsia="zh-CN"/>
        </w:rPr>
        <w:fldChar w:fldCharType="separate"/>
      </w:r>
      <w:r>
        <w:rPr>
          <w:rFonts w:hint="eastAsia" w:ascii="楷体" w:hAnsi="楷体" w:eastAsia="楷体"/>
          <w:b/>
          <w:color w:val="auto"/>
          <w:sz w:val="21"/>
          <w:szCs w:val="21"/>
          <w:u w:val="none"/>
        </w:rPr>
        <w:t>①</w:t>
      </w:r>
      <w:r>
        <w:rPr>
          <w:rFonts w:hint="default" w:ascii="楷体" w:hAnsi="楷体" w:eastAsia="楷体"/>
          <w:b/>
          <w:color w:val="auto"/>
          <w:sz w:val="21"/>
          <w:szCs w:val="21"/>
          <w:u w:val="none"/>
          <w:lang w:val="en-US" w:eastAsia="zh-CN"/>
        </w:rPr>
        <w:fldChar w:fldCharType="end"/>
      </w:r>
      <w:r>
        <w:rPr>
          <w:rFonts w:hint="default" w:ascii="楷体" w:hAnsi="楷体" w:eastAsia="楷体"/>
          <w:b/>
          <w:color w:val="auto"/>
          <w:sz w:val="21"/>
          <w:szCs w:val="21"/>
          <w:u w:val="none"/>
          <w:lang w:val="en-US" w:eastAsia="zh-CN"/>
        </w:rPr>
        <w:t>市场风险。结构性存款挂钩的境内外债券、股票、利率、汇率、指数等标的受相关国家或地区的金融市场和经济趋势的影响，收益存在不确定性。</w:t>
      </w:r>
      <w:r>
        <w:rPr>
          <w:rFonts w:hint="default" w:ascii="楷体" w:hAnsi="楷体" w:eastAsia="楷体"/>
          <w:b/>
          <w:color w:val="auto"/>
          <w:sz w:val="21"/>
          <w:szCs w:val="21"/>
          <w:u w:val="none"/>
          <w:lang w:val="en-US" w:eastAsia="zh-CN"/>
        </w:rPr>
        <w:fldChar w:fldCharType="begin"/>
      </w:r>
      <w:r>
        <w:rPr>
          <w:rFonts w:hint="default" w:ascii="楷体" w:hAnsi="楷体" w:eastAsia="楷体"/>
          <w:b/>
          <w:color w:val="auto"/>
          <w:sz w:val="21"/>
          <w:szCs w:val="21"/>
          <w:u w:val="none"/>
          <w:lang w:val="en-US" w:eastAsia="zh-CN"/>
        </w:rPr>
        <w:instrText xml:space="preserve"> = 2 \* GB3 \* MERGEFORMAT </w:instrText>
      </w:r>
      <w:r>
        <w:rPr>
          <w:rFonts w:hint="default" w:ascii="楷体" w:hAnsi="楷体" w:eastAsia="楷体"/>
          <w:b/>
          <w:color w:val="auto"/>
          <w:sz w:val="21"/>
          <w:szCs w:val="21"/>
          <w:u w:val="none"/>
          <w:lang w:val="en-US" w:eastAsia="zh-CN"/>
        </w:rPr>
        <w:fldChar w:fldCharType="separate"/>
      </w:r>
      <w:r>
        <w:rPr>
          <w:rFonts w:hint="eastAsia" w:ascii="楷体" w:hAnsi="楷体" w:eastAsia="楷体"/>
          <w:b/>
          <w:color w:val="auto"/>
          <w:sz w:val="21"/>
          <w:szCs w:val="21"/>
          <w:u w:val="none"/>
        </w:rPr>
        <w:t>②</w:t>
      </w:r>
      <w:r>
        <w:rPr>
          <w:rFonts w:hint="default" w:ascii="楷体" w:hAnsi="楷体" w:eastAsia="楷体"/>
          <w:b/>
          <w:color w:val="auto"/>
          <w:sz w:val="21"/>
          <w:szCs w:val="21"/>
          <w:u w:val="none"/>
          <w:lang w:val="en-US" w:eastAsia="zh-CN"/>
        </w:rPr>
        <w:fldChar w:fldCharType="end"/>
      </w:r>
      <w:r>
        <w:rPr>
          <w:rFonts w:hint="default" w:ascii="楷体" w:hAnsi="楷体" w:eastAsia="楷体"/>
          <w:b/>
          <w:color w:val="auto"/>
          <w:sz w:val="21"/>
          <w:szCs w:val="21"/>
          <w:u w:val="none"/>
          <w:lang w:val="en-US" w:eastAsia="zh-CN"/>
        </w:rPr>
        <w:t>信用风险。结构性存款可能面临交易对手银行无力偿付或未履行该结构性存款相关义务（含支付义务）的风险，同时结构性存款挂钩的标的如果出现信用违约，结构性存款的本金与收益也会受到影响，在最不利的情况下可能损失全部本金。</w:t>
      </w:r>
      <w:r>
        <w:rPr>
          <w:rFonts w:hint="default" w:ascii="楷体" w:hAnsi="楷体" w:eastAsia="楷体"/>
          <w:b/>
          <w:color w:val="auto"/>
          <w:sz w:val="21"/>
          <w:szCs w:val="21"/>
          <w:u w:val="none"/>
          <w:lang w:val="en-US" w:eastAsia="zh-CN"/>
        </w:rPr>
        <w:fldChar w:fldCharType="begin"/>
      </w:r>
      <w:r>
        <w:rPr>
          <w:rFonts w:hint="default" w:ascii="楷体" w:hAnsi="楷体" w:eastAsia="楷体"/>
          <w:b/>
          <w:color w:val="auto"/>
          <w:sz w:val="21"/>
          <w:szCs w:val="21"/>
          <w:u w:val="none"/>
          <w:lang w:val="en-US" w:eastAsia="zh-CN"/>
        </w:rPr>
        <w:instrText xml:space="preserve"> = 3 \* GB3 \* MERGEFORMAT </w:instrText>
      </w:r>
      <w:r>
        <w:rPr>
          <w:rFonts w:hint="default" w:ascii="楷体" w:hAnsi="楷体" w:eastAsia="楷体"/>
          <w:b/>
          <w:color w:val="auto"/>
          <w:sz w:val="21"/>
          <w:szCs w:val="21"/>
          <w:u w:val="none"/>
          <w:lang w:val="en-US" w:eastAsia="zh-CN"/>
        </w:rPr>
        <w:fldChar w:fldCharType="separate"/>
      </w:r>
      <w:r>
        <w:rPr>
          <w:rFonts w:hint="eastAsia" w:ascii="楷体" w:hAnsi="楷体" w:eastAsia="楷体"/>
          <w:b/>
          <w:color w:val="auto"/>
          <w:sz w:val="21"/>
          <w:szCs w:val="21"/>
          <w:u w:val="none"/>
        </w:rPr>
        <w:t>③</w:t>
      </w:r>
      <w:r>
        <w:rPr>
          <w:rFonts w:hint="default" w:ascii="楷体" w:hAnsi="楷体" w:eastAsia="楷体"/>
          <w:b/>
          <w:color w:val="auto"/>
          <w:sz w:val="21"/>
          <w:szCs w:val="21"/>
          <w:u w:val="none"/>
          <w:lang w:val="en-US" w:eastAsia="zh-CN"/>
        </w:rPr>
        <w:fldChar w:fldCharType="end"/>
      </w:r>
      <w:r>
        <w:rPr>
          <w:rFonts w:hint="default" w:ascii="楷体" w:hAnsi="楷体" w:eastAsia="楷体"/>
          <w:b/>
          <w:color w:val="auto"/>
          <w:sz w:val="21"/>
          <w:szCs w:val="21"/>
          <w:u w:val="none"/>
          <w:lang w:val="en-US" w:eastAsia="zh-CN"/>
        </w:rPr>
        <w:t>利率风险。结构性存款如挂钩特定债券或债券指数，可能因相关利率变动而导致产品收益发生变化。</w:t>
      </w:r>
      <w:r>
        <w:rPr>
          <w:rFonts w:hint="default" w:ascii="楷体" w:hAnsi="楷体" w:eastAsia="楷体"/>
          <w:b/>
          <w:color w:val="auto"/>
          <w:sz w:val="21"/>
          <w:szCs w:val="21"/>
          <w:u w:val="none"/>
          <w:lang w:val="en-US" w:eastAsia="zh-CN"/>
        </w:rPr>
        <w:fldChar w:fldCharType="begin"/>
      </w:r>
      <w:r>
        <w:rPr>
          <w:rFonts w:hint="default" w:ascii="楷体" w:hAnsi="楷体" w:eastAsia="楷体"/>
          <w:b/>
          <w:color w:val="auto"/>
          <w:sz w:val="21"/>
          <w:szCs w:val="21"/>
          <w:u w:val="none"/>
          <w:lang w:val="en-US" w:eastAsia="zh-CN"/>
        </w:rPr>
        <w:instrText xml:space="preserve"> = 4 \* GB3 \* MERGEFORMAT </w:instrText>
      </w:r>
      <w:r>
        <w:rPr>
          <w:rFonts w:hint="default" w:ascii="楷体" w:hAnsi="楷体" w:eastAsia="楷体"/>
          <w:b/>
          <w:color w:val="auto"/>
          <w:sz w:val="21"/>
          <w:szCs w:val="21"/>
          <w:u w:val="none"/>
          <w:lang w:val="en-US" w:eastAsia="zh-CN"/>
        </w:rPr>
        <w:fldChar w:fldCharType="separate"/>
      </w:r>
      <w:r>
        <w:rPr>
          <w:rFonts w:hint="eastAsia" w:ascii="楷体" w:hAnsi="楷体" w:eastAsia="楷体"/>
          <w:b/>
          <w:color w:val="auto"/>
          <w:sz w:val="21"/>
          <w:szCs w:val="21"/>
          <w:u w:val="none"/>
        </w:rPr>
        <w:t>④</w:t>
      </w:r>
      <w:r>
        <w:rPr>
          <w:rFonts w:hint="default" w:ascii="楷体" w:hAnsi="楷体" w:eastAsia="楷体"/>
          <w:b/>
          <w:color w:val="auto"/>
          <w:sz w:val="21"/>
          <w:szCs w:val="21"/>
          <w:u w:val="none"/>
          <w:lang w:val="en-US" w:eastAsia="zh-CN"/>
        </w:rPr>
        <w:fldChar w:fldCharType="end"/>
      </w:r>
      <w:r>
        <w:rPr>
          <w:rFonts w:hint="default" w:ascii="楷体" w:hAnsi="楷体" w:eastAsia="楷体"/>
          <w:b/>
          <w:color w:val="auto"/>
          <w:sz w:val="21"/>
          <w:szCs w:val="21"/>
          <w:u w:val="none"/>
          <w:lang w:val="en-US" w:eastAsia="zh-CN"/>
        </w:rPr>
        <w:t>汇率风险。结构性存款如挂钩境外证券资产，可能面临以非人民币计价的各类资产受汇率波动影响而引起人民币估值下的理财产品资产净值波动的风险。</w:t>
      </w:r>
      <w:r>
        <w:rPr>
          <w:rFonts w:hint="default" w:ascii="楷体" w:hAnsi="楷体" w:eastAsia="楷体"/>
          <w:b/>
          <w:color w:val="auto"/>
          <w:sz w:val="21"/>
          <w:szCs w:val="21"/>
          <w:u w:val="none"/>
          <w:lang w:val="en-US" w:eastAsia="zh-CN"/>
        </w:rPr>
        <w:fldChar w:fldCharType="begin"/>
      </w:r>
      <w:r>
        <w:rPr>
          <w:rFonts w:hint="default" w:ascii="楷体" w:hAnsi="楷体" w:eastAsia="楷体"/>
          <w:b/>
          <w:color w:val="auto"/>
          <w:sz w:val="21"/>
          <w:szCs w:val="21"/>
          <w:u w:val="none"/>
          <w:lang w:val="en-US" w:eastAsia="zh-CN"/>
        </w:rPr>
        <w:instrText xml:space="preserve"> = 5 \* GB3 \* MERGEFORMAT </w:instrText>
      </w:r>
      <w:r>
        <w:rPr>
          <w:rFonts w:hint="default" w:ascii="楷体" w:hAnsi="楷体" w:eastAsia="楷体"/>
          <w:b/>
          <w:color w:val="auto"/>
          <w:sz w:val="21"/>
          <w:szCs w:val="21"/>
          <w:u w:val="none"/>
          <w:lang w:val="en-US" w:eastAsia="zh-CN"/>
        </w:rPr>
        <w:fldChar w:fldCharType="separate"/>
      </w:r>
      <w:r>
        <w:rPr>
          <w:rFonts w:hint="eastAsia" w:ascii="楷体" w:hAnsi="楷体" w:eastAsia="楷体"/>
          <w:b/>
          <w:color w:val="auto"/>
          <w:sz w:val="21"/>
          <w:szCs w:val="21"/>
          <w:u w:val="none"/>
        </w:rPr>
        <w:t>⑤</w:t>
      </w:r>
      <w:r>
        <w:rPr>
          <w:rFonts w:hint="default" w:ascii="楷体" w:hAnsi="楷体" w:eastAsia="楷体"/>
          <w:b/>
          <w:color w:val="auto"/>
          <w:sz w:val="21"/>
          <w:szCs w:val="21"/>
          <w:u w:val="none"/>
          <w:lang w:val="en-US" w:eastAsia="zh-CN"/>
        </w:rPr>
        <w:fldChar w:fldCharType="end"/>
      </w:r>
      <w:r>
        <w:rPr>
          <w:rFonts w:hint="default" w:ascii="楷体" w:hAnsi="楷体" w:eastAsia="楷体"/>
          <w:b/>
          <w:color w:val="auto"/>
          <w:sz w:val="21"/>
          <w:szCs w:val="21"/>
          <w:u w:val="none"/>
          <w:lang w:val="en-US" w:eastAsia="zh-CN"/>
        </w:rPr>
        <w:t>衍生品投资风险。结构性存款所嵌入的金融衍生工具，可能存在杠杆风险、操作风险、交易对手的信用风险、衍生品价格与其基础品种的相关度变化带来的风险等。以上风险事项若发生，可能影响投资者收益，甚至使产品本金遭受损失。</w:t>
      </w:r>
    </w:p>
    <w:p>
      <w:pPr>
        <w:numPr>
          <w:ilvl w:val="0"/>
          <w:numId w:val="3"/>
        </w:numPr>
        <w:tabs>
          <w:tab w:val="left" w:pos="742"/>
        </w:tabs>
        <w:rPr>
          <w:rFonts w:hint="eastAsia" w:ascii="楷体" w:hAnsi="楷体" w:eastAsia="楷体"/>
          <w:color w:val="auto"/>
          <w:sz w:val="21"/>
          <w:szCs w:val="21"/>
          <w:lang w:val="en-US" w:eastAsia="zh-CN"/>
        </w:rPr>
      </w:pPr>
      <w:r>
        <w:rPr>
          <w:rFonts w:hint="eastAsia" w:ascii="楷体" w:hAnsi="楷体" w:eastAsia="楷体"/>
          <w:color w:val="auto"/>
          <w:sz w:val="21"/>
          <w:szCs w:val="21"/>
          <w:lang w:val="en-US" w:eastAsia="zh-CN"/>
        </w:rPr>
        <w:t>黄金、黄金主题股票、黄金ETF基金等黄金类资产的特殊风险：</w:t>
      </w:r>
    </w:p>
    <w:p>
      <w:pPr>
        <w:pStyle w:val="14"/>
        <w:spacing w:before="0" w:beforeAutospacing="0" w:after="0" w:afterAutospacing="0"/>
        <w:ind w:firstLine="422" w:firstLineChars="200"/>
        <w:jc w:val="both"/>
        <w:rPr>
          <w:rFonts w:hint="eastAsia" w:ascii="楷体" w:hAnsi="楷体" w:eastAsia="楷体"/>
          <w:b/>
          <w:color w:val="auto"/>
          <w:sz w:val="21"/>
          <w:szCs w:val="21"/>
          <w:u w:val="none"/>
        </w:rPr>
      </w:pPr>
      <w:r>
        <w:rPr>
          <w:rFonts w:hint="eastAsia" w:ascii="楷体" w:hAnsi="楷体" w:eastAsia="楷体"/>
          <w:b/>
          <w:color w:val="auto"/>
          <w:sz w:val="21"/>
          <w:szCs w:val="21"/>
          <w:u w:val="none"/>
        </w:rPr>
        <w:t>影响黄金类资产的价格的主要因素包括但不限于：①黄金的供给与需求；②投资者的黄金交易行为；③外汇汇率；④全球和地区性政治经济环境的变化等。</w:t>
      </w:r>
    </w:p>
    <w:p>
      <w:pPr>
        <w:pStyle w:val="14"/>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numPr>
          <w:ilvl w:val="0"/>
          <w:numId w:val="1"/>
        </w:numPr>
        <w:tabs>
          <w:tab w:val="left" w:pos="1134"/>
        </w:tabs>
        <w:ind w:left="0" w:firstLine="482" w:firstLineChars="200"/>
        <w:rPr>
          <w:rFonts w:ascii="楷体" w:hAnsi="楷体" w:eastAsia="楷体"/>
          <w:b/>
          <w:color w:val="auto"/>
          <w:sz w:val="24"/>
          <w:szCs w:val="24"/>
        </w:rPr>
      </w:pPr>
      <w:r>
        <w:rPr>
          <w:rFonts w:hint="eastAsia" w:ascii="楷体" w:hAnsi="楷体" w:eastAsia="楷体"/>
          <w:b/>
          <w:color w:val="auto"/>
          <w:sz w:val="24"/>
          <w:szCs w:val="24"/>
        </w:rPr>
        <w:t>投资者提示</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numPr>
          <w:ilvl w:val="0"/>
          <w:numId w:val="4"/>
        </w:numPr>
        <w:tabs>
          <w:tab w:val="left" w:pos="742"/>
        </w:tabs>
        <w:ind w:left="0" w:firstLine="420" w:firstLineChars="200"/>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固定收益类、公募、封闭式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★★二级，适合</w:t>
      </w:r>
      <w:r>
        <w:rPr>
          <w:rFonts w:hint="eastAsia" w:ascii="楷体" w:hAnsi="楷体" w:eastAsia="楷体" w:cs="Calibri"/>
          <w:b/>
          <w:color w:val="auto"/>
          <w:sz w:val="21"/>
          <w:szCs w:val="21"/>
          <w:highlight w:val="none"/>
          <w:u w:val="single"/>
        </w:rPr>
        <w:t>中低风险型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numPr>
          <w:ilvl w:val="0"/>
          <w:numId w:val="4"/>
        </w:numPr>
        <w:tabs>
          <w:tab w:val="left" w:pos="742"/>
        </w:tabs>
        <w:ind w:left="0" w:firstLine="420" w:firstLineChars="200"/>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4"/>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pStyle w:val="14"/>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pStyle w:val="14"/>
        <w:spacing w:before="0" w:beforeAutospacing="0" w:after="0" w:afterAutospacing="0" w:line="360" w:lineRule="auto"/>
        <w:jc w:val="both"/>
        <w:rPr>
          <w:rFonts w:ascii="楷体" w:hAnsi="楷体" w:eastAsia="楷体"/>
        </w:rPr>
      </w:pPr>
      <w:r>
        <w:rPr>
          <w:rFonts w:hint="eastAsia" w:ascii="楷体" w:hAnsi="楷体" w:eastAsia="楷体"/>
          <w:b/>
          <w:sz w:val="36"/>
          <w:szCs w:val="36"/>
        </w:rPr>
        <w:t xml:space="preserve"> </w:t>
      </w:r>
    </w:p>
    <w:p>
      <w:pPr>
        <w:jc w:val="center"/>
        <w:rPr>
          <w:rFonts w:hint="eastAsia" w:ascii="楷体" w:hAnsi="楷体" w:eastAsia="楷体"/>
          <w:b/>
          <w:color w:val="auto"/>
          <w:sz w:val="28"/>
          <w:szCs w:val="28"/>
          <w:lang w:eastAsia="zh-CN"/>
        </w:rPr>
      </w:pPr>
      <w:r>
        <w:rPr>
          <w:rFonts w:hint="eastAsia" w:ascii="楷体" w:hAnsi="楷体" w:eastAsia="楷体"/>
          <w:b/>
          <w:sz w:val="36"/>
          <w:szCs w:val="36"/>
        </w:rPr>
        <w:br w:type="page"/>
      </w:r>
      <w:bookmarkStart w:id="0" w:name="_Hlk168577216"/>
      <w:r>
        <w:rPr>
          <w:rFonts w:hint="eastAsia" w:ascii="楷体" w:hAnsi="楷体" w:eastAsia="楷体"/>
          <w:b/>
          <w:color w:val="auto"/>
          <w:sz w:val="28"/>
          <w:szCs w:val="28"/>
        </w:rPr>
        <w:t>“</w:t>
      </w:r>
      <w:r>
        <w:rPr>
          <w:rFonts w:hint="eastAsia" w:ascii="楷体" w:hAnsi="楷体" w:eastAsia="楷体"/>
          <w:b/>
          <w:color w:val="auto"/>
          <w:sz w:val="28"/>
          <w:szCs w:val="28"/>
          <w:lang w:eastAsia="zh-CN"/>
        </w:rPr>
        <w:t>苏银理财恒源封闭债权245期</w:t>
      </w:r>
      <w:r>
        <w:rPr>
          <w:rFonts w:hint="eastAsia" w:ascii="楷体" w:hAnsi="楷体" w:eastAsia="楷体"/>
          <w:b/>
          <w:color w:val="auto"/>
          <w:sz w:val="28"/>
          <w:szCs w:val="28"/>
        </w:rPr>
        <w:t>”理财产品</w:t>
      </w:r>
      <w:r>
        <w:rPr>
          <w:rFonts w:hint="eastAsia" w:ascii="楷体" w:hAnsi="楷体" w:eastAsia="楷体"/>
          <w:b/>
          <w:color w:val="auto"/>
          <w:sz w:val="28"/>
          <w:szCs w:val="28"/>
          <w:lang w:val="en-US" w:eastAsia="zh-CN"/>
        </w:rPr>
        <w:t>说明书</w:t>
      </w:r>
    </w:p>
    <w:p>
      <w:pPr>
        <w:jc w:val="center"/>
        <w:rPr>
          <w:rFonts w:hint="eastAsia" w:ascii="楷体" w:hAnsi="楷体" w:eastAsia="楷体"/>
          <w:b/>
          <w:color w:val="auto"/>
          <w:sz w:val="24"/>
          <w:szCs w:val="24"/>
        </w:rPr>
      </w:pPr>
      <w:r>
        <w:rPr>
          <w:rFonts w:hint="eastAsia" w:ascii="楷体" w:hAnsi="楷体" w:eastAsia="楷体" w:cs="宋体"/>
          <w:b/>
          <w:color w:val="auto"/>
          <w:kern w:val="0"/>
          <w:sz w:val="24"/>
          <w:szCs w:val="24"/>
        </w:rPr>
        <w:t>理财非存款、产品有风险、投资须谨慎</w:t>
      </w:r>
    </w:p>
    <w:p>
      <w:pPr>
        <w:rPr>
          <w:rFonts w:hint="eastAsia" w:ascii="楷体" w:hAnsi="楷体" w:eastAsia="楷体"/>
          <w:b/>
          <w:color w:val="auto"/>
          <w:sz w:val="21"/>
          <w:szCs w:val="21"/>
        </w:rPr>
      </w:pPr>
      <w:r>
        <w:rPr>
          <w:rFonts w:hint="eastAsia" w:ascii="楷体" w:hAnsi="楷体" w:eastAsia="楷体"/>
          <w:b/>
          <w:color w:val="auto"/>
          <w:sz w:val="21"/>
          <w:szCs w:val="21"/>
        </w:rPr>
        <w:t>重要须知</w:t>
      </w:r>
    </w:p>
    <w:p>
      <w:pPr>
        <w:numPr>
          <w:ilvl w:val="0"/>
          <w:numId w:val="5"/>
        </w:numPr>
        <w:ind w:left="420" w:leftChars="0" w:hanging="420" w:firstLineChars="0"/>
        <w:rPr>
          <w:rFonts w:ascii="楷体" w:hAnsi="楷体" w:eastAsia="楷体"/>
          <w:sz w:val="21"/>
          <w:szCs w:val="21"/>
        </w:rPr>
      </w:pPr>
      <w:r>
        <w:rPr>
          <w:rFonts w:hint="eastAsia" w:ascii="楷体" w:hAnsi="楷体" w:eastAsia="楷体"/>
          <w:sz w:val="21"/>
          <w:szCs w:val="21"/>
        </w:rPr>
        <w:t>在购买本理财产品前，投资者应确保自己完全理解该项投资的性质和所涉及的风险，详细了解和审慎评估该理财产品的</w:t>
      </w:r>
      <w:r>
        <w:rPr>
          <w:rFonts w:hint="eastAsia" w:ascii="楷体" w:hAnsi="楷体" w:eastAsia="楷体"/>
          <w:sz w:val="21"/>
          <w:szCs w:val="21"/>
          <w:lang w:val="en-US" w:eastAsia="zh-CN"/>
        </w:rPr>
        <w:t>投资范围</w:t>
      </w:r>
      <w:r>
        <w:rPr>
          <w:rFonts w:hint="eastAsia" w:ascii="楷体" w:hAnsi="楷体" w:eastAsia="楷体"/>
          <w:sz w:val="21"/>
          <w:szCs w:val="21"/>
        </w:rPr>
        <w:t>、风险类型等基本情况，在慎重考虑后自行决定购买与自身风险承受能力和资产管理需求匹配的理财产品。</w:t>
      </w:r>
    </w:p>
    <w:p>
      <w:pPr>
        <w:numPr>
          <w:ilvl w:val="0"/>
          <w:numId w:val="5"/>
        </w:numPr>
        <w:ind w:left="420" w:leftChars="0" w:hanging="420" w:firstLineChars="0"/>
        <w:rPr>
          <w:rFonts w:hint="eastAsia" w:ascii="楷体" w:hAnsi="楷体" w:eastAsia="楷体" w:cs="Times New Roman"/>
          <w:b/>
          <w:sz w:val="21"/>
          <w:szCs w:val="21"/>
          <w:u w:val="single"/>
        </w:rPr>
      </w:pPr>
      <w:r>
        <w:rPr>
          <w:rFonts w:hint="eastAsia" w:ascii="楷体" w:hAnsi="楷体" w:eastAsia="楷体"/>
          <w:b/>
          <w:sz w:val="21"/>
          <w:szCs w:val="21"/>
          <w:u w:val="single"/>
        </w:rPr>
        <w:t>本理</w:t>
      </w:r>
      <w:r>
        <w:rPr>
          <w:rFonts w:hint="eastAsia" w:ascii="楷体" w:hAnsi="楷体" w:eastAsia="楷体" w:cs="Times New Roman"/>
          <w:b/>
          <w:sz w:val="21"/>
          <w:szCs w:val="21"/>
          <w:u w:val="single"/>
        </w:rPr>
        <w:t>财产品不保证本金及收益，您的本金可能因市场变动</w:t>
      </w:r>
      <w:r>
        <w:rPr>
          <w:rFonts w:hint="eastAsia" w:ascii="楷体" w:hAnsi="楷体" w:eastAsia="楷体" w:cs="Times New Roman"/>
          <w:b/>
          <w:sz w:val="21"/>
          <w:szCs w:val="21"/>
          <w:u w:val="single"/>
          <w:lang w:val="en-US" w:eastAsia="zh-CN"/>
        </w:rPr>
        <w:t>或者交易违约等事项</w:t>
      </w:r>
      <w:r>
        <w:rPr>
          <w:rFonts w:hint="eastAsia" w:ascii="楷体" w:hAnsi="楷体" w:eastAsia="楷体" w:cs="Times New Roman"/>
          <w:b/>
          <w:sz w:val="21"/>
          <w:szCs w:val="21"/>
          <w:u w:val="single"/>
        </w:rPr>
        <w:t>而蒙受相应损失，投资者应充分认识投资风险，谨慎投资</w:t>
      </w:r>
      <w:r>
        <w:rPr>
          <w:rFonts w:hint="eastAsia" w:ascii="楷体" w:hAnsi="楷体" w:eastAsia="楷体" w:cs="Times New Roman"/>
          <w:b/>
          <w:sz w:val="21"/>
          <w:szCs w:val="21"/>
          <w:u w:val="single"/>
          <w:lang w:eastAsia="zh-CN"/>
        </w:rPr>
        <w:t>。</w:t>
      </w:r>
    </w:p>
    <w:p>
      <w:pPr>
        <w:numPr>
          <w:ilvl w:val="0"/>
          <w:numId w:val="5"/>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本理财产品过往业绩不代表其未来表现，不等于理财产品实际收益，投资须谨慎；理财非存款、产品有风险、投资须谨慎。</w:t>
      </w:r>
    </w:p>
    <w:p>
      <w:pPr>
        <w:numPr>
          <w:ilvl w:val="0"/>
          <w:numId w:val="5"/>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本理财产品任何业绩比较基准</w:t>
      </w:r>
      <w:r>
        <w:rPr>
          <w:rFonts w:hint="eastAsia" w:ascii="楷体" w:hAnsi="楷体" w:eastAsia="楷体" w:cs="Times New Roman"/>
          <w:b/>
          <w:sz w:val="21"/>
          <w:szCs w:val="21"/>
          <w:u w:val="single"/>
          <w:lang w:val="en-US" w:eastAsia="zh-CN"/>
        </w:rPr>
        <w:t>及</w:t>
      </w:r>
      <w:r>
        <w:rPr>
          <w:rFonts w:hint="eastAsia" w:ascii="楷体" w:hAnsi="楷体" w:eastAsia="楷体" w:cs="Times New Roman"/>
          <w:b/>
          <w:sz w:val="21"/>
          <w:szCs w:val="21"/>
          <w:u w:val="single"/>
        </w:rPr>
        <w:t>类似表述均属不具有法律约束力的用语</w:t>
      </w:r>
      <w:r>
        <w:rPr>
          <w:rFonts w:hint="eastAsia" w:ascii="楷体" w:hAnsi="楷体" w:eastAsia="楷体" w:cs="Times New Roman"/>
          <w:b/>
          <w:sz w:val="21"/>
          <w:szCs w:val="21"/>
          <w:u w:val="single"/>
          <w:lang w:eastAsia="zh-CN"/>
        </w:rPr>
        <w:t>。</w:t>
      </w:r>
      <w:r>
        <w:rPr>
          <w:rFonts w:hint="eastAsia" w:ascii="楷体" w:hAnsi="楷体" w:eastAsia="楷体" w:cs="Times New Roman"/>
          <w:b/>
          <w:sz w:val="21"/>
          <w:szCs w:val="21"/>
          <w:u w:val="single"/>
        </w:rPr>
        <w:t>业绩比较基准</w:t>
      </w:r>
      <w:r>
        <w:rPr>
          <w:rFonts w:hint="eastAsia" w:ascii="楷体" w:hAnsi="楷体" w:eastAsia="楷体" w:cs="Times New Roman"/>
          <w:b/>
          <w:sz w:val="21"/>
          <w:szCs w:val="21"/>
          <w:u w:val="single"/>
          <w:lang w:val="en-US" w:eastAsia="zh-CN"/>
        </w:rPr>
        <w:t>为</w:t>
      </w:r>
      <w:r>
        <w:rPr>
          <w:rFonts w:hint="eastAsia" w:ascii="楷体" w:hAnsi="楷体" w:eastAsia="楷体" w:cs="Times New Roman"/>
          <w:b/>
          <w:sz w:val="21"/>
          <w:szCs w:val="21"/>
          <w:u w:val="single"/>
        </w:rPr>
        <w:t>管理人基于产品性质、投资策略、过往经验等因素对产品设定的投资目标。业绩比较基准不是预期收益率，不代表产品的未来表现和实际收益，不构成对产品收益的承诺。</w:t>
      </w:r>
    </w:p>
    <w:p>
      <w:pPr>
        <w:numPr>
          <w:ilvl w:val="0"/>
          <w:numId w:val="5"/>
        </w:numPr>
        <w:ind w:left="420" w:leftChars="0" w:hanging="420" w:firstLineChars="0"/>
        <w:rPr>
          <w:rFonts w:hint="eastAsia" w:ascii="楷体" w:hAnsi="楷体" w:eastAsia="楷体"/>
          <w:sz w:val="21"/>
          <w:szCs w:val="21"/>
        </w:rPr>
      </w:pPr>
      <w:r>
        <w:rPr>
          <w:rFonts w:hint="eastAsia" w:ascii="楷体" w:hAnsi="楷体" w:eastAsia="楷体"/>
          <w:sz w:val="21"/>
          <w:szCs w:val="21"/>
        </w:rPr>
        <w:t>《风险揭示书》、《理财产品说明书》、《理财产品投资协议书》、《投资者权益须知》、《理财产品（代理）销售协议书》共同构成本理财产品完整的不可分割的理财产品合同。</w:t>
      </w:r>
    </w:p>
    <w:p>
      <w:pPr>
        <w:numPr>
          <w:ilvl w:val="0"/>
          <w:numId w:val="5"/>
        </w:numPr>
        <w:ind w:left="420" w:leftChars="0" w:hanging="420" w:firstLineChars="0"/>
        <w:rPr>
          <w:rFonts w:hint="eastAsia" w:ascii="楷体" w:hAnsi="楷体" w:eastAsia="楷体"/>
          <w:sz w:val="21"/>
          <w:szCs w:val="21"/>
          <w:highlight w:val="none"/>
        </w:rPr>
      </w:pPr>
      <w:r>
        <w:rPr>
          <w:rFonts w:hint="eastAsia" w:ascii="楷体" w:hAnsi="楷体" w:eastAsia="楷体"/>
          <w:sz w:val="21"/>
          <w:szCs w:val="21"/>
        </w:rPr>
        <w:t>本理财产品涉及的主要风险包括政策风险、信用风险、市场风险、流动性风险、管理风险、操作风险、延期兑付风险、提前终止风险、信息传递风险、代销风险</w:t>
      </w:r>
      <w:r>
        <w:rPr>
          <w:rFonts w:hint="eastAsia" w:ascii="楷体" w:hAnsi="楷体" w:eastAsia="楷体"/>
          <w:sz w:val="21"/>
          <w:szCs w:val="21"/>
          <w:lang w:eastAsia="zh-CN"/>
        </w:rPr>
        <w:t>（</w:t>
      </w:r>
      <w:r>
        <w:rPr>
          <w:rFonts w:hint="eastAsia" w:ascii="楷体" w:hAnsi="楷体" w:eastAsia="楷体"/>
          <w:sz w:val="21"/>
          <w:szCs w:val="21"/>
          <w:lang w:val="en-US" w:eastAsia="zh-CN"/>
        </w:rPr>
        <w:t>如有）</w:t>
      </w:r>
      <w:r>
        <w:rPr>
          <w:rFonts w:hint="eastAsia" w:ascii="楷体" w:hAnsi="楷体" w:eastAsia="楷体"/>
          <w:sz w:val="21"/>
          <w:szCs w:val="21"/>
        </w:rPr>
        <w:t>、不可抗力风险</w:t>
      </w:r>
      <w:r>
        <w:rPr>
          <w:rFonts w:hint="eastAsia" w:ascii="楷体" w:hAnsi="楷体" w:eastAsia="楷体"/>
          <w:sz w:val="21"/>
          <w:szCs w:val="21"/>
          <w:lang w:eastAsia="zh-CN"/>
        </w:rPr>
        <w:t>、</w:t>
      </w:r>
      <w:r>
        <w:rPr>
          <w:rFonts w:hint="eastAsia" w:ascii="楷体" w:hAnsi="楷体" w:eastAsia="楷体"/>
          <w:sz w:val="21"/>
          <w:szCs w:val="21"/>
          <w:lang w:val="en-US" w:eastAsia="zh-CN"/>
        </w:rPr>
        <w:t>关联关系及关联交易风险、</w:t>
      </w:r>
      <w:r>
        <w:rPr>
          <w:rFonts w:hint="eastAsia" w:ascii="楷体" w:hAnsi="楷体" w:eastAsia="楷体"/>
          <w:sz w:val="21"/>
          <w:szCs w:val="21"/>
          <w:lang w:eastAsia="zh-CN"/>
        </w:rPr>
        <w:t>特定投资标的风险</w:t>
      </w:r>
      <w:r>
        <w:rPr>
          <w:rFonts w:hint="eastAsia" w:ascii="楷体" w:hAnsi="楷体" w:eastAsia="楷体"/>
          <w:sz w:val="21"/>
          <w:szCs w:val="21"/>
        </w:rPr>
        <w:t>等。请仔细阅读《“苏银理财</w:t>
      </w:r>
      <w:r>
        <w:rPr>
          <w:rFonts w:hint="eastAsia" w:ascii="楷体" w:hAnsi="楷体" w:eastAsia="楷体"/>
          <w:sz w:val="21"/>
          <w:szCs w:val="21"/>
          <w:lang w:eastAsia="zh-CN"/>
        </w:rPr>
        <w:t>恒源封闭债权245期</w:t>
      </w:r>
      <w:r>
        <w:rPr>
          <w:rFonts w:hint="eastAsia" w:ascii="楷体" w:hAnsi="楷体" w:eastAsia="楷体"/>
          <w:sz w:val="21"/>
          <w:szCs w:val="21"/>
        </w:rPr>
        <w:t>”理财产</w:t>
      </w:r>
      <w:r>
        <w:rPr>
          <w:rFonts w:hint="eastAsia" w:ascii="楷体" w:hAnsi="楷体" w:eastAsia="楷体"/>
          <w:sz w:val="21"/>
          <w:szCs w:val="21"/>
          <w:highlight w:val="none"/>
        </w:rPr>
        <w:t>品风险揭示书》的“风险揭示”部分。</w:t>
      </w:r>
    </w:p>
    <w:p>
      <w:pPr>
        <w:numPr>
          <w:ilvl w:val="0"/>
          <w:numId w:val="5"/>
        </w:numPr>
        <w:ind w:left="420" w:leftChars="0" w:hanging="420" w:firstLineChars="0"/>
        <w:rPr>
          <w:rFonts w:hint="eastAsia" w:ascii="楷体" w:hAnsi="楷体" w:eastAsia="楷体"/>
          <w:b/>
          <w:bCs/>
          <w:sz w:val="21"/>
          <w:szCs w:val="21"/>
          <w:highlight w:val="none"/>
          <w:u w:val="single"/>
        </w:rPr>
      </w:pPr>
      <w:r>
        <w:rPr>
          <w:rFonts w:hint="eastAsia" w:ascii="楷体" w:hAnsi="楷体" w:eastAsia="楷体"/>
          <w:b/>
          <w:bCs/>
          <w:sz w:val="21"/>
          <w:szCs w:val="21"/>
          <w:highlight w:val="none"/>
          <w:u w:val="single"/>
          <w:lang w:val="en-US" w:eastAsia="zh-CN"/>
        </w:rPr>
        <w:t>本产品可设置多类份额，各类份额可能设置不同的销售对象、销售起点、业绩比较基准等，各类份额实际收取的销售服务费率、投资管理费率、超额业绩报酬（如有）等可能存在差异，投资者应根据实际情况自主选择购买。</w:t>
      </w:r>
    </w:p>
    <w:p>
      <w:pPr>
        <w:numPr>
          <w:ilvl w:val="0"/>
          <w:numId w:val="5"/>
        </w:numPr>
        <w:ind w:left="420" w:leftChars="0" w:hanging="420" w:firstLineChars="0"/>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投资者不得使用贷款、发行债券等筹集的非自有资金投资本理财产品。</w:t>
      </w:r>
    </w:p>
    <w:p>
      <w:pPr>
        <w:numPr>
          <w:ilvl w:val="0"/>
          <w:numId w:val="5"/>
        </w:numPr>
        <w:ind w:left="420" w:leftChars="0" w:hanging="420" w:firstLineChars="0"/>
        <w:rPr>
          <w:rFonts w:hint="eastAsia" w:ascii="楷体" w:hAnsi="楷体" w:eastAsia="楷体"/>
          <w:sz w:val="21"/>
          <w:szCs w:val="21"/>
        </w:rPr>
      </w:pPr>
      <w:r>
        <w:rPr>
          <w:rFonts w:hint="eastAsia" w:ascii="楷体" w:hAnsi="楷体" w:eastAsia="楷体"/>
          <w:sz w:val="21"/>
          <w:szCs w:val="21"/>
        </w:rPr>
        <w:t>在本产品存续期内，如因监管政策或法律法规发生变化，在不损害投资者利益的前提下，苏银理财有权单方对本产品条款进行修订，并按本理财产品说明书约定的信息披露方式予以披露。</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产品要素</w:t>
      </w:r>
    </w:p>
    <w:p>
      <w:pPr>
        <w:ind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为保护投资者合法权益，尊重投资者的知情权和自主选择权，现将本理财产品的基本要素说明如下：</w:t>
      </w:r>
    </w:p>
    <w:tbl>
      <w:tblPr>
        <w:tblStyle w:val="16"/>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1"/>
              <w:ind w:left="55"/>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产品名称</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lang w:eastAsia="zh-CN"/>
              </w:rPr>
              <w:t>苏银理财恒源封闭债权245期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ind w:left="57"/>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理财产品登记编码</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Z7003125000277，</w:t>
            </w:r>
            <w:r>
              <w:rPr>
                <w:rFonts w:hint="eastAsia" w:ascii="楷体" w:hAnsi="楷体" w:eastAsia="楷体" w:cs="宋体"/>
                <w:color w:val="auto"/>
                <w:spacing w:val="-2"/>
                <w:sz w:val="18"/>
                <w:szCs w:val="18"/>
              </w:rPr>
              <w:t>投资者可依据该编码在中国理财网</w:t>
            </w:r>
            <w:r>
              <w:rPr>
                <w:rFonts w:ascii="楷体" w:hAnsi="楷体" w:eastAsia="楷体" w:cs="宋体"/>
                <w:color w:val="auto"/>
                <w:spacing w:val="-2"/>
                <w:sz w:val="18"/>
                <w:szCs w:val="18"/>
              </w:rPr>
              <w:fldChar w:fldCharType="begin"/>
            </w:r>
            <w:r>
              <w:rPr>
                <w:rFonts w:ascii="楷体" w:hAnsi="楷体" w:eastAsia="楷体" w:cs="宋体"/>
                <w:color w:val="auto"/>
                <w:spacing w:val="-2"/>
                <w:sz w:val="18"/>
                <w:szCs w:val="18"/>
              </w:rPr>
              <w:instrText xml:space="preserve"> HYPERLINK "http://www.chinawealth.com.cn/" </w:instrText>
            </w:r>
            <w:r>
              <w:rPr>
                <w:rFonts w:ascii="楷体" w:hAnsi="楷体" w:eastAsia="楷体" w:cs="宋体"/>
                <w:color w:val="auto"/>
                <w:spacing w:val="-2"/>
                <w:sz w:val="18"/>
                <w:szCs w:val="18"/>
              </w:rPr>
              <w:fldChar w:fldCharType="separate"/>
            </w:r>
            <w:r>
              <w:rPr>
                <w:rFonts w:ascii="楷体" w:hAnsi="楷体" w:eastAsia="楷体" w:cs="宋体"/>
                <w:color w:val="auto"/>
                <w:spacing w:val="-2"/>
                <w:sz w:val="18"/>
                <w:szCs w:val="18"/>
              </w:rPr>
              <w:t>www.chinawealth.com.cn</w:t>
            </w:r>
            <w:r>
              <w:rPr>
                <w:rFonts w:ascii="楷体" w:hAnsi="楷体" w:eastAsia="楷体" w:cs="宋体"/>
                <w:color w:val="auto"/>
                <w:spacing w:val="-2"/>
                <w:sz w:val="18"/>
                <w:szCs w:val="18"/>
              </w:rPr>
              <w:fldChar w:fldCharType="end"/>
            </w:r>
            <w:r>
              <w:rPr>
                <w:rFonts w:hint="eastAsia" w:ascii="楷体" w:hAnsi="楷体" w:eastAsia="楷体" w:cs="宋体"/>
                <w:color w:val="auto"/>
                <w:spacing w:val="-2"/>
                <w:sz w:val="18"/>
                <w:szCs w:val="18"/>
              </w:rPr>
              <w:t>查询产品信息</w:t>
            </w:r>
            <w:r>
              <w:rPr>
                <w:rFonts w:hint="eastAsia" w:ascii="楷体" w:hAnsi="楷体" w:eastAsia="楷体" w:cs="宋体"/>
                <w:color w:val="auto"/>
                <w:spacing w:val="-2"/>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06"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highlight w:val="none"/>
              </w:rPr>
              <w:t>销售</w:t>
            </w:r>
            <w:r>
              <w:rPr>
                <w:rFonts w:hint="eastAsia" w:ascii="楷体" w:hAnsi="楷体" w:eastAsia="楷体" w:cs="宋体"/>
                <w:b/>
                <w:color w:val="auto"/>
                <w:spacing w:val="-2"/>
                <w:sz w:val="18"/>
                <w:szCs w:val="18"/>
                <w:highlight w:val="none"/>
                <w:lang w:val="en-US" w:eastAsia="zh-CN"/>
              </w:rPr>
              <w:t>名称</w:t>
            </w:r>
            <w:r>
              <w:rPr>
                <w:rFonts w:hint="eastAsia" w:ascii="楷体" w:hAnsi="楷体" w:eastAsia="楷体" w:cs="宋体"/>
                <w:b/>
                <w:color w:val="auto"/>
                <w:spacing w:val="-2"/>
                <w:sz w:val="18"/>
                <w:szCs w:val="18"/>
                <w:highlight w:val="none"/>
              </w:rPr>
              <w:t>/销售代码</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A份额：苏银理财恒源封闭债权245期13月A/J10382</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C份额：苏银理财恒源封闭债权245期13月C/J10383</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D份额：苏银理财恒源封闭债权245期13月D/J10384</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E份额：苏银理财恒源封闭债权245期13月E/J10385</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F份额：苏银理财恒源封闭债权245期13月F/J10386</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G份额：苏银理财恒源封闭债权245期13月G/J10387</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H份额：苏银理财恒源封闭债权245期13月H/J10388</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I份额：苏银理财恒源封闭债权245期13月I/J10389</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J份额：苏银理财恒源封闭债权245期13月J/J10390</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K份额：苏银理财恒源封闭债权245期13月K/J10391</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L份额：苏银理财恒源封闭债权245期13月L/J10392</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M份额：苏银理财恒源封闭债权245期13月M/J10393</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N份额：苏银理财恒源封闭债权245期13月N/J10394</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Z份额：苏银理财恒源封闭债权245期13月Z/J10395</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JS份额：苏银理财恒源封闭债权245期13月JS鑫福款/J10396</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北部湾银行专属份额：苏银理财恒源封闭债权245期13月（北部湾银行专属）/J10397</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芙蓉锦程·优选份额：苏银理财恒源封闭债权245期13月（芙蓉锦程·优选）/J10398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rPr>
              <w:t>产品类型</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lang w:val="en-US" w:eastAsia="zh-CN"/>
              </w:rPr>
            </w:pPr>
            <w:r>
              <w:rPr>
                <w:rFonts w:hint="eastAsia" w:ascii="楷体" w:hAnsi="楷体" w:eastAsia="楷体" w:cs="宋体"/>
                <w:b/>
                <w:color w:val="auto"/>
                <w:spacing w:val="-2"/>
                <w:sz w:val="18"/>
                <w:szCs w:val="18"/>
                <w:u w:val="single"/>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产品内部风险评级</w:t>
            </w:r>
          </w:p>
        </w:tc>
        <w:tc>
          <w:tcPr>
            <w:tcW w:w="7937" w:type="dxa"/>
            <w:vAlign w:val="center"/>
          </w:tcPr>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hint="eastAsia" w:ascii="楷体" w:hAnsi="楷体" w:eastAsia="楷体"/>
                <w:color w:val="auto"/>
                <w:sz w:val="18"/>
                <w:szCs w:val="18"/>
              </w:rPr>
            </w:pPr>
            <w:r>
              <w:rPr>
                <w:rFonts w:hint="eastAsia" w:ascii="楷体" w:hAnsi="楷体" w:eastAsia="楷体"/>
                <w:color w:val="auto"/>
                <w:sz w:val="18"/>
                <w:szCs w:val="18"/>
                <w:lang w:val="en-US" w:eastAsia="zh-CN"/>
              </w:rPr>
              <w:t>1.</w:t>
            </w:r>
            <w:r>
              <w:rPr>
                <w:rFonts w:hint="eastAsia" w:ascii="楷体" w:hAnsi="楷体" w:eastAsia="楷体"/>
                <w:color w:val="auto"/>
                <w:sz w:val="18"/>
                <w:szCs w:val="18"/>
              </w:rPr>
              <w:t>本理财产品经苏银理财内部风险评级为</w:t>
            </w:r>
            <w:r>
              <w:rPr>
                <w:rFonts w:hint="eastAsia" w:ascii="楷体" w:hAnsi="楷体" w:eastAsia="楷体"/>
                <w:b/>
                <w:color w:val="auto"/>
                <w:sz w:val="18"/>
                <w:szCs w:val="18"/>
                <w:u w:val="single"/>
              </w:rPr>
              <w:t>★★二级，适合中低风险型投资者，适合投资策略为稳健发展</w:t>
            </w:r>
            <w:r>
              <w:rPr>
                <w:rFonts w:hint="eastAsia" w:ascii="楷体" w:hAnsi="楷体" w:eastAsia="楷体"/>
                <w:b/>
                <w:color w:val="auto"/>
                <w:sz w:val="18"/>
                <w:szCs w:val="18"/>
                <w:u w:val="single"/>
                <w:lang w:val="en-US" w:eastAsia="zh-CN"/>
              </w:rPr>
              <w:t>的投资者</w:t>
            </w:r>
            <w:r>
              <w:rPr>
                <w:rFonts w:hint="eastAsia" w:ascii="楷体" w:hAnsi="楷体" w:eastAsia="楷体"/>
                <w:color w:val="auto"/>
                <w:sz w:val="18"/>
                <w:szCs w:val="18"/>
              </w:rPr>
              <w:t>。本评级为</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内部评级，由</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根据理财产品的投资组合、同类产品过往业绩和风险状况等因素，对理财产品进行评级，仅供</w:t>
            </w:r>
            <w:r>
              <w:rPr>
                <w:rFonts w:hint="eastAsia" w:ascii="楷体" w:hAnsi="楷体" w:eastAsia="楷体"/>
                <w:color w:val="auto"/>
                <w:sz w:val="18"/>
                <w:szCs w:val="18"/>
                <w:lang w:val="en-US" w:eastAsia="zh-CN"/>
              </w:rPr>
              <w:t>投资者</w:t>
            </w:r>
            <w:r>
              <w:rPr>
                <w:rFonts w:hint="eastAsia" w:ascii="楷体" w:hAnsi="楷体" w:eastAsia="楷体"/>
                <w:color w:val="auto"/>
                <w:sz w:val="18"/>
                <w:szCs w:val="18"/>
              </w:rPr>
              <w:t>参考。</w:t>
            </w:r>
          </w:p>
          <w:tbl>
            <w:tblPr>
              <w:tblStyle w:val="16"/>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4"/>
              <w:gridCol w:w="1489"/>
              <w:gridCol w:w="2030"/>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风险星级</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风险级别</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适合的投资者类别</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一级（PR1）</w:t>
                  </w:r>
                </w:p>
              </w:tc>
              <w:tc>
                <w:tcPr>
                  <w:tcW w:w="1493"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低风险型</w:t>
                  </w:r>
                </w:p>
              </w:tc>
              <w:tc>
                <w:tcPr>
                  <w:tcW w:w="1229"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二级（PR2）</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中低风险型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三级（PR3）</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四级（PR4）</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五级（PR5）</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风险承受</w:t>
                  </w:r>
                </w:p>
              </w:tc>
            </w:tr>
          </w:tbl>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ascii="楷体" w:hAnsi="楷体" w:eastAsia="楷体"/>
                <w:b/>
                <w:sz w:val="18"/>
                <w:szCs w:val="18"/>
                <w:highlight w:val="none"/>
                <w:u w:val="single"/>
              </w:rPr>
            </w:pPr>
            <w:r>
              <w:rPr>
                <w:rFonts w:hint="eastAsia" w:ascii="楷体" w:hAnsi="楷体" w:eastAsia="楷体"/>
                <w:sz w:val="18"/>
                <w:szCs w:val="18"/>
                <w:highlight w:val="none"/>
                <w:lang w:val="en-US" w:eastAsia="zh-CN"/>
              </w:rPr>
              <w:t>2.</w:t>
            </w:r>
            <w:r>
              <w:rPr>
                <w:rFonts w:hint="eastAsia" w:ascii="楷体" w:hAnsi="楷体" w:eastAsia="楷体"/>
                <w:sz w:val="18"/>
                <w:szCs w:val="18"/>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highlight w:val="none"/>
                <w:u w:val="single"/>
              </w:rPr>
              <w:t>如本产品通过代理销售机构渠道销售，</w:t>
            </w:r>
            <w:r>
              <w:rPr>
                <w:rFonts w:hint="eastAsia" w:ascii="楷体" w:hAnsi="楷体" w:eastAsia="楷体"/>
                <w:b/>
                <w:sz w:val="18"/>
                <w:szCs w:val="18"/>
                <w:highlight w:val="none"/>
                <w:u w:val="single"/>
              </w:rPr>
              <w:t>理财产品评级以代理销售机构最终披露的评级结果为准。</w:t>
            </w:r>
          </w:p>
          <w:p>
            <w:pPr>
              <w:keepNext w:val="0"/>
              <w:keepLines w:val="0"/>
              <w:pageBreakBefore w:val="0"/>
              <w:kinsoku/>
              <w:wordWrap/>
              <w:overflowPunct/>
              <w:topLinePunct w:val="0"/>
              <w:bidi w:val="0"/>
              <w:snapToGrid w:val="0"/>
              <w:spacing w:line="240" w:lineRule="auto"/>
              <w:ind w:left="57" w:leftChars="0" w:right="57" w:rightChars="0" w:firstLine="0" w:firstLineChars="0"/>
              <w:jc w:val="both"/>
              <w:textAlignment w:val="auto"/>
              <w:rPr>
                <w:rFonts w:hint="eastAsia" w:ascii="楷体" w:hAnsi="楷体" w:eastAsia="楷体" w:cs="宋体"/>
                <w:b/>
                <w:color w:val="auto"/>
                <w:spacing w:val="-2"/>
                <w:sz w:val="18"/>
                <w:szCs w:val="18"/>
                <w:u w:val="single"/>
              </w:rPr>
            </w:pPr>
            <w:r>
              <w:rPr>
                <w:rFonts w:hint="eastAsia" w:ascii="楷体" w:hAnsi="楷体" w:eastAsia="楷体"/>
                <w:color w:val="auto"/>
                <w:sz w:val="18"/>
                <w:szCs w:val="18"/>
                <w:lang w:val="en-US" w:eastAsia="zh-CN"/>
              </w:rPr>
              <w:t>3.</w:t>
            </w:r>
            <w:r>
              <w:rPr>
                <w:rFonts w:hint="eastAsia" w:ascii="楷体" w:hAnsi="楷体" w:eastAsia="楷体"/>
                <w:color w:val="auto"/>
                <w:sz w:val="18"/>
                <w:szCs w:val="18"/>
              </w:rPr>
              <w:t>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销售对象</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M份额面向个人销售；其他份额面向个人和机构投资者销售。</w:t>
            </w:r>
          </w:p>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其中C份额销售机构江苏银行仅限新资金客户、新客户及代发工资客户，具体以销售机构系统设置为准。新资金的达标条件为“客户前一日资产时点余额”较“前一月末资产月日均余额”的新增额大于5万元；新客户是指首次购买苏银理财理财产品的客户；</w:t>
            </w:r>
          </w:p>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kern w:val="0"/>
                <w:sz w:val="18"/>
                <w:szCs w:val="18"/>
                <w:highlight w:val="none"/>
                <w:lang w:val="en-US" w:eastAsia="zh-CN" w:bidi="ar-SA"/>
              </w:rPr>
              <w:t>E份额销售机构江苏银行仅限财富客户、私行客户、企业高管客户，江苏银行财富客户指在江苏银行日均资产大于等于200万元的个人客户，江苏银行私行客户指在江苏银行日均资产大于等于600万元的个人客户，企业高管客户是指与江苏银行有业务来往的企业的高管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4"/>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币种</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份额面值</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highlight w:val="none"/>
              </w:rPr>
              <w:t>计划发行规模</w:t>
            </w:r>
          </w:p>
        </w:tc>
        <w:tc>
          <w:tcPr>
            <w:tcW w:w="7937" w:type="dxa"/>
            <w:vAlign w:val="center"/>
          </w:tcPr>
          <w:p>
            <w:pPr>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val="0"/>
                <w:color w:val="auto"/>
                <w:spacing w:val="-2"/>
                <w:kern w:val="0"/>
                <w:sz w:val="18"/>
                <w:szCs w:val="18"/>
                <w:u w:val="none"/>
              </w:rPr>
            </w:pPr>
            <w:r>
              <w:rPr>
                <w:rFonts w:hint="eastAsia" w:ascii="楷体" w:hAnsi="楷体" w:eastAsia="楷体" w:cs="宋体"/>
                <w:color w:val="auto"/>
                <w:spacing w:val="-2"/>
                <w:kern w:val="0"/>
                <w:sz w:val="18"/>
                <w:szCs w:val="18"/>
                <w:highlight w:val="none"/>
                <w:lang w:val="en-US" w:eastAsia="zh-CN"/>
              </w:rPr>
              <w:t>本产品计划发行规模为20</w:t>
            </w:r>
            <w:r>
              <w:rPr>
                <w:rFonts w:hint="eastAsia" w:ascii="楷体" w:hAnsi="楷体" w:eastAsia="楷体" w:cs="宋体"/>
                <w:color w:val="auto"/>
                <w:spacing w:val="-2"/>
                <w:kern w:val="0"/>
                <w:sz w:val="18"/>
                <w:szCs w:val="18"/>
                <w:highlight w:val="none"/>
              </w:rPr>
              <w:t>亿</w:t>
            </w:r>
            <w:r>
              <w:rPr>
                <w:rFonts w:hint="eastAsia" w:ascii="楷体" w:hAnsi="楷体" w:eastAsia="楷体" w:cs="宋体"/>
                <w:color w:val="auto"/>
                <w:spacing w:val="-2"/>
                <w:kern w:val="0"/>
                <w:sz w:val="18"/>
                <w:szCs w:val="18"/>
                <w:highlight w:val="none"/>
                <w:lang w:val="en-US" w:eastAsia="zh-CN"/>
              </w:rPr>
              <w:t>元，</w:t>
            </w:r>
            <w:r>
              <w:rPr>
                <w:rFonts w:hint="eastAsia" w:ascii="楷体" w:hAnsi="楷体" w:eastAsia="楷体" w:cs="宋体"/>
                <w:color w:val="auto"/>
                <w:spacing w:val="-2"/>
                <w:kern w:val="0"/>
                <w:sz w:val="18"/>
                <w:szCs w:val="18"/>
                <w:highlight w:val="none"/>
              </w:rPr>
              <w:t>管理人有权</w:t>
            </w:r>
            <w:r>
              <w:rPr>
                <w:rFonts w:hint="eastAsia" w:ascii="楷体" w:hAnsi="楷体" w:eastAsia="楷体" w:cs="宋体"/>
                <w:color w:val="auto"/>
                <w:spacing w:val="-2"/>
                <w:kern w:val="0"/>
                <w:sz w:val="18"/>
                <w:szCs w:val="18"/>
                <w:highlight w:val="none"/>
                <w:lang w:val="en-US" w:eastAsia="zh-CN"/>
              </w:rPr>
              <w:t>根据实际需要</w:t>
            </w:r>
            <w:r>
              <w:rPr>
                <w:rFonts w:hint="eastAsia" w:ascii="楷体" w:hAnsi="楷体" w:eastAsia="楷体" w:cs="宋体"/>
                <w:color w:val="auto"/>
                <w:spacing w:val="-2"/>
                <w:kern w:val="0"/>
                <w:sz w:val="18"/>
                <w:szCs w:val="18"/>
                <w:highlight w:val="none"/>
              </w:rPr>
              <w:t>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lang w:val="en-US" w:eastAsia="zh-CN"/>
              </w:rPr>
            </w:pPr>
            <w:r>
              <w:rPr>
                <w:rFonts w:hint="eastAsia" w:ascii="楷体" w:hAnsi="楷体" w:eastAsia="楷体" w:cs="宋体"/>
                <w:b/>
                <w:color w:val="auto"/>
                <w:spacing w:val="-2"/>
                <w:sz w:val="18"/>
                <w:szCs w:val="18"/>
                <w:highlight w:val="none"/>
                <w:lang w:val="en-US" w:eastAsia="zh-CN"/>
              </w:rPr>
              <w:t>最低发行规模</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highlight w:val="none"/>
              </w:rPr>
              <w:t>本产品最低发行规模为</w:t>
            </w:r>
            <w:r>
              <w:rPr>
                <w:rFonts w:hint="eastAsia" w:ascii="楷体" w:hAnsi="楷体" w:eastAsia="楷体" w:cs="宋体"/>
                <w:spacing w:val="-2"/>
                <w:sz w:val="18"/>
                <w:szCs w:val="18"/>
                <w:highlight w:val="none"/>
                <w:lang w:val="en-US" w:eastAsia="zh-CN"/>
              </w:rPr>
              <w:t>3000万</w:t>
            </w:r>
            <w:r>
              <w:rPr>
                <w:rFonts w:hint="eastAsia" w:ascii="楷体" w:hAnsi="楷体" w:eastAsia="楷体" w:cs="宋体"/>
                <w:spacing w:val="-2"/>
                <w:sz w:val="18"/>
                <w:szCs w:val="18"/>
                <w:highlight w:val="none"/>
              </w:rPr>
              <w:t>元，管理人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0"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购买</w:t>
            </w:r>
            <w:r>
              <w:rPr>
                <w:rFonts w:hint="eastAsia" w:ascii="楷体" w:hAnsi="楷体" w:eastAsia="楷体" w:cs="宋体"/>
                <w:b/>
                <w:color w:val="auto"/>
                <w:spacing w:val="-2"/>
                <w:sz w:val="18"/>
                <w:szCs w:val="18"/>
              </w:rPr>
              <w:t>起点</w:t>
            </w:r>
            <w:r>
              <w:rPr>
                <w:rFonts w:ascii="楷体" w:hAnsi="楷体" w:eastAsia="楷体" w:cs="宋体"/>
                <w:b/>
                <w:color w:val="auto"/>
                <w:spacing w:val="-2"/>
                <w:sz w:val="18"/>
                <w:szCs w:val="18"/>
              </w:rPr>
              <w:t>/</w:t>
            </w:r>
            <w:r>
              <w:rPr>
                <w:rFonts w:hint="eastAsia" w:ascii="楷体" w:hAnsi="楷体" w:eastAsia="楷体" w:cs="宋体"/>
                <w:b/>
                <w:color w:val="auto"/>
                <w:spacing w:val="-2"/>
                <w:sz w:val="18"/>
                <w:szCs w:val="18"/>
              </w:rPr>
              <w:t>追加金额</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A/D/F/G/H/I/J/K/L/N/Z/JS/北部湾银行专属/芙蓉锦程·优选份额：1元/1元的整数倍；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C/M份额：10,000元/10,000元的整数倍；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E份额：300,000元/10,000元的整数倍；</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highlight w:val="none"/>
              </w:rPr>
            </w:pPr>
            <w:r>
              <w:rPr>
                <w:rFonts w:hint="eastAsia" w:ascii="楷体" w:hAnsi="楷体" w:eastAsia="楷体"/>
                <w:sz w:val="18"/>
                <w:szCs w:val="18"/>
              </w:rPr>
              <w:t>苏银理财有权对上述起点金额</w:t>
            </w:r>
            <w:r>
              <w:rPr>
                <w:rFonts w:hint="eastAsia" w:ascii="楷体" w:hAnsi="楷体" w:eastAsia="楷体"/>
                <w:sz w:val="18"/>
                <w:szCs w:val="18"/>
                <w:highlight w:val="none"/>
              </w:rPr>
              <w:t>和</w:t>
            </w:r>
            <w:r>
              <w:rPr>
                <w:rFonts w:hint="eastAsia" w:ascii="楷体" w:hAnsi="楷体" w:eastAsia="楷体"/>
                <w:sz w:val="18"/>
                <w:szCs w:val="18"/>
                <w:highlight w:val="none"/>
                <w:lang w:val="en-US" w:eastAsia="zh-CN"/>
              </w:rPr>
              <w:t>追加</w:t>
            </w:r>
            <w:r>
              <w:rPr>
                <w:rFonts w:hint="eastAsia" w:ascii="楷体" w:hAnsi="楷体" w:eastAsia="楷体"/>
                <w:sz w:val="18"/>
                <w:szCs w:val="18"/>
                <w:highlight w:val="none"/>
              </w:rPr>
              <w:t>金额进行</w:t>
            </w:r>
            <w:r>
              <w:rPr>
                <w:rFonts w:hint="eastAsia" w:ascii="楷体" w:hAnsi="楷体" w:eastAsia="楷体"/>
                <w:sz w:val="18"/>
                <w:szCs w:val="18"/>
              </w:rPr>
              <w:t>调整，并在调整前进行公告。</w:t>
            </w:r>
            <w:r>
              <w:rPr>
                <w:rFonts w:hint="eastAsia" w:ascii="楷体" w:hAnsi="楷体" w:eastAsia="楷体"/>
                <w:sz w:val="18"/>
                <w:szCs w:val="18"/>
                <w:lang w:eastAsia="zh-CN"/>
              </w:rPr>
              <w:t>（</w:t>
            </w:r>
            <w:r>
              <w:rPr>
                <w:rFonts w:hint="eastAsia" w:ascii="楷体" w:hAnsi="楷体" w:eastAsia="楷体"/>
                <w:sz w:val="18"/>
                <w:szCs w:val="18"/>
              </w:rPr>
              <w:t>具体以销售机构设置为准</w:t>
            </w:r>
            <w:r>
              <w:rPr>
                <w:rFonts w:hint="eastAsia" w:ascii="楷体" w:hAnsi="楷体" w:eastAsia="楷体"/>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募集期</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11</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19</w:t>
            </w:r>
            <w:r>
              <w:rPr>
                <w:rFonts w:hint="eastAsia" w:ascii="楷体" w:hAnsi="楷体" w:eastAsia="楷体" w:cs="宋体"/>
                <w:color w:val="auto"/>
                <w:spacing w:val="-2"/>
                <w:sz w:val="18"/>
                <w:szCs w:val="18"/>
              </w:rPr>
              <w:t>日至202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11</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25</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p>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产品成立日</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2025年11月26日，如管理人调整募集期，则产品成立日将相应调整，以管理人公告为准。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w:t>
            </w:r>
            <w:r>
              <w:rPr>
                <w:rFonts w:hint="eastAsia" w:ascii="楷体" w:hAnsi="楷体" w:eastAsia="楷体" w:cs="宋体"/>
                <w:b/>
                <w:color w:val="auto"/>
                <w:spacing w:val="-2"/>
                <w:sz w:val="18"/>
                <w:szCs w:val="18"/>
                <w:lang w:val="en-US" w:eastAsia="zh-CN"/>
              </w:rPr>
              <w:t>终止日/</w:t>
            </w:r>
          </w:p>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到期日</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6</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12</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15</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如遇节假日，顺延至下一工作日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在符合产品说明书约定的条件下，管理人有权</w:t>
            </w:r>
            <w:r>
              <w:rPr>
                <w:rFonts w:hint="eastAsia" w:ascii="楷体" w:hAnsi="楷体" w:eastAsia="楷体" w:cs="宋体"/>
                <w:color w:val="auto"/>
                <w:spacing w:val="-2"/>
                <w:sz w:val="18"/>
                <w:szCs w:val="18"/>
                <w:lang w:val="en-US" w:eastAsia="zh-CN"/>
              </w:rPr>
              <w:t>调整产品到期日</w:t>
            </w:r>
            <w:r>
              <w:rPr>
                <w:rFonts w:hint="eastAsia" w:ascii="楷体" w:hAnsi="楷体" w:eastAsia="楷体" w:cs="宋体"/>
                <w:color w:val="auto"/>
                <w:spacing w:val="-2"/>
                <w:sz w:val="18"/>
                <w:szCs w:val="18"/>
              </w:rPr>
              <w:t>，产品到期日受制于提前终止</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延期终止</w:t>
            </w:r>
            <w:r>
              <w:rPr>
                <w:rFonts w:hint="eastAsia" w:ascii="楷体" w:hAnsi="楷体" w:eastAsia="楷体" w:cs="宋体"/>
                <w:color w:val="auto"/>
                <w:spacing w:val="-2"/>
                <w:sz w:val="18"/>
                <w:szCs w:val="18"/>
              </w:rPr>
              <w:t>条款。详见下文“</w:t>
            </w:r>
            <w:r>
              <w:rPr>
                <w:rFonts w:hint="eastAsia" w:ascii="楷体" w:hAnsi="楷体" w:eastAsia="楷体" w:cs="宋体"/>
                <w:color w:val="auto"/>
                <w:spacing w:val="-2"/>
                <w:sz w:val="18"/>
                <w:szCs w:val="18"/>
                <w:lang w:val="en-US" w:eastAsia="zh-CN"/>
              </w:rPr>
              <w:t>八</w:t>
            </w:r>
            <w:r>
              <w:rPr>
                <w:rFonts w:hint="eastAsia" w:ascii="楷体" w:hAnsi="楷体" w:eastAsia="楷体" w:cs="宋体"/>
                <w:color w:val="auto"/>
                <w:spacing w:val="-2"/>
                <w:sz w:val="18"/>
                <w:szCs w:val="18"/>
              </w:rPr>
              <w:t>、产品终止”。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产品存续期限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384</w:t>
            </w:r>
            <w:r>
              <w:rPr>
                <w:rFonts w:hint="eastAsia" w:ascii="楷体" w:hAnsi="楷体" w:eastAsia="楷体" w:cs="宋体"/>
                <w:color w:val="auto"/>
                <w:spacing w:val="-2"/>
                <w:sz w:val="18"/>
                <w:szCs w:val="18"/>
              </w:rPr>
              <w:t>天（以理财产品实际存续天数为准）</w:t>
            </w:r>
            <w:r>
              <w:rPr>
                <w:rFonts w:hint="eastAsia" w:ascii="楷体" w:hAnsi="楷体" w:eastAsia="楷体" w:cs="宋体"/>
                <w:color w:val="auto"/>
                <w:spacing w:val="-2"/>
                <w:sz w:val="18"/>
                <w:szCs w:val="18"/>
                <w:lang w:eastAsia="zh-CN"/>
              </w:rPr>
              <w:t>。</w:t>
            </w:r>
            <w:r>
              <w:rPr>
                <w:rFonts w:hint="eastAsia" w:ascii="楷体" w:hAnsi="楷体" w:eastAsia="楷体" w:cs="宋体"/>
                <w:b/>
                <w:bCs/>
                <w:color w:val="auto"/>
                <w:spacing w:val="-2"/>
                <w:sz w:val="18"/>
                <w:szCs w:val="18"/>
                <w:u w:val="single"/>
                <w:lang w:eastAsia="zh-CN"/>
              </w:rPr>
              <w:t>本产品运行期间，不开放申购、赎回。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持有份额上限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spacing w:val="-2"/>
                <w:kern w:val="0"/>
                <w:sz w:val="18"/>
                <w:szCs w:val="18"/>
                <w:highlight w:val="none"/>
                <w:lang w:val="en-US" w:eastAsia="zh-CN" w:bidi="ar-SA"/>
              </w:rPr>
              <w:t>单一投资者持有份额不得超过总份额50%。非因主观因素导致突破前款规定比例限制的，在单一投资者持有份额占理财产品总份额比例降至50%以下之前，不再接受该单一投资者对理财产品的认购申请。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业绩比较基准（年化）</w:t>
            </w:r>
          </w:p>
        </w:tc>
        <w:tc>
          <w:tcPr>
            <w:tcW w:w="7937" w:type="dxa"/>
            <w:vAlign w:val="center"/>
          </w:tcPr>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b/>
                <w:bCs/>
                <w:spacing w:val="-2"/>
                <w:sz w:val="18"/>
                <w:szCs w:val="18"/>
                <w:u w:val="single"/>
              </w:rPr>
            </w:pPr>
            <w:r>
              <w:rPr>
                <w:rFonts w:hint="eastAsia" w:ascii="楷体" w:hAnsi="楷体" w:eastAsia="楷体" w:cs="宋体"/>
                <w:b/>
                <w:bCs/>
                <w:spacing w:val="-2"/>
                <w:sz w:val="18"/>
                <w:szCs w:val="18"/>
                <w:u w:val="single"/>
                <w:lang w:val="en-US" w:eastAsia="zh-CN"/>
              </w:rPr>
              <w:t>1.管理人</w:t>
            </w:r>
            <w:r>
              <w:rPr>
                <w:rFonts w:ascii="楷体" w:hAnsi="楷体" w:eastAsia="楷体" w:cs="宋体"/>
                <w:b/>
                <w:bCs/>
                <w:spacing w:val="-2"/>
                <w:sz w:val="18"/>
                <w:szCs w:val="18"/>
                <w:u w:val="single"/>
              </w:rPr>
              <w:t>参考过往投资经验，依据近期货币市场工具、债券</w:t>
            </w:r>
            <w:r>
              <w:rPr>
                <w:rFonts w:hint="eastAsia" w:ascii="楷体" w:hAnsi="楷体" w:eastAsia="楷体" w:cs="宋体"/>
                <w:b/>
                <w:bCs/>
                <w:spacing w:val="-2"/>
                <w:sz w:val="18"/>
                <w:szCs w:val="18"/>
                <w:u w:val="single"/>
              </w:rPr>
              <w:t>、非标准化债权</w:t>
            </w:r>
            <w:r>
              <w:rPr>
                <w:rFonts w:ascii="楷体" w:hAnsi="楷体" w:eastAsia="楷体" w:cs="宋体"/>
                <w:b/>
                <w:bCs/>
                <w:spacing w:val="-2"/>
                <w:sz w:val="18"/>
                <w:szCs w:val="18"/>
                <w:u w:val="single"/>
              </w:rPr>
              <w:t>等资产</w:t>
            </w:r>
            <w:r>
              <w:rPr>
                <w:rFonts w:hint="eastAsia" w:ascii="楷体" w:hAnsi="楷体" w:eastAsia="楷体" w:cs="宋体"/>
                <w:b/>
                <w:bCs/>
                <w:spacing w:val="-2"/>
                <w:sz w:val="18"/>
                <w:szCs w:val="18"/>
                <w:u w:val="single"/>
              </w:rPr>
              <w:t>投资</w:t>
            </w:r>
            <w:r>
              <w:rPr>
                <w:rFonts w:ascii="楷体" w:hAnsi="楷体" w:eastAsia="楷体" w:cs="宋体"/>
                <w:b/>
                <w:bCs/>
                <w:spacing w:val="-2"/>
                <w:sz w:val="18"/>
                <w:szCs w:val="18"/>
                <w:u w:val="single"/>
              </w:rPr>
              <w:t>收益水平，</w:t>
            </w:r>
            <w:r>
              <w:rPr>
                <w:rFonts w:hint="eastAsia" w:ascii="楷体" w:hAnsi="楷体" w:eastAsia="楷体" w:cs="宋体"/>
                <w:b/>
                <w:spacing w:val="-2"/>
                <w:sz w:val="18"/>
                <w:szCs w:val="18"/>
                <w:u w:val="single"/>
              </w:rPr>
              <w:t>在产品说明书约定的投资范围和投资比例内，</w:t>
            </w:r>
            <w:r>
              <w:rPr>
                <w:rFonts w:hint="eastAsia" w:ascii="楷体" w:hAnsi="楷体" w:eastAsia="楷体" w:cs="宋体"/>
                <w:b/>
                <w:spacing w:val="-2"/>
                <w:sz w:val="18"/>
                <w:szCs w:val="18"/>
                <w:highlight w:val="none"/>
                <w:u w:val="single"/>
              </w:rPr>
              <w:t>综合考虑各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份额收取的</w:t>
            </w:r>
            <w:r>
              <w:rPr>
                <w:rFonts w:hint="eastAsia" w:ascii="楷体" w:hAnsi="楷体" w:eastAsia="楷体" w:cs="宋体"/>
                <w:b/>
                <w:spacing w:val="-2"/>
                <w:sz w:val="18"/>
                <w:szCs w:val="18"/>
                <w:highlight w:val="none"/>
                <w:u w:val="single"/>
                <w:lang w:val="en-US" w:eastAsia="zh-CN"/>
              </w:rPr>
              <w:t>销售服务费和投资管理费等费用情况，模拟测算得出业绩比较基准。</w:t>
            </w:r>
          </w:p>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u w:val="single"/>
                <w:lang w:val="en-US" w:eastAsia="zh-CN"/>
              </w:rPr>
              <w:t>2.</w:t>
            </w:r>
            <w:r>
              <w:rPr>
                <w:rFonts w:hint="eastAsia" w:ascii="楷体" w:hAnsi="楷体" w:eastAsia="楷体" w:cs="宋体"/>
                <w:b/>
                <w:spacing w:val="-2"/>
                <w:sz w:val="18"/>
                <w:szCs w:val="18"/>
                <w:highlight w:val="none"/>
                <w:u w:val="single"/>
                <w:lang w:val="en-US" w:eastAsia="zh-CN"/>
              </w:rPr>
              <w:t>本产品各类份额可能因收取的销售服务费和投资管理费存在差异，业绩比较基准设置有所不同。</w:t>
            </w:r>
            <w:r>
              <w:rPr>
                <w:rFonts w:hint="eastAsia" w:ascii="楷体" w:hAnsi="楷体" w:eastAsia="楷体" w:cs="宋体"/>
                <w:b w:val="0"/>
                <w:bCs/>
                <w:spacing w:val="-2"/>
                <w:sz w:val="18"/>
                <w:szCs w:val="18"/>
                <w:highlight w:val="none"/>
                <w:u w:val="none"/>
              </w:rPr>
              <w:t>各</w:t>
            </w:r>
            <w:r>
              <w:rPr>
                <w:rFonts w:hint="eastAsia" w:ascii="楷体" w:hAnsi="楷体" w:eastAsia="楷体" w:cs="宋体"/>
                <w:b w:val="0"/>
                <w:bCs/>
                <w:spacing w:val="-2"/>
                <w:sz w:val="18"/>
                <w:szCs w:val="18"/>
                <w:highlight w:val="none"/>
                <w:u w:val="none"/>
                <w:lang w:val="en-US" w:eastAsia="zh-CN"/>
              </w:rPr>
              <w:t>类</w:t>
            </w:r>
            <w:r>
              <w:rPr>
                <w:rFonts w:hint="eastAsia" w:ascii="楷体" w:hAnsi="楷体" w:eastAsia="楷体" w:cs="宋体"/>
                <w:b w:val="0"/>
                <w:bCs/>
                <w:spacing w:val="-2"/>
                <w:sz w:val="18"/>
                <w:szCs w:val="18"/>
                <w:highlight w:val="none"/>
                <w:u w:val="none"/>
              </w:rPr>
              <w:t>份额业绩比较基准如下：</w:t>
            </w:r>
          </w:p>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2"/>
                <w:sz w:val="18"/>
                <w:szCs w:val="18"/>
                <w:lang w:val="en-US" w:eastAsia="zh-CN" w:bidi="ar-SA"/>
              </w:rPr>
            </w:pPr>
            <w:r>
              <w:rPr>
                <w:rFonts w:hint="eastAsia" w:ascii="楷体" w:hAnsi="楷体" w:eastAsia="楷体" w:cs="宋体"/>
                <w:color w:val="auto"/>
                <w:spacing w:val="-2"/>
                <w:kern w:val="2"/>
                <w:sz w:val="18"/>
                <w:szCs w:val="18"/>
                <w:lang w:val="en-US" w:eastAsia="zh-CN" w:bidi="ar-SA"/>
              </w:rPr>
              <w:t>A份额：2.55%-2.95%；C份额：2.60%-3.00%；D份额：2.55%-2.95%；E份额：2.65%-3.05%；F份额：2.55%-2.95%；G份额：2.45%-2.85%；H份额：2.35%-2.75%；I份额：2.55%-2.95%；J份额：2.50%-2.90%；K份额：2.65%-3.05%；L份额：2.60%-3.00%；M份额：2.40%-2.80%；N份额：2.50%-2.90%；Z份额：2.65%-3.05%；JS份额：2.55%-2.95%；北部湾银行专属份额：2.45%-2.85%；芙蓉锦程·优选份额：2.60%-3.00%。</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b/>
                <w:spacing w:val="-2"/>
                <w:sz w:val="18"/>
                <w:szCs w:val="18"/>
                <w:u w:val="single"/>
                <w:lang w:val="en-US" w:eastAsia="zh-CN"/>
              </w:rPr>
              <w:t>3.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64"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产品费用</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val="en-US" w:eastAsia="zh-CN"/>
              </w:rPr>
            </w:pPr>
            <w:r>
              <w:rPr>
                <w:rFonts w:hint="eastAsia" w:ascii="楷体" w:hAnsi="楷体" w:eastAsia="楷体" w:cs="宋体"/>
                <w:color w:val="auto"/>
                <w:spacing w:val="-2"/>
                <w:sz w:val="18"/>
                <w:szCs w:val="18"/>
                <w:lang w:val="en-US" w:eastAsia="zh-CN"/>
              </w:rPr>
              <w:t>本产品费用包括托管费、销售服务费、投资管理费、超额业绩报酬（如有）以及产品运作和清算中产生的其他费用等。</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1.托管费率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：0.02%/年</w:t>
            </w:r>
            <w:r>
              <w:rPr>
                <w:rFonts w:hint="eastAsia" w:ascii="楷体" w:hAnsi="楷体" w:eastAsia="楷体" w:cs="宋体"/>
                <w:color w:val="auto"/>
                <w:spacing w:val="-2"/>
                <w:sz w:val="18"/>
                <w:szCs w:val="18"/>
                <w:lang w:eastAsia="zh-CN"/>
              </w:rPr>
              <w:t>。</w:t>
            </w:r>
          </w:p>
          <w:p>
            <w:pPr>
              <w:keepNext w:val="0"/>
              <w:keepLines w:val="0"/>
              <w:pageBreakBefore w:val="0"/>
              <w:wordWrap/>
              <w:topLinePunct w:val="0"/>
              <w:bidi w:val="0"/>
              <w:snapToGrid w:val="0"/>
              <w:spacing w:line="240" w:lineRule="auto"/>
              <w:ind w:left="57" w:right="57" w:rightChars="0"/>
              <w:textAlignment w:val="auto"/>
              <w:rPr>
                <w:rFonts w:hint="default" w:ascii="楷体" w:hAnsi="楷体" w:eastAsia="楷体" w:cs="宋体"/>
                <w:color w:val="auto"/>
                <w:spacing w:val="-2"/>
                <w:sz w:val="18"/>
                <w:szCs w:val="18"/>
                <w:lang w:val="en-US"/>
              </w:rPr>
            </w:pPr>
            <w:r>
              <w:rPr>
                <w:rFonts w:hint="eastAsia" w:ascii="楷体" w:hAnsi="楷体" w:eastAsia="楷体" w:cs="宋体"/>
                <w:color w:val="auto"/>
                <w:spacing w:val="-2"/>
                <w:sz w:val="18"/>
                <w:szCs w:val="18"/>
              </w:rPr>
              <w:t>2.销售服务费率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H份额：0.40%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L份额：0.10%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M份额：0.35%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N份额：0.25%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北部湾银行专属份额：0.30%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芙蓉锦程·优选份额：0.15%</w:t>
            </w:r>
            <w:r>
              <w:rPr>
                <w:rFonts w:hint="eastAsia" w:ascii="楷体" w:hAnsi="楷体" w:eastAsia="楷体" w:cs="宋体"/>
                <w:color w:val="auto"/>
                <w:spacing w:val="-2"/>
                <w:sz w:val="18"/>
                <w:szCs w:val="18"/>
                <w:lang w:val="en-US" w:eastAsia="zh-CN"/>
              </w:rPr>
              <w:t>。其中D份额采用一次性提取模式，其他份额采用每日计提模式。</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3.投资管理费率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E份额：0.05%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L份额：0.15%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M份额：0.10%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N份额：0.10%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北部湾银行专属份额：0.10%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芙蓉锦程·优选份额：0.10%</w:t>
            </w:r>
            <w:r>
              <w:rPr>
                <w:rFonts w:hint="eastAsia" w:ascii="楷体" w:hAnsi="楷体" w:eastAsia="楷体" w:cs="宋体"/>
                <w:color w:val="auto"/>
                <w:spacing w:val="-2"/>
                <w:sz w:val="18"/>
                <w:szCs w:val="18"/>
                <w:lang w:val="en-US" w:eastAsia="zh-CN"/>
              </w:rPr>
              <w:t>。</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4.超额业绩报酬</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如有）</w:t>
            </w:r>
            <w:r>
              <w:rPr>
                <w:rFonts w:hint="eastAsia" w:ascii="楷体" w:hAnsi="楷体" w:eastAsia="楷体" w:cs="宋体"/>
                <w:color w:val="auto"/>
                <w:spacing w:val="-2"/>
                <w:sz w:val="18"/>
                <w:szCs w:val="18"/>
              </w:rPr>
              <w:t>：若产品各份额实际投资收益在扣除托管费、销售服务费、投资管理费等费用后超过各份额业绩比较基准</w:t>
            </w:r>
            <w:r>
              <w:rPr>
                <w:rFonts w:hint="eastAsia" w:ascii="楷体" w:hAnsi="楷体" w:eastAsia="楷体" w:cs="宋体"/>
                <w:color w:val="auto"/>
                <w:spacing w:val="-2"/>
                <w:sz w:val="18"/>
                <w:szCs w:val="18"/>
                <w:lang w:val="en-US" w:eastAsia="zh-CN"/>
              </w:rPr>
              <w:t>下限</w:t>
            </w:r>
            <w:r>
              <w:rPr>
                <w:rFonts w:hint="eastAsia" w:ascii="楷体" w:hAnsi="楷体" w:eastAsia="楷体" w:cs="宋体"/>
                <w:color w:val="auto"/>
                <w:spacing w:val="-2"/>
                <w:sz w:val="18"/>
                <w:szCs w:val="18"/>
              </w:rPr>
              <w:t>，产品管理人将按照超出部分的50%收取超额业绩报酬。产品存续期内理财产品将每日暂估超额业绩报酬，仅用于理财产品会计核算，并将扣除“暂估超额业绩报酬”后的理财产品份额净值按照说明书约定向投资者进行披露。理财产品实际收取的超额业绩报酬以到期日计提核算的数值为准。计算超额业绩报酬时，1年按365日计算。</w:t>
            </w:r>
          </w:p>
          <w:p>
            <w:pPr>
              <w:pStyle w:val="35"/>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本产品设置有多</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份额按照设置的销售对象和销售起点在不同的销售机构销售，各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份额实际收取的销售服务费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、投资管理费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和超额业绩报酬（如有）可能存在差异，投资者应根据各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份额收费情况自主选择购买。</w:t>
            </w:r>
          </w:p>
          <w:p>
            <w:pPr>
              <w:keepNext w:val="0"/>
              <w:keepLines w:val="0"/>
              <w:pageBreakBefore w:val="0"/>
              <w:widowControl w:val="0"/>
              <w:numPr>
                <w:ilvl w:val="0"/>
                <w:numId w:val="0"/>
              </w:numPr>
              <w:wordWrap/>
              <w:topLinePunct w:val="0"/>
              <w:bidi w:val="0"/>
              <w:snapToGrid w:val="0"/>
              <w:spacing w:line="240" w:lineRule="auto"/>
              <w:ind w:right="57" w:rightChars="0"/>
              <w:jc w:val="both"/>
              <w:textAlignment w:val="auto"/>
              <w:rPr>
                <w:rFonts w:hint="eastAsia" w:ascii="楷体" w:hAnsi="楷体" w:eastAsia="楷体" w:cs="宋体"/>
                <w:b/>
                <w:spacing w:val="-2"/>
                <w:sz w:val="18"/>
                <w:szCs w:val="18"/>
                <w:u w:val="singl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b/>
                <w:color w:val="auto"/>
                <w:spacing w:val="-2"/>
                <w:sz w:val="18"/>
                <w:szCs w:val="18"/>
                <w:lang w:val="en-US" w:eastAsia="zh-CN"/>
              </w:rPr>
              <w:t>收益分配</w:t>
            </w:r>
          </w:p>
        </w:tc>
        <w:tc>
          <w:tcPr>
            <w:tcW w:w="7937" w:type="dxa"/>
            <w:vAlign w:val="center"/>
          </w:tcPr>
          <w:p>
            <w:pPr>
              <w:keepNext w:val="0"/>
              <w:keepLines w:val="0"/>
              <w:pageBreakBefore w:val="0"/>
              <w:wordWrap/>
              <w:topLinePunct w:val="0"/>
              <w:bidi w:val="0"/>
              <w:snapToGrid w:val="0"/>
              <w:spacing w:line="240" w:lineRule="auto"/>
              <w:ind w:left="59" w:leftChars="0" w:right="73" w:rightChars="35"/>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color w:val="auto"/>
                <w:spacing w:val="-2"/>
                <w:sz w:val="18"/>
                <w:szCs w:val="18"/>
                <w:lang w:val="en-US" w:eastAsia="zh-CN"/>
              </w:rPr>
              <w:t>本产品无分红机制，投资运作情况体现为产品净值变化。产品投资运作到期，投资收益扣除相关费用后，全部分配给投资者。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lang w:val="en-US" w:eastAsia="zh-CN"/>
              </w:rPr>
              <w:t>税款</w:t>
            </w:r>
          </w:p>
        </w:tc>
        <w:tc>
          <w:tcPr>
            <w:tcW w:w="7937" w:type="dxa"/>
            <w:vAlign w:val="center"/>
          </w:tcPr>
          <w:p>
            <w:pPr>
              <w:keepNext w:val="0"/>
              <w:keepLines w:val="0"/>
              <w:pageBreakBefore w:val="0"/>
              <w:widowControl w:val="0"/>
              <w:wordWrap/>
              <w:topLinePunct w:val="0"/>
              <w:bidi w:val="0"/>
              <w:snapToGrid w:val="0"/>
              <w:spacing w:line="240" w:lineRule="auto"/>
              <w:ind w:left="42" w:leftChars="20" w:right="42" w:rightChars="20"/>
              <w:textAlignment w:val="auto"/>
              <w:rPr>
                <w:rFonts w:hint="eastAsia" w:ascii="楷体" w:hAnsi="楷体" w:eastAsia="楷体" w:cs="宋体"/>
                <w:spacing w:val="-2"/>
                <w:kern w:val="2"/>
                <w:sz w:val="18"/>
                <w:szCs w:val="18"/>
                <w:highlight w:val="none"/>
                <w:lang w:val="en-US" w:eastAsia="zh-CN" w:bidi="ar-SA"/>
              </w:rPr>
            </w:pPr>
            <w:r>
              <w:rPr>
                <w:rFonts w:hint="eastAsia" w:ascii="楷体" w:hAnsi="楷体" w:eastAsia="楷体" w:cs="宋体"/>
                <w:color w:val="auto"/>
                <w:spacing w:val="-2"/>
                <w:sz w:val="18"/>
                <w:szCs w:val="18"/>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color w:val="auto"/>
                <w:spacing w:val="-2"/>
                <w:sz w:val="18"/>
                <w:szCs w:val="18"/>
                <w:u w:val="single"/>
              </w:rPr>
              <w:t>投资者从理财产品取得的收益应缴纳的税款，由投资者自行申报及缴纳。</w:t>
            </w:r>
          </w:p>
        </w:tc>
      </w:tr>
    </w:tbl>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产品管理人</w:t>
      </w:r>
    </w:p>
    <w:p>
      <w:pPr>
        <w:numPr>
          <w:ilvl w:val="-1"/>
          <w:numId w:val="0"/>
        </w:numPr>
        <w:ind w:left="0"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本产品管理人为</w:t>
      </w:r>
      <w:r>
        <w:rPr>
          <w:rFonts w:hint="eastAsia" w:ascii="楷体" w:hAnsi="楷体" w:eastAsia="楷体" w:cs="楷体"/>
          <w:b/>
          <w:bCs/>
          <w:color w:val="auto"/>
          <w:sz w:val="21"/>
          <w:szCs w:val="21"/>
          <w:highlight w:val="none"/>
          <w:u w:val="single"/>
        </w:rPr>
        <w:t>苏银理财有限责任公司</w:t>
      </w:r>
      <w:r>
        <w:rPr>
          <w:rFonts w:hint="eastAsia" w:ascii="楷体" w:hAnsi="楷体" w:eastAsia="楷体" w:cs="楷体"/>
          <w:b w:val="0"/>
          <w:bCs w:val="0"/>
          <w:color w:val="auto"/>
          <w:sz w:val="21"/>
          <w:szCs w:val="21"/>
          <w:highlight w:val="none"/>
          <w:u w:val="none"/>
        </w:rPr>
        <w:t>（以下简称“苏银理财”）</w:t>
      </w:r>
      <w:r>
        <w:rPr>
          <w:rFonts w:hint="eastAsia" w:ascii="楷体" w:hAnsi="楷体" w:eastAsia="楷体"/>
          <w:color w:val="auto"/>
          <w:sz w:val="21"/>
          <w:szCs w:val="21"/>
          <w:highlight w:val="none"/>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color w:val="auto"/>
          <w:sz w:val="21"/>
          <w:szCs w:val="21"/>
          <w:highlight w:val="none"/>
          <w:lang w:val="en-US" w:eastAsia="zh-CN"/>
        </w:rPr>
        <w:t>监管机构</w:t>
      </w:r>
      <w:r>
        <w:rPr>
          <w:rFonts w:hint="eastAsia" w:ascii="楷体" w:hAnsi="楷体" w:eastAsia="楷体"/>
          <w:color w:val="auto"/>
          <w:sz w:val="21"/>
          <w:szCs w:val="21"/>
          <w:highlight w:val="none"/>
        </w:rPr>
        <w:t>批准的其他业务等。</w:t>
      </w:r>
    </w:p>
    <w:p>
      <w:pPr>
        <w:numPr>
          <w:ilvl w:val="-1"/>
          <w:numId w:val="0"/>
        </w:numPr>
        <w:ind w:left="0" w:firstLine="420" w:firstLineChars="200"/>
        <w:rPr>
          <w:rFonts w:hint="eastAsia" w:ascii="楷体" w:hAnsi="楷体" w:eastAsia="楷体" w:cs="Times New Roman"/>
          <w:color w:val="auto"/>
          <w:sz w:val="21"/>
          <w:szCs w:val="21"/>
          <w:highlight w:val="none"/>
        </w:rPr>
      </w:pPr>
      <w:r>
        <w:rPr>
          <w:rFonts w:hint="eastAsia" w:ascii="楷体" w:hAnsi="楷体" w:eastAsia="楷体"/>
          <w:color w:val="auto"/>
          <w:sz w:val="21"/>
          <w:szCs w:val="21"/>
          <w:highlight w:val="none"/>
        </w:rPr>
        <w:t>投资者在此授权并同意苏银理财享有以下权利：</w:t>
      </w:r>
      <w:r>
        <w:rPr>
          <w:rFonts w:hint="eastAsia" w:ascii="楷体" w:hAnsi="楷体" w:eastAsia="楷体" w:cs="Times New Roman"/>
          <w:color w:val="auto"/>
          <w:sz w:val="21"/>
          <w:szCs w:val="21"/>
          <w:highlight w:val="none"/>
        </w:rPr>
        <w:t>按照本理财产品合同的约定，管理、运用和处分理财计划资金</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按照本理财产品合同的约定，及时、足额获得投资管理费</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管理人有权根据本理财产品合同的约定提前终止或延长本理财产品的期限</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管理人有权调整本理财产品的认购规模上限、认购起点、认购金额上限、认购资金的最</w:t>
      </w:r>
      <w:r>
        <w:rPr>
          <w:rFonts w:hint="eastAsia" w:ascii="楷体" w:hAnsi="楷体" w:eastAsia="楷体" w:cs="Times New Roman"/>
          <w:color w:val="auto"/>
          <w:sz w:val="21"/>
          <w:szCs w:val="21"/>
          <w:highlight w:val="none"/>
          <w:lang w:val="en-US" w:eastAsia="zh-CN"/>
        </w:rPr>
        <w:t>低</w:t>
      </w:r>
      <w:r>
        <w:rPr>
          <w:rFonts w:hint="eastAsia" w:ascii="楷体" w:hAnsi="楷体" w:eastAsia="楷体" w:cs="Times New Roman"/>
          <w:color w:val="auto"/>
          <w:sz w:val="21"/>
          <w:szCs w:val="21"/>
          <w:highlight w:val="none"/>
        </w:rPr>
        <w:t>金额等要素</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管理人有权依照法律规定和监管机构的要求将投资者的信息向有权部门或相关机构披露</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以理财产品投资管理人的名义，依照法律法规相关规定以及代表理财产品份额持有人的利益行使代为追索的权利（包括但不限于提起诉讼/仲裁、申请保全/执行的权利）或者实施其他法律行为</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法律法规、监管政策和本理财计划文件约定的其他权利。</w:t>
      </w:r>
    </w:p>
    <w:p>
      <w:pPr>
        <w:numPr>
          <w:ilvl w:val="0"/>
          <w:numId w:val="6"/>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b/>
          <w:color w:val="auto"/>
          <w:szCs w:val="21"/>
          <w:highlight w:val="none"/>
        </w:rPr>
        <w:t>产品托管人</w:t>
      </w:r>
    </w:p>
    <w:p>
      <w:pPr>
        <w:numPr>
          <w:ilvl w:val="0"/>
          <w:numId w:val="0"/>
        </w:numPr>
        <w:ind w:firstLine="420" w:firstLineChars="200"/>
        <w:rPr>
          <w:rFonts w:hint="default" w:ascii="楷体" w:hAnsi="楷体" w:eastAsia="楷体"/>
          <w:color w:val="auto"/>
          <w:sz w:val="21"/>
          <w:szCs w:val="21"/>
          <w:lang w:val="en-US" w:eastAsia="zh-CN"/>
        </w:rPr>
      </w:pPr>
      <w:r>
        <w:rPr>
          <w:rFonts w:hint="eastAsia" w:ascii="楷体" w:hAnsi="楷体" w:eastAsia="楷体"/>
          <w:color w:val="auto"/>
          <w:sz w:val="21"/>
          <w:szCs w:val="21"/>
          <w:highlight w:val="none"/>
        </w:rPr>
        <w:t>本产品托管人为</w:t>
      </w:r>
      <w:r>
        <w:rPr>
          <w:rFonts w:hint="eastAsia" w:ascii="楷体" w:hAnsi="楷体" w:eastAsia="楷体" w:cs="楷体"/>
          <w:b/>
          <w:bCs/>
          <w:color w:val="auto"/>
          <w:sz w:val="21"/>
          <w:szCs w:val="21"/>
          <w:u w:val="single"/>
        </w:rPr>
        <w:t>江苏银行股份有限公司</w:t>
      </w:r>
      <w:r>
        <w:rPr>
          <w:rFonts w:hint="eastAsia" w:ascii="楷体" w:hAnsi="楷体" w:eastAsia="楷体"/>
          <w:color w:val="auto"/>
          <w:sz w:val="21"/>
          <w:szCs w:val="21"/>
          <w:highlight w:val="none"/>
        </w:rPr>
        <w:t>。</w:t>
      </w:r>
      <w:r>
        <w:rPr>
          <w:rFonts w:hint="eastAsia" w:ascii="楷体" w:hAnsi="楷体" w:eastAsia="楷体" w:cs="Times New Roman"/>
          <w:color w:val="auto"/>
          <w:sz w:val="21"/>
          <w:szCs w:val="21"/>
          <w:highlight w:val="none"/>
        </w:rPr>
        <w:t>托管人职责</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 w:val="21"/>
          <w:szCs w:val="21"/>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numPr>
          <w:ilvl w:val="0"/>
          <w:numId w:val="6"/>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cs="Times New Roman"/>
          <w:b/>
          <w:color w:val="auto"/>
          <w:sz w:val="21"/>
          <w:szCs w:val="21"/>
          <w:highlight w:val="none"/>
        </w:rPr>
        <w:t>销售机构</w:t>
      </w:r>
    </w:p>
    <w:p>
      <w:pPr>
        <w:numPr>
          <w:ilvl w:val="-1"/>
          <w:numId w:val="0"/>
        </w:numPr>
        <w:tabs>
          <w:tab w:val="left" w:pos="1134"/>
        </w:tabs>
        <w:ind w:left="0" w:leftChars="0"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val="0"/>
          <w:bCs w:val="0"/>
          <w:sz w:val="21"/>
          <w:szCs w:val="21"/>
          <w:highlight w:val="none"/>
          <w:u w:val="none"/>
        </w:rPr>
        <w:t>销售机构负责理财产品宣传推广、投资者风险承受能力评估和投资者适当性管理、理财产品</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身份识别及反洗钱、反恐怖融资及非居民金融账户涉税信息调查、理财产品份额认购/申购/赎回、协助管理人与投资者订立理财产品</w:t>
      </w:r>
      <w:r>
        <w:rPr>
          <w:rFonts w:hint="eastAsia" w:ascii="楷体" w:hAnsi="楷体" w:eastAsia="楷体"/>
          <w:color w:val="auto"/>
          <w:sz w:val="21"/>
          <w:szCs w:val="21"/>
          <w:lang w:val="en-US" w:eastAsia="zh-CN"/>
        </w:rPr>
        <w:t>销售文件</w:t>
      </w:r>
      <w:r>
        <w:rPr>
          <w:rFonts w:hint="eastAsia" w:ascii="楷体" w:hAnsi="楷体" w:eastAsia="楷体"/>
          <w:b w:val="0"/>
          <w:bCs w:val="0"/>
          <w:sz w:val="21"/>
          <w:szCs w:val="21"/>
          <w:highlight w:val="none"/>
          <w:u w:val="none"/>
        </w:rPr>
        <w:t>、协助投资者与管理人沟通、接受投资者咨询和</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维护等销售服务工作。销售机构不承担产品投资、兑付和风险管理责任，产品的投资、兑付和风险管理责任由管理人承担。</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本产品各类份额销售机构如下：</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A份额：江苏高淳农村商业银行股份有限公司/江苏姜堰农村商业银行股份有限公司/江苏常熟农村商业银行股份有限公司/苏银理财有限责任公司/江苏银行股份有限公司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C份额：江苏银行股份有限公司/苏银理财有限责任公司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D份额：宁波东海银行股份有限公司/广州农村商业银行股份有限公司/武汉农村商业银行股份有限公司/宁波通商银行股份有限公司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E份额：江苏银行股份有限公司/江苏常熟农村商业银行股份有限公司/苏银理财有限责任公司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F份额：莱商银行股份有限公司/威海银行股份有限公司/潍坊银行股份有限公司/齐鲁银行股份有限公司/嘉兴银行股份有限公司/北京农村商业银行股份有限公司/青岛银行股份有限公司/秦皇岛银行股份有限公司/上海浦东发展银行股份有限公司/宁夏银行股份有限公司/广州银行股份有限公司/徽商银行股份有限公司/青岛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G份额：江苏苏州农村商业银行股份有限公司/山西银行股份有限公司/交通银行股份有限公司/东营银行股份有限公司/江苏常熟农村商业银行股份有限公司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H份额：上海农村商业银行股份有限公司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I份额：浙江平湖农村商业银行股份有限公司/浙江乐清农村商业银行股份有限公司/杭州联合农村商业银行股份有限公司/浙江萧山农村商业银行股份有限公司/浙江永嘉农村商业银行股份有限公司/浙江嘉善农村商业银行股份有限公司/湖州吴兴农村商业银行股份有限公司/浙江淳安农村商业银行股份有限公司/浙江舟山定海海洋农村商业银行股份有限公司/浙江岱山农村商业银行股份有限公司/浙江绍兴瑞丰农村商业银行股份有限公司/浙江温州龙湾农村商业银行股份有限公司/浙江德清农村商业银行股份有限公司/浙江桐乡农村商业银行股份有限公司/浙江上虞农村商业银行股份有限公司/浙江温州瓯海农村商业银行股份有限公司/浙江兰溪农村商业银行股份有限公司/浙江青田农村商业银行股份有限公司/浙江文成农村商业银行股份有限公司/浙江杭州余杭农村商业银行股份有限公司/浙江舟山普陀农村商业银行股份有限公司/浙江桐庐农村商业银行股份有限公司/浙江禾城农村商业银行股份有限公司/浙江温岭农村商业银行股份有限公司/浙江海盐农村商业银行股份有限公司/浙江南浔农村商业银行股份有限公司/浙江永康农村商业银行股份有限公司</w:t>
      </w:r>
      <w:bookmarkStart w:id="1" w:name="_GoBack"/>
      <w:bookmarkEnd w:id="1"/>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份额：浙江桐庐农村商业银行股份有限公司/浙江新昌农村商业银行股份有限公司/浙江武义农村商业银行股份有限公司/浙江平湖农村商业银行股份有限公司/浙江龙游农村商业银行股份有限公司/浙江兰溪农村商业银行股份有限公司/浙江南浔农村商业银行股份有限公司/浙江海宁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K份额：日照银行股份有限公司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L份额：浙江杭州余杭农村商业银行股份有限公司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M份额：重庆农村商业银行股份有限公司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N份额：青岛银行股份有限公司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Z份额：莱商银行股份有限公司/郑州银行股份有限公司/齐鲁银行股份有限公司/青岛银行股份有限公司/兰州银行股份有限公司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S份额：江苏宝应农村商业银行股份有限公司/江苏东海农村商业银行股份有限公司/江苏赣榆农村商业银行股份有限公司/江苏射阳农村商业银行股份有限公司/江苏阜宁农村商业银行股份有限公司/江苏东台农村商业银行股份有限公司/江苏盐城农村商业银行股份有限公司/江苏高淳农村商业银行股份有限公司/江苏紫金农村商业银行股份有限公司/江苏溧水农村商业银行股份有限公司/江苏大丰农村商业银行股份有限公司/江苏扬州农村商业银行股份有限公司/江苏张家港农村商业银行股份有限公司/江苏如东农村商业银行股份有限公司/江苏江南农村商业银行股份有限公司/江苏泗阳农村商业银行股份有限公司/江苏沛县农村商业银行股份有限公司/江苏灌云农村商业银行股份有限公司/江苏灌南农村商业银行股份有限公司/江苏泰兴农村商业银行股份有限公司/江苏仪征农村商业银行股份有限公司/江苏靖江农村商业银行股份有限公司/江苏海门农村商业银行股份有限公司/连云港东方农村商业银行股份有限公司/江苏江都农村商业银行股份有限公司/江苏常熟农村商业银行股份有限公司/江苏新沂农村商业银行股份有限公司/江苏如皋农村商业银行股份有限公司/江苏启东农村商业银行股份有限公司/徐州农村商业银行股份有限公司/江苏高邮农村商业银行股份有限公司/江苏沭阳农村商业银行股份有限公司/江苏民丰农村商业银行股份有限公司/江苏镇江农村商业银行股份有限公司/江苏海安农村商业银行股份有限公司/江苏苏州农村商业银行股份有限公司/江苏建湖农村商业银行股份有限公司/江苏淮安农村商业银行股份有限公司/江苏姜堰农村商业银行股份有限公司/江苏句容农村商业银行股份有限公司/江苏睢宁农村商业银行股份有限公司/江苏扬中农村商业银行股份有限公司/江苏丰县农村商业银行股份有限公司/江苏邳州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北部湾银行专属份额：广西北部湾银行股份有限公司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芙蓉锦程·优选份额：成都银行股份有限公司</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名词释义</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在本</w:t>
      </w:r>
      <w:r>
        <w:rPr>
          <w:rFonts w:hint="eastAsia" w:ascii="楷体" w:hAnsi="楷体" w:eastAsia="楷体"/>
          <w:color w:val="auto"/>
          <w:sz w:val="21"/>
          <w:szCs w:val="21"/>
          <w:highlight w:val="none"/>
          <w:lang w:val="en-US" w:eastAsia="zh-CN"/>
        </w:rPr>
        <w:t>理财</w:t>
      </w:r>
      <w:r>
        <w:rPr>
          <w:rFonts w:hint="eastAsia" w:ascii="楷体" w:hAnsi="楷体" w:eastAsia="楷体"/>
          <w:color w:val="auto"/>
          <w:sz w:val="21"/>
          <w:szCs w:val="21"/>
          <w:highlight w:val="none"/>
        </w:rPr>
        <w:t>产品说明书中，除非上下文另有明确约定，下列用词将具有如下含义：</w:t>
      </w:r>
    </w:p>
    <w:p>
      <w:pPr>
        <w:keepNext w:val="0"/>
        <w:keepLines w:val="0"/>
        <w:pageBreakBefore w:val="0"/>
        <w:widowControl w:val="0"/>
        <w:numPr>
          <w:ilvl w:val="0"/>
          <w:numId w:val="7"/>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理财产品用语</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销售代码：指本理财产品可能</w:t>
      </w:r>
      <w:r>
        <w:rPr>
          <w:rFonts w:hint="eastAsia" w:ascii="楷体" w:hAnsi="楷体" w:eastAsia="楷体" w:cs="Calibri"/>
          <w:color w:val="auto"/>
          <w:sz w:val="21"/>
          <w:szCs w:val="21"/>
          <w:highlight w:val="none"/>
          <w:lang w:val="en-US" w:eastAsia="zh-CN"/>
        </w:rPr>
        <w:t>设置一类或多类</w:t>
      </w:r>
      <w:r>
        <w:rPr>
          <w:rFonts w:hint="eastAsia" w:ascii="楷体" w:hAnsi="楷体" w:eastAsia="楷体" w:cs="Calibri"/>
          <w:color w:val="auto"/>
          <w:sz w:val="21"/>
          <w:szCs w:val="21"/>
          <w:highlight w:val="none"/>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理财产品份额：指投资者持有本理财产品的单位数额。</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rPr>
        <w:t>产品份额累计净值：指理财产品份额的单位净值与理财产品成立后历次累计单位收益分配的总和。</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lang w:val="en-US" w:eastAsia="zh-CN"/>
        </w:rPr>
        <w:t>流动性受限资产：</w:t>
      </w:r>
      <w:r>
        <w:rPr>
          <w:rFonts w:hint="eastAsia" w:ascii="楷体" w:hAnsi="楷体" w:eastAsia="楷体" w:cs="Calibri"/>
          <w:kern w:val="2"/>
          <w:sz w:val="21"/>
          <w:szCs w:val="21"/>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kern w:val="2"/>
          <w:sz w:val="21"/>
          <w:szCs w:val="21"/>
          <w:highlight w:val="none"/>
        </w:rPr>
        <w:t>7个工作日可变现资产</w:t>
      </w:r>
      <w:r>
        <w:rPr>
          <w:rFonts w:hint="eastAsia" w:ascii="楷体" w:hAnsi="楷体" w:eastAsia="楷体" w:cs="Calibri"/>
          <w:kern w:val="2"/>
          <w:sz w:val="21"/>
          <w:szCs w:val="21"/>
          <w:highlight w:val="none"/>
          <w:lang w:eastAsia="zh-CN"/>
        </w:rPr>
        <w:t>：</w:t>
      </w:r>
      <w:r>
        <w:rPr>
          <w:rFonts w:hint="eastAsia" w:ascii="楷体" w:hAnsi="楷体" w:eastAsia="楷体" w:cs="Calibri"/>
          <w:kern w:val="2"/>
          <w:sz w:val="21"/>
          <w:szCs w:val="21"/>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7"/>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期间与日期</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工作日：</w:t>
      </w:r>
      <w:r>
        <w:rPr>
          <w:rFonts w:hint="eastAsia" w:ascii="楷体" w:hAnsi="楷体" w:eastAsia="楷体" w:cs="Calibri"/>
          <w:color w:val="auto"/>
          <w:sz w:val="21"/>
          <w:szCs w:val="21"/>
          <w:highlight w:val="none"/>
        </w:rPr>
        <w:t>指国家法定工作日。</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交易日：</w:t>
      </w:r>
      <w:r>
        <w:rPr>
          <w:rFonts w:ascii="楷体" w:hAnsi="楷体" w:eastAsia="楷体" w:cs="Calibri"/>
          <w:color w:val="auto"/>
          <w:sz w:val="21"/>
          <w:szCs w:val="21"/>
        </w:rPr>
        <w:t>指上海证券交易所和深圳证券交易所的正常开盘交易日</w:t>
      </w:r>
      <w:r>
        <w:rPr>
          <w:rFonts w:hint="eastAsia" w:ascii="楷体" w:hAnsi="楷体" w:eastAsia="楷体" w:cs="Calibri"/>
          <w:color w:val="auto"/>
          <w:sz w:val="21"/>
          <w:szCs w:val="21"/>
        </w:rPr>
        <w:t>。</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份额登记日/份额确认日：指管理人对投资者提交的</w:t>
      </w:r>
      <w:r>
        <w:rPr>
          <w:rFonts w:hint="eastAsia" w:ascii="楷体" w:hAnsi="楷体" w:eastAsia="楷体" w:cs="Calibri"/>
          <w:color w:val="auto"/>
          <w:sz w:val="21"/>
          <w:szCs w:val="21"/>
          <w:lang w:val="en-US" w:eastAsia="zh-CN"/>
        </w:rPr>
        <w:t>购买</w:t>
      </w:r>
      <w:r>
        <w:rPr>
          <w:rFonts w:hint="eastAsia" w:ascii="楷体" w:hAnsi="楷体" w:eastAsia="楷体" w:cs="Calibri"/>
          <w:color w:val="auto"/>
          <w:sz w:val="21"/>
          <w:szCs w:val="21"/>
        </w:rPr>
        <w:t>申请进行份额登记的日期。</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产品存续期：指自理财产品成立日起，至理财产品终止日的期间。</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投资管理</w:t>
      </w:r>
    </w:p>
    <w:p>
      <w:pPr>
        <w:numPr>
          <w:ilvl w:val="0"/>
          <w:numId w:val="10"/>
        </w:numPr>
        <w:tabs>
          <w:tab w:val="left" w:pos="993"/>
        </w:tabs>
        <w:ind w:left="0" w:firstLine="420" w:firstLineChars="200"/>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投资范围和比例</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本理财产品直接或间接投资于货币市场工具、债券、非标准化债权类资产和监管机构允许投资的其他资产（如纳入权益类资产核算的永续债等，不含金融衍生品）。具体资产投资比例为：货币市场工具、债券、非标准化债权类资产等固定收益类资产占产品资产总值比例80%-100%，其中非标准化债权类资产合计投资比例不高于产品净资产50%，非标准化债权类资产底层资产仅为消费类贷款债权资产；符合监管要求的其他资产占产品资产总值比例0%-20%。</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10"/>
        </w:numPr>
        <w:tabs>
          <w:tab w:val="left" w:pos="993"/>
        </w:tabs>
        <w:ind w:left="0" w:firstLine="420" w:firstLineChars="20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拟投资</w:t>
      </w:r>
      <w:r>
        <w:rPr>
          <w:rFonts w:hint="eastAsia" w:ascii="楷体" w:hAnsi="楷体" w:eastAsia="楷体" w:cs="Calibri"/>
          <w:b w:val="0"/>
          <w:bCs w:val="0"/>
          <w:color w:val="auto"/>
          <w:sz w:val="21"/>
          <w:szCs w:val="21"/>
          <w:highlight w:val="none"/>
          <w:u w:val="none"/>
        </w:rPr>
        <w:t>非标准化债权类资产</w:t>
      </w:r>
    </w:p>
    <w:p>
      <w:pPr>
        <w:ind w:firstLine="420" w:firstLineChars="200"/>
        <w:rPr>
          <w:rFonts w:hint="eastAsia" w:ascii="楷体" w:hAnsi="楷体" w:eastAsia="楷体"/>
          <w:b w:val="0"/>
          <w:bCs/>
          <w:color w:val="auto"/>
          <w:sz w:val="21"/>
          <w:szCs w:val="21"/>
          <w:highlight w:val="none"/>
          <w:u w:val="none"/>
        </w:rPr>
      </w:pPr>
      <w:r>
        <w:rPr>
          <w:rFonts w:hint="eastAsia" w:ascii="楷体" w:hAnsi="楷体" w:eastAsia="楷体"/>
          <w:b w:val="0"/>
          <w:bCs/>
          <w:color w:val="auto"/>
          <w:sz w:val="21"/>
          <w:szCs w:val="21"/>
          <w:highlight w:val="none"/>
          <w:u w:val="none"/>
        </w:rPr>
        <w:t>本产品计划配置以下</w:t>
      </w:r>
      <w:r>
        <w:rPr>
          <w:rFonts w:ascii="楷体" w:hAnsi="楷体" w:eastAsia="楷体"/>
          <w:b w:val="0"/>
          <w:bCs/>
          <w:color w:val="auto"/>
          <w:sz w:val="21"/>
          <w:szCs w:val="21"/>
          <w:highlight w:val="none"/>
          <w:u w:val="none"/>
        </w:rPr>
        <w:t>备选</w:t>
      </w:r>
      <w:r>
        <w:rPr>
          <w:rFonts w:hint="eastAsia" w:ascii="楷体" w:hAnsi="楷体" w:eastAsia="楷体"/>
          <w:b w:val="0"/>
          <w:bCs/>
          <w:color w:val="auto"/>
          <w:sz w:val="21"/>
          <w:szCs w:val="21"/>
          <w:highlight w:val="none"/>
          <w:u w:val="none"/>
        </w:rPr>
        <w:t>非标准化债权类资产：</w:t>
      </w:r>
    </w:p>
    <w:p>
      <w:pPr>
        <w:numPr>
          <w:ilvl w:val="0"/>
          <w:numId w:val="0"/>
        </w:numPr>
        <w:ind w:left="0" w:leftChars="0" w:firstLine="420" w:firstLineChars="200"/>
        <w:rPr>
          <w:rFonts w:hint="default" w:ascii="楷体" w:hAnsi="楷体" w:eastAsia="楷体" w:cs="Times New Roman"/>
          <w:bCs/>
          <w:color w:val="auto"/>
          <w:sz w:val="21"/>
          <w:szCs w:val="21"/>
          <w:highlight w:val="none"/>
          <w:u w:val="none"/>
          <w:lang w:val="en-US" w:eastAsia="zh-CN"/>
        </w:rPr>
      </w:pPr>
      <w:r>
        <w:rPr>
          <w:rFonts w:hint="default" w:ascii="楷体" w:hAnsi="楷体" w:eastAsia="楷体" w:cs="Times New Roman"/>
          <w:bCs/>
          <w:color w:val="auto"/>
          <w:sz w:val="21"/>
          <w:szCs w:val="21"/>
          <w:highlight w:val="none"/>
          <w:u w:val="none"/>
          <w:lang w:val="en-US" w:eastAsia="zh-CN"/>
        </w:rPr>
        <w:t>（1）信托贷款：资产类型为信托公司设立的信托计划，底层资产为个人贷款债权，该类资产由蚂蚁、微信、抖音、京东、度小满、网商银行等公司与信托公司双重审核、信托公司自主风控后发放，资产运行正常。（2）资产支持计划：资产类型为保险资产管理公司设立的资产支持计划，底层资产为个人贷款债权，该类资产由蚂蚁、微信、抖音、京东、度小满等公司与信托公司双重审核、信托公司自主风控后发放，资产运行正常。</w:t>
      </w:r>
    </w:p>
    <w:p>
      <w:pPr>
        <w:numPr>
          <w:ilvl w:val="0"/>
          <w:numId w:val="0"/>
        </w:numPr>
        <w:ind w:left="0" w:leftChars="0" w:firstLine="420" w:firstLineChars="200"/>
        <w:rPr>
          <w:rFonts w:hint="default" w:ascii="楷体" w:hAnsi="楷体" w:eastAsia="楷体" w:cs="楷体"/>
          <w:b/>
          <w:bCs/>
          <w:kern w:val="2"/>
          <w:sz w:val="21"/>
          <w:szCs w:val="21"/>
          <w:u w:val="single"/>
          <w:lang w:val="en-US" w:eastAsia="zh-CN" w:bidi="ar-SA"/>
        </w:rPr>
      </w:pPr>
      <w:r>
        <w:rPr>
          <w:rFonts w:hint="eastAsia" w:ascii="楷体" w:hAnsi="楷体" w:eastAsia="楷体" w:cs="Times New Roman"/>
          <w:bCs/>
          <w:color w:val="auto"/>
          <w:sz w:val="21"/>
          <w:szCs w:val="21"/>
          <w:highlight w:val="none"/>
          <w:u w:val="none"/>
          <w:lang w:eastAsia="zh-CN"/>
        </w:rPr>
        <w:t>（1）-（2）各资产到期日不超过理财产品</w:t>
      </w:r>
      <w:r>
        <w:rPr>
          <w:rFonts w:hint="eastAsia" w:ascii="楷体" w:hAnsi="楷体" w:eastAsia="楷体" w:cs="Times New Roman"/>
          <w:bCs/>
          <w:color w:val="auto"/>
          <w:sz w:val="21"/>
          <w:szCs w:val="21"/>
          <w:highlight w:val="none"/>
          <w:u w:val="none"/>
          <w:lang w:val="en-US" w:eastAsia="zh-CN"/>
        </w:rPr>
        <w:t>到期日</w:t>
      </w:r>
      <w:r>
        <w:rPr>
          <w:rFonts w:hint="eastAsia" w:ascii="楷体" w:hAnsi="楷体" w:eastAsia="楷体" w:cs="Times New Roman"/>
          <w:bCs/>
          <w:color w:val="auto"/>
          <w:sz w:val="21"/>
          <w:szCs w:val="21"/>
          <w:highlight w:val="none"/>
          <w:u w:val="none"/>
          <w:lang w:eastAsia="zh-CN"/>
        </w:rPr>
        <w:t>，循环期不还本、摊还期过手摊还本息</w:t>
      </w:r>
      <w:r>
        <w:rPr>
          <w:rFonts w:hint="eastAsia" w:ascii="楷体" w:hAnsi="楷体" w:eastAsia="楷体" w:cs="Times New Roman"/>
          <w:bCs/>
          <w:color w:val="auto"/>
          <w:sz w:val="21"/>
          <w:szCs w:val="21"/>
          <w:highlight w:val="none"/>
          <w:u w:val="none"/>
          <w:lang w:val="en-US" w:eastAsia="zh-CN"/>
        </w:rPr>
        <w:t xml:space="preserve">。  </w:t>
      </w:r>
      <w:r>
        <w:rPr>
          <w:rFonts w:hint="eastAsia" w:ascii="楷体" w:hAnsi="楷体" w:eastAsia="楷体" w:cs="楷体"/>
          <w:b w:val="0"/>
          <w:bCs w:val="0"/>
          <w:kern w:val="2"/>
          <w:sz w:val="21"/>
          <w:szCs w:val="21"/>
          <w:u w:val="none"/>
          <w:lang w:val="en-US" w:eastAsia="zh-CN" w:bidi="ar-SA"/>
        </w:rPr>
        <w:t xml:space="preserve"> </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产品存续期内若本理财产品投资的个人贷款债权资产有所调整，管理人将选择优质企业作为融资人，且融资项目已履行管理人内部审批流程，融资人业务经营正常，融资项目还款来源明确，并在本理财产品的定期报告中披露。</w:t>
      </w:r>
    </w:p>
    <w:p>
      <w:pPr>
        <w:numPr>
          <w:ilvl w:val="0"/>
          <w:numId w:val="10"/>
        </w:numPr>
        <w:tabs>
          <w:tab w:val="left" w:pos="993"/>
        </w:tabs>
        <w:ind w:firstLine="0" w:firstLineChars="0"/>
        <w:rPr>
          <w:rFonts w:hint="eastAsia" w:ascii="楷体" w:hAnsi="楷体" w:eastAsia="楷体" w:cs="Calibri"/>
          <w:color w:val="auto"/>
          <w:sz w:val="21"/>
          <w:szCs w:val="21"/>
          <w:lang w:val="en-US" w:eastAsia="zh-CN"/>
        </w:rPr>
      </w:pPr>
      <w:r>
        <w:rPr>
          <w:rFonts w:hint="eastAsia" w:ascii="楷体" w:hAnsi="楷体" w:eastAsia="楷体" w:cs="Calibri"/>
          <w:color w:val="auto"/>
          <w:sz w:val="21"/>
          <w:szCs w:val="21"/>
          <w:highlight w:val="none"/>
          <w:lang w:val="en-US" w:eastAsia="zh-CN"/>
        </w:rPr>
        <w:t>投资合作机构</w:t>
      </w:r>
    </w:p>
    <w:p>
      <w:pPr>
        <w:numPr>
          <w:ilvl w:val="-1"/>
          <w:numId w:val="0"/>
        </w:num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投资合作机构主要职责是对理财产品受托资金进行投资管理，</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已按投资决策流程对投资合作机构进行了准入，并持续开展投资合作机构的存续期管理。本产品投资合作机构包括：</w:t>
      </w:r>
    </w:p>
    <w:p>
      <w:pPr>
        <w:ind w:firstLine="420" w:firstLineChars="200"/>
        <w:rPr>
          <w:rFonts w:hint="eastAsia" w:ascii="楷体" w:hAnsi="楷体" w:eastAsia="楷体"/>
          <w:sz w:val="21"/>
          <w:szCs w:val="21"/>
        </w:rPr>
      </w:pPr>
      <w:r>
        <w:rPr>
          <w:rFonts w:hint="default" w:ascii="Calibri" w:hAnsi="Calibri" w:eastAsia="楷体" w:cs="Calibri"/>
          <w:sz w:val="21"/>
          <w:szCs w:val="21"/>
        </w:rPr>
        <w:t>①</w:t>
      </w:r>
      <w:r>
        <w:rPr>
          <w:rFonts w:hint="eastAsia" w:ascii="Calibri" w:hAnsi="Calibri" w:eastAsia="楷体" w:cs="Calibri"/>
          <w:sz w:val="21"/>
          <w:szCs w:val="21"/>
          <w:lang w:val="en-US" w:eastAsia="zh-CN"/>
        </w:rPr>
        <w:t>苏豪</w:t>
      </w:r>
      <w:r>
        <w:rPr>
          <w:rFonts w:hint="eastAsia" w:ascii="楷体" w:hAnsi="楷体" w:eastAsia="楷体"/>
          <w:sz w:val="21"/>
          <w:szCs w:val="21"/>
        </w:rPr>
        <w:t>弘业期货股份有限公司</w:t>
      </w:r>
      <w:r>
        <w:rPr>
          <w:rFonts w:hint="eastAsia" w:ascii="楷体" w:hAnsi="楷体" w:eastAsia="楷体"/>
          <w:sz w:val="21"/>
          <w:szCs w:val="21"/>
          <w:lang w:eastAsia="zh-CN"/>
        </w:rPr>
        <w:t>：</w:t>
      </w:r>
      <w:r>
        <w:rPr>
          <w:rFonts w:hint="eastAsia" w:ascii="楷体" w:hAnsi="楷体" w:eastAsia="楷体"/>
          <w:sz w:val="21"/>
          <w:szCs w:val="21"/>
        </w:rPr>
        <w:t>苏豪弘业期货股份有限公司成立于1995年，注册资本1,007,777,778元人民币，隶属于江苏省国资委全资拥有的国有企业江苏省苏豪控股集团有限公司。公司经营范围涵盖商品期货经纪、金融期货经纪、期货投资咨询、资产管理、基金销售业务。</w:t>
      </w:r>
      <w:r>
        <w:rPr>
          <w:rFonts w:hint="default" w:ascii="Calibri" w:hAnsi="Calibri" w:eastAsia="楷体" w:cs="Calibri"/>
          <w:sz w:val="21"/>
          <w:szCs w:val="21"/>
          <w:lang w:eastAsia="zh-CN"/>
        </w:rPr>
        <w:t>②</w:t>
      </w:r>
      <w:r>
        <w:rPr>
          <w:rFonts w:hint="eastAsia" w:ascii="楷体" w:hAnsi="楷体" w:eastAsia="楷体"/>
          <w:sz w:val="21"/>
          <w:szCs w:val="21"/>
        </w:rPr>
        <w:t>江苏省国际信托有限责任公司</w:t>
      </w:r>
      <w:r>
        <w:rPr>
          <w:rFonts w:hint="eastAsia" w:ascii="楷体" w:hAnsi="楷体" w:eastAsia="楷体"/>
          <w:sz w:val="21"/>
          <w:szCs w:val="21"/>
          <w:lang w:eastAsia="zh-CN"/>
        </w:rPr>
        <w:t>：</w:t>
      </w:r>
      <w:r>
        <w:rPr>
          <w:rFonts w:hint="eastAsia" w:ascii="楷体" w:hAnsi="楷体" w:eastAsia="楷体"/>
          <w:sz w:val="21"/>
          <w:szCs w:val="21"/>
        </w:rPr>
        <w:t>江苏省国际信托有限责任公司是经江苏省人民政府和中国银行业监督管理委员会批准设立的非银行金融机构，是江苏省国信集团的主要成员企业之一，专业从事金融信托业务。</w:t>
      </w:r>
      <w:r>
        <w:rPr>
          <w:rFonts w:hint="default" w:ascii="Calibri" w:hAnsi="Calibri" w:eastAsia="楷体" w:cs="Calibri"/>
          <w:sz w:val="21"/>
          <w:szCs w:val="21"/>
        </w:rPr>
        <w:t>③</w:t>
      </w:r>
      <w:r>
        <w:rPr>
          <w:rFonts w:hint="eastAsia" w:ascii="楷体" w:hAnsi="楷体" w:eastAsia="楷体"/>
          <w:sz w:val="21"/>
          <w:szCs w:val="21"/>
        </w:rPr>
        <w:t>创金合信基金管理有限公司</w:t>
      </w:r>
      <w:r>
        <w:rPr>
          <w:rFonts w:hint="eastAsia" w:ascii="楷体" w:hAnsi="楷体" w:eastAsia="楷体"/>
          <w:sz w:val="21"/>
          <w:szCs w:val="21"/>
          <w:lang w:eastAsia="zh-CN"/>
        </w:rPr>
        <w:t>：</w:t>
      </w:r>
      <w:r>
        <w:rPr>
          <w:rFonts w:hint="eastAsia" w:ascii="楷体" w:hAnsi="楷体" w:eastAsia="楷体"/>
          <w:sz w:val="21"/>
          <w:szCs w:val="21"/>
        </w:rPr>
        <w:t>创金合信基金管理有限公司成立于2014年7月9日，由第一创业证券股份有限公司、深圳市金合信投资合伙企业（有限合伙）共同发起设立，注册地为深圳。</w:t>
      </w:r>
      <w:r>
        <w:rPr>
          <w:rFonts w:hint="eastAsia" w:ascii="楷体" w:hAnsi="楷体" w:eastAsia="楷体" w:cs="楷体"/>
          <w:sz w:val="21"/>
          <w:szCs w:val="21"/>
        </w:rPr>
        <w:t>④</w:t>
      </w:r>
      <w:r>
        <w:rPr>
          <w:rFonts w:hint="eastAsia" w:ascii="楷体" w:hAnsi="楷体" w:eastAsia="楷体"/>
          <w:sz w:val="21"/>
          <w:szCs w:val="21"/>
        </w:rPr>
        <w:t>华鑫国际信托有限公司</w:t>
      </w:r>
      <w:r>
        <w:rPr>
          <w:rFonts w:hint="eastAsia" w:ascii="楷体" w:hAnsi="楷体" w:eastAsia="楷体"/>
          <w:sz w:val="21"/>
          <w:szCs w:val="21"/>
          <w:lang w:eastAsia="zh-CN"/>
        </w:rPr>
        <w:t>：</w:t>
      </w:r>
      <w:r>
        <w:rPr>
          <w:rFonts w:hint="eastAsia" w:ascii="楷体" w:hAnsi="楷体" w:eastAsia="楷体"/>
          <w:sz w:val="21"/>
          <w:szCs w:val="21"/>
        </w:rPr>
        <w:t>华鑫国际信托有限公司于2010年2月获得中国银行业监督管理委员会批准重新登记，并于同年3月正式挂牌开业，实际控制人为中国华电集团有限公司，注册资本73.95亿元。</w:t>
      </w:r>
      <w:r>
        <w:rPr>
          <w:rFonts w:hint="eastAsia" w:ascii="楷体" w:hAnsi="楷体" w:eastAsia="楷体" w:cs="楷体"/>
          <w:sz w:val="21"/>
          <w:szCs w:val="21"/>
        </w:rPr>
        <w:t>⑤</w:t>
      </w:r>
      <w:r>
        <w:rPr>
          <w:rFonts w:hint="eastAsia" w:ascii="楷体" w:hAnsi="楷体" w:eastAsia="楷体"/>
          <w:sz w:val="21"/>
          <w:szCs w:val="21"/>
        </w:rPr>
        <w:t>中国国际金融股份有限公司</w:t>
      </w:r>
      <w:r>
        <w:rPr>
          <w:rFonts w:hint="eastAsia" w:ascii="楷体" w:hAnsi="楷体" w:eastAsia="楷体"/>
          <w:sz w:val="21"/>
          <w:szCs w:val="21"/>
          <w:lang w:eastAsia="zh-CN"/>
        </w:rPr>
        <w:t>：</w:t>
      </w:r>
      <w:r>
        <w:rPr>
          <w:rFonts w:hint="eastAsia" w:ascii="楷体" w:hAnsi="楷体" w:eastAsia="楷体"/>
          <w:sz w:val="21"/>
          <w:szCs w:val="21"/>
        </w:rPr>
        <w:t>中国国际金融股份有限公司于1995年7月31日成立，实际控制人为中央汇金投资有限责任公司，注册资本4,827,256,868元。</w:t>
      </w:r>
    </w:p>
    <w:p>
      <w:pPr>
        <w:ind w:firstLine="420" w:firstLineChars="200"/>
        <w:rPr>
          <w:rFonts w:hint="eastAsia" w:ascii="楷体" w:hAnsi="楷体" w:eastAsia="楷体"/>
          <w:sz w:val="21"/>
          <w:szCs w:val="21"/>
          <w:highlight w:val="none"/>
        </w:rPr>
      </w:pPr>
      <w:r>
        <w:rPr>
          <w:rFonts w:hint="eastAsia" w:ascii="楷体" w:hAnsi="楷体" w:eastAsia="楷体"/>
          <w:sz w:val="21"/>
          <w:szCs w:val="21"/>
        </w:rPr>
        <w:t>产品存续期内合作机构如有</w:t>
      </w:r>
      <w:r>
        <w:rPr>
          <w:rFonts w:hint="eastAsia" w:ascii="楷体" w:hAnsi="楷体" w:eastAsia="楷体"/>
          <w:sz w:val="21"/>
          <w:szCs w:val="21"/>
          <w:highlight w:val="none"/>
        </w:rPr>
        <w:t>变化，管理人将按照监管规定和内部管理制度要求对合作机构进行准入，签署相关协议后，</w:t>
      </w:r>
      <w:r>
        <w:rPr>
          <w:rFonts w:hint="eastAsia" w:ascii="楷体" w:hAnsi="楷体" w:eastAsia="楷体"/>
          <w:sz w:val="21"/>
          <w:szCs w:val="21"/>
          <w:highlight w:val="none"/>
          <w:lang w:val="en-US" w:eastAsia="zh-CN"/>
        </w:rPr>
        <w:t>披露</w:t>
      </w:r>
      <w:r>
        <w:rPr>
          <w:rFonts w:hint="eastAsia" w:ascii="楷体" w:hAnsi="楷体" w:eastAsia="楷体"/>
          <w:sz w:val="21"/>
          <w:szCs w:val="21"/>
          <w:highlight w:val="none"/>
        </w:rPr>
        <w:t>新增</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投资合作机构。</w:t>
      </w:r>
    </w:p>
    <w:p>
      <w:pPr>
        <w:numPr>
          <w:ilvl w:val="0"/>
          <w:numId w:val="10"/>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投资限制</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本理财产品投资于单只证券或单只公募证券投资基金的市值不超过本产品净资产的10%。</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rPr>
        <w:t>管理人发行的全部公募理财产品投资单只证券或者单只公募证券投资基金的市值不得超过该证券市值或者公募证券投资基金市值</w:t>
      </w:r>
      <w:r>
        <w:rPr>
          <w:rFonts w:hint="eastAsia" w:ascii="楷体" w:hAnsi="楷体" w:eastAsia="楷体"/>
          <w:color w:val="auto"/>
          <w:sz w:val="21"/>
          <w:szCs w:val="21"/>
          <w:highlight w:val="none"/>
        </w:rPr>
        <w:t>的30%。其中，管理人全部开放式公募理财产品投资单一上市公司发行的股票不得超过该上市公司可流通股票的15%。</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管理人全部产品持有单一上市公司发行的股票，不得超过该上市公司可流通股票的30%。</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ascii="楷体" w:hAnsi="楷体" w:eastAsia="楷体"/>
          <w:color w:val="auto"/>
          <w:sz w:val="21"/>
          <w:szCs w:val="21"/>
        </w:rPr>
        <w:t>针对上述1、2</w:t>
      </w:r>
      <w:r>
        <w:rPr>
          <w:rFonts w:hint="eastAsia" w:ascii="楷体" w:hAnsi="楷体" w:eastAsia="楷体"/>
          <w:color w:val="auto"/>
          <w:sz w:val="21"/>
          <w:szCs w:val="21"/>
          <w:lang w:eastAsia="zh-CN"/>
        </w:rPr>
        <w:t>、</w:t>
      </w:r>
      <w:r>
        <w:rPr>
          <w:rFonts w:hint="eastAsia" w:ascii="楷体" w:hAnsi="楷体" w:eastAsia="楷体"/>
          <w:color w:val="auto"/>
          <w:sz w:val="21"/>
          <w:szCs w:val="21"/>
        </w:rPr>
        <w:t>3项，非因管理人主观因素致使不符合前述比例限制的，管理人将在流动性受限资产可出售、可转让或者恢复交易的10个交易日内调整至符合相关要求。</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rPr>
      </w:pP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杠杆率</w:t>
      </w:r>
      <w:r>
        <w:rPr>
          <w:rFonts w:hint="eastAsia" w:ascii="楷体" w:hAnsi="楷体" w:eastAsia="楷体"/>
          <w:color w:val="auto"/>
          <w:sz w:val="21"/>
          <w:szCs w:val="21"/>
        </w:rPr>
        <w:t>不</w:t>
      </w:r>
      <w:r>
        <w:rPr>
          <w:rFonts w:hint="eastAsia" w:ascii="楷体" w:hAnsi="楷体" w:eastAsia="楷体"/>
          <w:color w:val="auto"/>
          <w:sz w:val="21"/>
          <w:szCs w:val="21"/>
          <w:highlight w:val="none"/>
        </w:rPr>
        <w:t>超过1</w:t>
      </w:r>
      <w:r>
        <w:rPr>
          <w:rFonts w:hint="eastAsia" w:ascii="楷体" w:hAnsi="楷体" w:eastAsia="楷体"/>
          <w:color w:val="auto"/>
          <w:sz w:val="21"/>
          <w:szCs w:val="21"/>
          <w:highlight w:val="none"/>
          <w:lang w:val="en-US" w:eastAsia="zh-CN"/>
        </w:rPr>
        <w:t>5</w:t>
      </w:r>
      <w:r>
        <w:rPr>
          <w:rFonts w:hint="eastAsia" w:ascii="楷体" w:hAnsi="楷体" w:eastAsia="楷体"/>
          <w:color w:val="auto"/>
          <w:sz w:val="21"/>
          <w:szCs w:val="21"/>
          <w:highlight w:val="none"/>
        </w:rPr>
        <w:t>0%。</w:t>
      </w:r>
    </w:p>
    <w:p>
      <w:pPr>
        <w:numPr>
          <w:ilvl w:val="0"/>
          <w:numId w:val="10"/>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投资管理调整</w:t>
      </w:r>
    </w:p>
    <w:p>
      <w:pPr>
        <w:pStyle w:val="7"/>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ascii="楷体" w:hAnsi="楷体" w:eastAsia="楷体" w:cs="Times New Roman"/>
          <w:color w:val="auto"/>
          <w:kern w:val="2"/>
          <w:sz w:val="21"/>
          <w:szCs w:val="21"/>
          <w:lang w:val="en-US" w:eastAsia="zh-CN" w:bidi="ar-SA"/>
        </w:rPr>
      </w:pPr>
      <w:r>
        <w:rPr>
          <w:rFonts w:hint="eastAsia" w:ascii="楷体" w:hAnsi="楷体" w:eastAsia="楷体" w:cs="Times New Roman"/>
          <w:color w:val="auto"/>
          <w:kern w:val="2"/>
          <w:sz w:val="21"/>
          <w:szCs w:val="21"/>
          <w:lang w:val="en-US" w:eastAsia="zh-CN" w:bidi="ar-SA"/>
        </w:rPr>
        <w:t>若法律法规、国家监管政策或市场情况发生变化，管理人在不改变产品类型的情况下，可对本说明书中已约定的投资范围、投资品种、投资比例等事项进行调整，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pStyle w:val="7"/>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lang w:val="en-US" w:eastAsia="zh-CN"/>
        </w:rPr>
      </w:pPr>
      <w:r>
        <w:rPr>
          <w:rFonts w:hint="eastAsia" w:ascii="楷体" w:hAnsi="楷体" w:eastAsia="楷体" w:cs="楷体"/>
          <w:color w:val="auto"/>
          <w:sz w:val="21"/>
          <w:szCs w:val="21"/>
        </w:rPr>
        <w:t>如监管有最新规定的，可参照监管规定</w:t>
      </w:r>
      <w:r>
        <w:rPr>
          <w:rFonts w:hint="eastAsia" w:ascii="楷体" w:hAnsi="楷体" w:eastAsia="楷体" w:cs="楷体"/>
          <w:color w:val="auto"/>
          <w:sz w:val="21"/>
          <w:szCs w:val="21"/>
          <w:lang w:val="en-US" w:eastAsia="zh-CN"/>
        </w:rPr>
        <w:t>执行</w:t>
      </w:r>
      <w:r>
        <w:rPr>
          <w:rFonts w:hint="eastAsia" w:ascii="楷体" w:hAnsi="楷体" w:eastAsia="楷体" w:cs="楷体"/>
          <w:color w:val="auto"/>
          <w:sz w:val="21"/>
          <w:szCs w:val="21"/>
        </w:rPr>
        <w:t>。</w:t>
      </w:r>
    </w:p>
    <w:p>
      <w:pPr>
        <w:numPr>
          <w:ilvl w:val="0"/>
          <w:numId w:val="6"/>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产品认购</w:t>
      </w:r>
    </w:p>
    <w:p>
      <w:pPr>
        <w:numPr>
          <w:ilvl w:val="0"/>
          <w:numId w:val="12"/>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认购方式</w:t>
      </w:r>
      <w:r>
        <w:rPr>
          <w:rFonts w:hint="eastAsia" w:ascii="楷体" w:hAnsi="楷体" w:eastAsia="楷体" w:cs="Calibri"/>
          <w:color w:val="auto"/>
          <w:sz w:val="21"/>
          <w:szCs w:val="21"/>
          <w:lang w:val="en-US" w:eastAsia="zh-CN"/>
        </w:rPr>
        <w:t>及确认</w:t>
      </w:r>
    </w:p>
    <w:p>
      <w:pPr>
        <w:numPr>
          <w:ilvl w:val="0"/>
          <w:numId w:val="0"/>
        </w:numPr>
        <w:ind w:left="0" w:firstLine="420" w:firstLineChars="200"/>
        <w:rPr>
          <w:rFonts w:hint="eastAsia" w:ascii="楷体" w:hAnsi="楷体" w:eastAsia="楷体" w:cs="Calibri"/>
          <w:color w:val="auto"/>
          <w:sz w:val="21"/>
          <w:szCs w:val="21"/>
          <w:highlight w:val="none"/>
        </w:rPr>
      </w:pPr>
      <w:r>
        <w:rPr>
          <w:rFonts w:hint="eastAsia" w:ascii="楷体" w:hAnsi="楷体" w:eastAsia="楷体" w:cs="Calibri"/>
          <w:color w:val="auto"/>
          <w:sz w:val="21"/>
          <w:szCs w:val="21"/>
        </w:rPr>
        <w:t>本理财产品可在各销售机构指定渠道进行认购</w:t>
      </w:r>
      <w:r>
        <w:rPr>
          <w:rFonts w:hint="eastAsia" w:ascii="楷体" w:hAnsi="楷体" w:eastAsia="楷体" w:cs="Calibri"/>
          <w:sz w:val="21"/>
          <w:szCs w:val="21"/>
          <w:highlight w:val="none"/>
          <w:lang w:val="en-US" w:eastAsia="zh-CN"/>
        </w:rPr>
        <w:t>，投资者按规定提交认购申请，管理人在份额登记日对投资者的认购申请成功登记后并收到投资者全额交付的款项，视为投资者的认购申请生效。投资者应在理财产品成立后及时查询最终的成交情况。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 w:val="21"/>
          <w:szCs w:val="21"/>
          <w:highlight w:val="none"/>
        </w:rPr>
        <w:t>因投资者资金账户余额不足、司法冻结、不可抗力因素或其他不可归责于</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和销售机构的事由出现，造成认购申请未被确认的，</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和销售机构不承担任何责任。</w:t>
      </w:r>
    </w:p>
    <w:p>
      <w:pPr>
        <w:numPr>
          <w:ilvl w:val="0"/>
          <w:numId w:val="12"/>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认购份额的计算</w:t>
      </w:r>
    </w:p>
    <w:p>
      <w:pPr>
        <w:ind w:firstLine="420" w:firstLineChars="200"/>
        <w:rPr>
          <w:rFonts w:hint="eastAsia" w:ascii="楷体" w:hAnsi="楷体" w:eastAsia="楷体"/>
          <w:color w:val="auto"/>
          <w:sz w:val="21"/>
          <w:szCs w:val="21"/>
        </w:rPr>
      </w:pPr>
      <w:r>
        <w:rPr>
          <w:rFonts w:ascii="楷体" w:hAnsi="楷体" w:eastAsia="楷体"/>
          <w:color w:val="auto"/>
          <w:sz w:val="21"/>
          <w:szCs w:val="21"/>
        </w:rPr>
        <w:t>认购份额=</w:t>
      </w:r>
      <w:r>
        <w:rPr>
          <w:rFonts w:hint="eastAsia" w:ascii="楷体" w:hAnsi="楷体" w:eastAsia="楷体"/>
          <w:color w:val="auto"/>
          <w:sz w:val="21"/>
          <w:szCs w:val="21"/>
        </w:rPr>
        <w:t>认购金额</w:t>
      </w:r>
      <w:r>
        <w:rPr>
          <w:rFonts w:ascii="楷体" w:hAnsi="楷体" w:eastAsia="楷体"/>
          <w:color w:val="auto"/>
          <w:sz w:val="21"/>
          <w:szCs w:val="21"/>
        </w:rPr>
        <w:t>/</w:t>
      </w:r>
      <w:r>
        <w:rPr>
          <w:rFonts w:hint="eastAsia" w:ascii="楷体" w:hAnsi="楷体" w:eastAsia="楷体"/>
          <w:color w:val="auto"/>
          <w:sz w:val="21"/>
          <w:szCs w:val="21"/>
        </w:rPr>
        <w:t>产品</w:t>
      </w:r>
      <w:r>
        <w:rPr>
          <w:rFonts w:hint="eastAsia" w:ascii="楷体" w:hAnsi="楷体" w:eastAsia="楷体"/>
          <w:color w:val="auto"/>
          <w:sz w:val="21"/>
          <w:szCs w:val="21"/>
          <w:lang w:val="en-US" w:eastAsia="zh-CN"/>
        </w:rPr>
        <w:t>份额面值，</w:t>
      </w:r>
      <w:r>
        <w:rPr>
          <w:rFonts w:ascii="楷体" w:hAnsi="楷体" w:eastAsia="楷体"/>
          <w:color w:val="auto"/>
          <w:sz w:val="21"/>
          <w:szCs w:val="21"/>
        </w:rPr>
        <w:t>认购份额</w:t>
      </w:r>
      <w:r>
        <w:rPr>
          <w:rFonts w:hint="eastAsia" w:ascii="楷体" w:hAnsi="楷体" w:eastAsia="楷体"/>
          <w:color w:val="auto"/>
          <w:sz w:val="21"/>
          <w:szCs w:val="21"/>
        </w:rPr>
        <w:t>以四舍五入的方法保留到小数点后两位。</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产品终止</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提前终止</w:t>
      </w:r>
    </w:p>
    <w:p>
      <w:pPr>
        <w:numPr>
          <w:ilvl w:val="0"/>
          <w:numId w:val="0"/>
        </w:numPr>
        <w:ind w:left="0" w:firstLine="420" w:firstLineChars="200"/>
        <w:rPr>
          <w:rFonts w:hint="eastAsia" w:ascii="楷体" w:hAnsi="楷体" w:eastAsia="楷体"/>
          <w:b w:val="0"/>
          <w:bCs w:val="0"/>
          <w:color w:val="auto"/>
          <w:sz w:val="21"/>
          <w:szCs w:val="21"/>
        </w:rPr>
      </w:pPr>
      <w:r>
        <w:rPr>
          <w:rFonts w:hint="eastAsia" w:ascii="楷体" w:hAnsi="楷体" w:eastAsia="楷体" w:cs="Calibri"/>
          <w:b w:val="0"/>
          <w:bCs w:val="0"/>
          <w:color w:val="auto"/>
          <w:sz w:val="21"/>
          <w:szCs w:val="21"/>
        </w:rPr>
        <w:t>在理财产品投资运作期间内，投资者无权要求提前终止该理财产品。在理财产品投资运作期间内，</w:t>
      </w:r>
      <w:r>
        <w:rPr>
          <w:rFonts w:hint="eastAsia" w:ascii="楷体" w:hAnsi="楷体" w:eastAsia="楷体" w:cs="Calibri"/>
          <w:b w:val="0"/>
          <w:bCs w:val="0"/>
          <w:color w:val="auto"/>
          <w:sz w:val="21"/>
          <w:szCs w:val="21"/>
          <w:lang w:val="en-US" w:eastAsia="zh-CN"/>
        </w:rPr>
        <w:t>包括但不限于</w:t>
      </w:r>
      <w:r>
        <w:rPr>
          <w:rFonts w:hint="eastAsia" w:ascii="楷体" w:hAnsi="楷体" w:eastAsia="楷体" w:cs="Calibri"/>
          <w:b w:val="0"/>
          <w:bCs w:val="0"/>
          <w:color w:val="auto"/>
          <w:sz w:val="21"/>
          <w:szCs w:val="21"/>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b w:val="0"/>
          <w:bCs w:val="0"/>
          <w:color w:val="auto"/>
          <w:sz w:val="21"/>
          <w:szCs w:val="21"/>
        </w:rPr>
        <w:t>如理财产品管理人提前终止本理财产品，将至少提前2个工作日（含）按说明书约定的信息披露方式予以披露</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明确产品终止日</w:t>
      </w:r>
      <w:r>
        <w:rPr>
          <w:rFonts w:hint="eastAsia" w:ascii="楷体" w:hAnsi="楷体" w:eastAsia="楷体"/>
          <w:b w:val="0"/>
          <w:bCs w:val="0"/>
          <w:color w:val="auto"/>
          <w:sz w:val="21"/>
          <w:szCs w:val="21"/>
        </w:rPr>
        <w:t>。</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正常终止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投资者持有本理财产品至产品到期日，投资者的投资本金和收益（如有）将在产品到期后一次性支付。</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延期</w:t>
      </w:r>
      <w:r>
        <w:rPr>
          <w:rFonts w:hint="eastAsia" w:ascii="楷体" w:hAnsi="楷体" w:eastAsia="楷体" w:cs="Calibri"/>
          <w:color w:val="auto"/>
          <w:sz w:val="21"/>
          <w:szCs w:val="21"/>
          <w:lang w:val="en-US" w:eastAsia="zh-CN"/>
        </w:rPr>
        <w:t>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投资者可得资金计算</w:t>
      </w:r>
    </w:p>
    <w:p>
      <w:pPr>
        <w:ind w:firstLine="420" w:firstLineChars="200"/>
        <w:rPr>
          <w:rFonts w:hint="eastAsia" w:ascii="楷体" w:hAnsi="楷体" w:eastAsia="楷体"/>
          <w:b w:val="0"/>
          <w:bCs w:val="0"/>
          <w:color w:val="auto"/>
          <w:sz w:val="21"/>
          <w:szCs w:val="21"/>
        </w:rPr>
      </w:pPr>
      <w:r>
        <w:rPr>
          <w:rFonts w:hint="eastAsia" w:ascii="楷体" w:hAnsi="楷体" w:eastAsia="楷体"/>
          <w:b w:val="0"/>
          <w:bCs w:val="0"/>
          <w:color w:val="auto"/>
          <w:sz w:val="21"/>
          <w:szCs w:val="21"/>
        </w:rPr>
        <w:t>投资者可得资金=投资者持有份额×产品到期</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终止）</w:t>
      </w:r>
      <w:r>
        <w:rPr>
          <w:rFonts w:hint="eastAsia" w:ascii="楷体" w:hAnsi="楷体" w:eastAsia="楷体"/>
          <w:b w:val="0"/>
          <w:bCs w:val="0"/>
          <w:color w:val="auto"/>
          <w:sz w:val="21"/>
          <w:szCs w:val="21"/>
        </w:rPr>
        <w:t>时单位净值</w:t>
      </w:r>
      <w:r>
        <w:rPr>
          <w:rFonts w:hint="eastAsia" w:ascii="楷体" w:hAnsi="楷体" w:eastAsia="楷体"/>
          <w:b w:val="0"/>
          <w:bCs w:val="0"/>
          <w:color w:val="auto"/>
          <w:sz w:val="21"/>
          <w:szCs w:val="21"/>
          <w:lang w:val="en-US" w:eastAsia="zh-CN"/>
        </w:rPr>
        <w:t>-超额业绩报酬（如有）</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rPr>
        <w:t>投资者可得资金以四舍五入的方法保留到小数点后两位。</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终止</w:t>
      </w:r>
      <w:r>
        <w:rPr>
          <w:rFonts w:hint="eastAsia" w:ascii="楷体" w:hAnsi="楷体" w:eastAsia="楷体" w:cs="Calibri"/>
          <w:color w:val="auto"/>
          <w:sz w:val="21"/>
          <w:szCs w:val="21"/>
        </w:rPr>
        <w:t>清算</w:t>
      </w:r>
    </w:p>
    <w:p>
      <w:pPr>
        <w:ind w:firstLine="420" w:firstLineChars="200"/>
        <w:rPr>
          <w:rFonts w:hint="eastAsia"/>
        </w:rPr>
      </w:pPr>
      <w:r>
        <w:rPr>
          <w:rFonts w:hint="eastAsia" w:ascii="楷体" w:hAnsi="楷体" w:eastAsia="楷体" w:cs="Calibri"/>
          <w:color w:val="auto"/>
          <w:sz w:val="21"/>
          <w:szCs w:val="21"/>
        </w:rPr>
        <w:t>投资者的投资本金和收益（如有）将于产品到期日</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产品终止日）</w:t>
      </w:r>
      <w:r>
        <w:rPr>
          <w:rFonts w:hint="eastAsia" w:ascii="楷体" w:hAnsi="楷体" w:eastAsia="楷体" w:cs="Calibri"/>
          <w:color w:val="auto"/>
          <w:sz w:val="21"/>
          <w:szCs w:val="21"/>
        </w:rPr>
        <w:t>后5个工作日以内划至投资者指定账户，如遇</w:t>
      </w:r>
      <w:r>
        <w:rPr>
          <w:rFonts w:hint="eastAsia" w:ascii="楷体" w:hAnsi="楷体" w:eastAsia="楷体" w:cs="Calibri"/>
          <w:color w:val="auto"/>
          <w:sz w:val="21"/>
          <w:szCs w:val="21"/>
          <w:lang w:val="en-US" w:eastAsia="zh-CN"/>
        </w:rPr>
        <w:t>非工作日</w:t>
      </w:r>
      <w:r>
        <w:rPr>
          <w:rFonts w:hint="eastAsia" w:ascii="楷体" w:hAnsi="楷体" w:eastAsia="楷体" w:cs="Calibri"/>
          <w:color w:val="auto"/>
          <w:sz w:val="21"/>
          <w:szCs w:val="21"/>
        </w:rPr>
        <w:t>则相应顺延。</w:t>
      </w:r>
    </w:p>
    <w:p>
      <w:pPr>
        <w:numPr>
          <w:ilvl w:val="0"/>
          <w:numId w:val="6"/>
        </w:numPr>
        <w:tabs>
          <w:tab w:val="left" w:pos="1134"/>
        </w:tabs>
        <w:ind w:left="420" w:leftChars="0" w:firstLine="0" w:firstLineChars="0"/>
        <w:rPr>
          <w:rFonts w:hint="eastAsia" w:ascii="楷体" w:hAnsi="楷体" w:eastAsia="楷体"/>
          <w:b/>
          <w:color w:val="auto"/>
          <w:sz w:val="21"/>
          <w:szCs w:val="21"/>
          <w:lang w:val="en-US" w:eastAsia="zh-CN"/>
        </w:rPr>
      </w:pPr>
      <w:r>
        <w:rPr>
          <w:rFonts w:hint="eastAsia" w:ascii="楷体" w:hAnsi="楷体" w:eastAsia="楷体"/>
          <w:b/>
          <w:color w:val="auto"/>
          <w:sz w:val="21"/>
          <w:szCs w:val="21"/>
          <w:lang w:val="en-US" w:eastAsia="zh-CN"/>
        </w:rPr>
        <w:t>情景示例</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以下示例均为假设情况，不代表本产品实际投资业绩。</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1.情景一</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-10,000.00=</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2.情景二</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-10,000.00=-</w:t>
      </w:r>
      <w:r>
        <w:rPr>
          <w:rFonts w:ascii="楷体" w:hAnsi="楷体" w:eastAsia="楷体"/>
          <w:color w:val="auto"/>
          <w:sz w:val="21"/>
          <w:szCs w:val="21"/>
        </w:rPr>
        <w:t>2</w:t>
      </w:r>
      <w:r>
        <w:rPr>
          <w:rFonts w:hint="eastAsia" w:ascii="楷体" w:hAnsi="楷体" w:eastAsia="楷体"/>
          <w:color w:val="auto"/>
          <w:sz w:val="21"/>
          <w:szCs w:val="21"/>
          <w:lang w:val="en-US" w:eastAsia="zh-CN"/>
        </w:rPr>
        <w:t>4</w:t>
      </w:r>
      <w:r>
        <w:rPr>
          <w:rFonts w:hint="eastAsia" w:ascii="楷体" w:hAnsi="楷体" w:eastAsia="楷体"/>
          <w:color w:val="auto"/>
          <w:sz w:val="21"/>
          <w:szCs w:val="21"/>
        </w:rPr>
        <w:t>.</w:t>
      </w:r>
      <w:r>
        <w:rPr>
          <w:rFonts w:ascii="楷体" w:hAnsi="楷体" w:eastAsia="楷体"/>
          <w:color w:val="auto"/>
          <w:sz w:val="21"/>
          <w:szCs w:val="21"/>
        </w:rPr>
        <w:t>0</w:t>
      </w:r>
      <w:r>
        <w:rPr>
          <w:rFonts w:hint="eastAsia" w:ascii="楷体" w:hAnsi="楷体" w:eastAsia="楷体"/>
          <w:color w:val="auto"/>
          <w:sz w:val="21"/>
          <w:szCs w:val="21"/>
          <w:lang w:val="en-US" w:eastAsia="zh-CN"/>
        </w:rPr>
        <w:t>6</w:t>
      </w:r>
      <w:r>
        <w:rPr>
          <w:rFonts w:hint="eastAsia" w:ascii="楷体" w:hAnsi="楷体" w:eastAsia="楷体"/>
          <w:color w:val="auto"/>
          <w:sz w:val="21"/>
          <w:szCs w:val="21"/>
        </w:rPr>
        <w:t>（元）</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最不利的情形下，投资者可能损失100%本金。</w:t>
      </w:r>
    </w:p>
    <w:p>
      <w:pPr>
        <w:numPr>
          <w:ilvl w:val="-1"/>
          <w:numId w:val="0"/>
        </w:numPr>
        <w:ind w:firstLine="422" w:firstLineChars="200"/>
        <w:rPr>
          <w:rFonts w:hint="eastAsia" w:ascii="楷体" w:hAnsi="楷体" w:eastAsia="楷体"/>
          <w:b/>
          <w:color w:val="auto"/>
          <w:sz w:val="21"/>
          <w:szCs w:val="21"/>
        </w:rPr>
      </w:pPr>
      <w:r>
        <w:rPr>
          <w:rFonts w:hint="eastAsia" w:ascii="楷体" w:hAnsi="楷体" w:eastAsia="楷体"/>
          <w:b/>
          <w:color w:val="auto"/>
          <w:sz w:val="21"/>
          <w:szCs w:val="21"/>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numPr>
          <w:ilvl w:val="0"/>
          <w:numId w:val="6"/>
        </w:numPr>
        <w:tabs>
          <w:tab w:val="left" w:pos="1428"/>
        </w:tabs>
        <w:ind w:left="420" w:leftChars="0" w:firstLine="0" w:firstLineChars="0"/>
        <w:rPr>
          <w:rFonts w:hint="eastAsia" w:ascii="楷体" w:hAnsi="楷体" w:eastAsia="楷体"/>
          <w:b/>
          <w:bCs w:val="0"/>
          <w:sz w:val="21"/>
          <w:szCs w:val="21"/>
          <w:highlight w:val="none"/>
        </w:rPr>
      </w:pPr>
      <w:r>
        <w:rPr>
          <w:rFonts w:hint="eastAsia" w:ascii="楷体" w:hAnsi="楷体" w:eastAsia="楷体"/>
          <w:b/>
          <w:bCs w:val="0"/>
          <w:color w:val="auto"/>
          <w:sz w:val="21"/>
          <w:szCs w:val="21"/>
          <w:lang w:val="en-US" w:eastAsia="zh-CN"/>
        </w:rPr>
        <w:t>产品费用</w:t>
      </w:r>
    </w:p>
    <w:p>
      <w:pPr>
        <w:numPr>
          <w:ilvl w:val="-1"/>
          <w:numId w:val="0"/>
        </w:numPr>
        <w:ind w:left="0" w:firstLine="420" w:firstLineChars="200"/>
        <w:rPr>
          <w:rFonts w:hint="default" w:ascii="楷体" w:hAnsi="楷体" w:eastAsia="楷体" w:cs="Calibri"/>
          <w:color w:val="auto"/>
          <w:sz w:val="21"/>
          <w:szCs w:val="21"/>
        </w:rPr>
      </w:pPr>
      <w:r>
        <w:rPr>
          <w:rFonts w:hint="eastAsia" w:ascii="楷体" w:hAnsi="楷体" w:eastAsia="楷体"/>
          <w:color w:val="auto"/>
          <w:sz w:val="21"/>
          <w:szCs w:val="21"/>
        </w:rPr>
        <w:t>本产品费用包括托管费、销售服务费、投资管理费、超额业绩报酬（如有）以及产品运作和清算中产生的其他费用等。</w:t>
      </w:r>
      <w:r>
        <w:rPr>
          <w:rFonts w:hint="eastAsia" w:ascii="楷体" w:hAnsi="楷体" w:eastAsia="楷体" w:cs="Calibri"/>
          <w:color w:val="auto"/>
          <w:sz w:val="21"/>
          <w:szCs w:val="21"/>
        </w:rPr>
        <w:t>计提方法</w:t>
      </w:r>
      <w:r>
        <w:rPr>
          <w:rFonts w:hint="eastAsia" w:ascii="楷体" w:hAnsi="楷体" w:eastAsia="楷体" w:cs="Calibri"/>
          <w:color w:val="auto"/>
          <w:sz w:val="21"/>
          <w:szCs w:val="21"/>
          <w:lang w:val="en-US" w:eastAsia="zh-CN"/>
        </w:rPr>
        <w:t>如下:</w:t>
      </w:r>
    </w:p>
    <w:p>
      <w:pPr>
        <w:numPr>
          <w:ilvl w:val="0"/>
          <w:numId w:val="14"/>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托管费：每日计提，</w:t>
      </w:r>
      <w:r>
        <w:rPr>
          <w:rFonts w:hint="eastAsia" w:ascii="楷体" w:hAnsi="楷体" w:eastAsia="楷体"/>
          <w:sz w:val="21"/>
          <w:szCs w:val="21"/>
        </w:rPr>
        <w:t>每日应计提的托管费＝前一日的产品资产净值×托管费率÷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4"/>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销售服务费：</w:t>
      </w:r>
    </w:p>
    <w:p>
      <w:pPr>
        <w:numPr>
          <w:ilvl w:val="-1"/>
          <w:numId w:val="0"/>
        </w:numPr>
        <w:tabs>
          <w:tab w:val="left" w:pos="728"/>
        </w:tabs>
        <w:ind w:firstLine="420" w:firstLineChars="200"/>
        <w:rPr>
          <w:rFonts w:hint="eastAsia" w:ascii="楷体" w:hAnsi="楷体" w:eastAsia="楷体"/>
          <w:sz w:val="21"/>
          <w:szCs w:val="21"/>
          <w:lang w:eastAsia="zh-CN"/>
        </w:rPr>
      </w:pPr>
      <w:r>
        <w:rPr>
          <w:rFonts w:hint="default" w:ascii="Calibri" w:hAnsi="Calibri" w:eastAsia="楷体" w:cs="Calibri"/>
          <w:color w:val="auto"/>
          <w:sz w:val="21"/>
          <w:szCs w:val="21"/>
        </w:rPr>
        <w:t>①</w:t>
      </w:r>
      <w:r>
        <w:rPr>
          <w:rFonts w:hint="eastAsia" w:ascii="Calibri" w:hAnsi="Calibri" w:eastAsia="楷体" w:cs="Calibri"/>
          <w:color w:val="auto"/>
          <w:sz w:val="21"/>
          <w:szCs w:val="21"/>
          <w:lang w:val="en-US" w:eastAsia="zh-CN"/>
        </w:rPr>
        <w:t>每日计提模式：</w:t>
      </w:r>
      <w:r>
        <w:rPr>
          <w:rFonts w:hint="eastAsia" w:ascii="楷体" w:hAnsi="楷体" w:eastAsia="楷体" w:cs="Calibri"/>
          <w:color w:val="auto"/>
          <w:sz w:val="21"/>
          <w:szCs w:val="21"/>
        </w:rPr>
        <w:t>每日计提</w:t>
      </w:r>
      <w:r>
        <w:rPr>
          <w:rFonts w:hint="eastAsia" w:ascii="楷体" w:hAnsi="楷体" w:eastAsia="楷体" w:cs="Calibri"/>
          <w:color w:val="auto"/>
          <w:sz w:val="21"/>
          <w:szCs w:val="21"/>
          <w:lang w:eastAsia="zh-CN"/>
        </w:rPr>
        <w:t>，</w:t>
      </w:r>
      <w:r>
        <w:rPr>
          <w:rFonts w:hint="eastAsia" w:ascii="楷体" w:hAnsi="楷体" w:eastAsia="楷体"/>
          <w:sz w:val="21"/>
          <w:szCs w:val="21"/>
        </w:rPr>
        <w:t>每日应计提的销售服务费＝前一日的产品资产净值×销售服务费率÷</w:t>
      </w:r>
      <w:r>
        <w:rPr>
          <w:rFonts w:ascii="楷体" w:hAnsi="楷体" w:eastAsia="楷体"/>
          <w:sz w:val="21"/>
          <w:szCs w:val="21"/>
        </w:rPr>
        <w:t>365</w:t>
      </w:r>
      <w:r>
        <w:rPr>
          <w:rFonts w:hint="eastAsia" w:ascii="楷体" w:hAnsi="楷体" w:eastAsia="楷体"/>
          <w:sz w:val="21"/>
          <w:szCs w:val="21"/>
          <w:lang w:eastAsia="zh-CN"/>
        </w:rPr>
        <w:t>。</w:t>
      </w:r>
    </w:p>
    <w:p>
      <w:pPr>
        <w:ind w:firstLine="420" w:firstLineChars="200"/>
        <w:rPr>
          <w:rFonts w:hint="eastAsia" w:ascii="楷体" w:hAnsi="楷体" w:eastAsia="楷体"/>
          <w:szCs w:val="21"/>
          <w:lang w:eastAsia="zh-CN"/>
        </w:rPr>
      </w:pPr>
      <w:r>
        <w:rPr>
          <w:rFonts w:hint="default" w:ascii="Calibri" w:hAnsi="Calibri" w:eastAsia="楷体" w:cs="Calibri"/>
          <w:szCs w:val="21"/>
        </w:rPr>
        <w:t>②</w:t>
      </w:r>
      <w:r>
        <w:rPr>
          <w:rFonts w:hint="eastAsia" w:ascii="Calibri" w:hAnsi="Calibri" w:eastAsia="楷体" w:cs="Calibri"/>
          <w:szCs w:val="21"/>
          <w:lang w:val="en-US" w:eastAsia="zh-CN"/>
        </w:rPr>
        <w:t>一次性提取模式：</w:t>
      </w:r>
      <w:r>
        <w:rPr>
          <w:rFonts w:hint="eastAsia" w:ascii="楷体" w:hAnsi="楷体" w:eastAsia="楷体"/>
          <w:szCs w:val="21"/>
        </w:rPr>
        <w:t>成立日一次性提取，每日摊销</w:t>
      </w:r>
      <w:r>
        <w:rPr>
          <w:rFonts w:hint="eastAsia" w:ascii="楷体" w:hAnsi="楷体" w:eastAsia="楷体"/>
          <w:szCs w:val="21"/>
          <w:lang w:eastAsia="zh-CN"/>
        </w:rPr>
        <w:t>，</w:t>
      </w:r>
      <w:r>
        <w:rPr>
          <w:rFonts w:hint="eastAsia" w:ascii="楷体" w:hAnsi="楷体" w:eastAsia="楷体"/>
          <w:szCs w:val="21"/>
        </w:rPr>
        <w:t>销售服务费＝产品成立日的产品份额</w:t>
      </w:r>
      <w:r>
        <w:rPr>
          <w:rFonts w:hint="eastAsia" w:ascii="楷体" w:hAnsi="楷体" w:eastAsia="楷体"/>
          <w:szCs w:val="21"/>
          <w:lang w:val="en-US" w:eastAsia="zh-CN"/>
        </w:rPr>
        <w:t>数</w:t>
      </w:r>
      <w:r>
        <w:rPr>
          <w:rFonts w:hint="eastAsia" w:ascii="楷体" w:hAnsi="楷体" w:eastAsia="楷体"/>
          <w:szCs w:val="21"/>
        </w:rPr>
        <w:t>×销售服务费率×产品投资期限天数÷365</w:t>
      </w:r>
      <w:r>
        <w:rPr>
          <w:rFonts w:hint="eastAsia" w:ascii="楷体" w:hAnsi="楷体" w:eastAsia="楷体"/>
          <w:szCs w:val="21"/>
          <w:lang w:eastAsia="zh-CN"/>
        </w:rPr>
        <w:t>。</w:t>
      </w:r>
    </w:p>
    <w:p>
      <w:pPr>
        <w:numPr>
          <w:ilvl w:val="0"/>
          <w:numId w:val="14"/>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投资管理费：每日计提，</w:t>
      </w:r>
      <w:r>
        <w:rPr>
          <w:rFonts w:hint="eastAsia" w:ascii="楷体" w:hAnsi="楷体" w:eastAsia="楷体"/>
          <w:sz w:val="21"/>
          <w:szCs w:val="21"/>
        </w:rPr>
        <w:t>每日应计提的投资管理费＝前一日的产品资产净值×投资管理费率÷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4"/>
        </w:numPr>
        <w:tabs>
          <w:tab w:val="left" w:pos="728"/>
        </w:tabs>
        <w:ind w:left="0" w:firstLine="420" w:firstLineChars="200"/>
        <w:rPr>
          <w:rFonts w:ascii="楷体" w:hAnsi="楷体" w:eastAsia="楷体"/>
          <w:color w:val="auto"/>
          <w:sz w:val="21"/>
          <w:szCs w:val="21"/>
        </w:rPr>
      </w:pPr>
      <w:r>
        <w:rPr>
          <w:rFonts w:hint="eastAsia" w:ascii="楷体" w:hAnsi="楷体" w:eastAsia="楷体" w:cs="Calibri"/>
          <w:color w:val="auto"/>
          <w:sz w:val="21"/>
          <w:szCs w:val="21"/>
        </w:rPr>
        <w:t>超额业绩报酬</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如有）</w:t>
      </w:r>
      <w:r>
        <w:rPr>
          <w:rFonts w:hint="eastAsia" w:ascii="楷体" w:hAnsi="楷体" w:eastAsia="楷体"/>
          <w:color w:val="auto"/>
          <w:sz w:val="21"/>
          <w:szCs w:val="21"/>
        </w:rPr>
        <w:t>：</w:t>
      </w:r>
      <w:r>
        <w:rPr>
          <w:rFonts w:hint="eastAsia" w:ascii="楷体" w:hAnsi="楷体" w:eastAsia="楷体" w:cs="Calibri"/>
          <w:sz w:val="21"/>
          <w:szCs w:val="21"/>
          <w:highlight w:val="none"/>
        </w:rPr>
        <w:t>管理人按</w:t>
      </w:r>
      <w:r>
        <w:rPr>
          <w:rFonts w:hint="eastAsia" w:ascii="楷体" w:hAnsi="楷体" w:eastAsia="楷体" w:cs="Calibri"/>
          <w:sz w:val="21"/>
          <w:szCs w:val="21"/>
          <w:highlight w:val="none"/>
          <w:lang w:val="en-US" w:eastAsia="zh-CN"/>
        </w:rPr>
        <w:t>产品存续期</w:t>
      </w:r>
      <w:r>
        <w:rPr>
          <w:rFonts w:hint="eastAsia" w:ascii="楷体" w:hAnsi="楷体" w:eastAsia="楷体" w:cs="Calibri"/>
          <w:sz w:val="21"/>
          <w:szCs w:val="21"/>
          <w:highlight w:val="none"/>
        </w:rPr>
        <w:t>收取超额业绩报酬</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lang w:val="en-US" w:eastAsia="zh-CN"/>
        </w:rPr>
        <w:t>超额业绩报酬计算详见“产品要素”。</w:t>
      </w:r>
    </w:p>
    <w:p>
      <w:pPr>
        <w:numPr>
          <w:ilvl w:val="0"/>
          <w:numId w:val="14"/>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产品运作和清算中产生的交易手续费、注册登记费、账户服务费、审计费及其他应由本产品承担的费用从产品中列支。</w:t>
      </w:r>
    </w:p>
    <w:p>
      <w:pPr>
        <w:numPr>
          <w:ilvl w:val="0"/>
          <w:numId w:val="14"/>
        </w:numPr>
        <w:tabs>
          <w:tab w:val="left" w:pos="728"/>
        </w:tabs>
        <w:ind w:left="0" w:firstLine="420" w:firstLineChars="200"/>
        <w:rPr>
          <w:rFonts w:hint="eastAsia"/>
        </w:rPr>
      </w:pPr>
      <w:r>
        <w:rPr>
          <w:rFonts w:hint="eastAsia" w:ascii="楷体" w:hAnsi="楷体" w:eastAsia="楷体" w:cs="Calibri"/>
          <w:color w:val="auto"/>
          <w:szCs w:val="21"/>
        </w:rPr>
        <w:t>本产品不收取认购费用、申购费用、赎回费用。</w:t>
      </w:r>
    </w:p>
    <w:p>
      <w:pPr>
        <w:numPr>
          <w:ilvl w:val="0"/>
          <w:numId w:val="14"/>
        </w:numPr>
        <w:tabs>
          <w:tab w:val="left" w:pos="728"/>
        </w:tabs>
        <w:ind w:left="0" w:firstLine="420" w:firstLineChars="200"/>
        <w:rPr>
          <w:rFonts w:hint="eastAsia" w:ascii="楷体" w:hAnsi="楷体" w:eastAsia="楷体" w:cs="楷体"/>
          <w:sz w:val="21"/>
          <w:szCs w:val="21"/>
          <w:highlight w:val="none"/>
        </w:rPr>
      </w:pPr>
      <w:r>
        <w:rPr>
          <w:rFonts w:hint="eastAsia" w:ascii="楷体" w:hAnsi="楷体" w:eastAsia="楷体" w:cs="Calibri"/>
          <w:color w:val="auto"/>
          <w:szCs w:val="21"/>
          <w:lang w:val="en-US" w:eastAsia="zh-CN"/>
        </w:rPr>
        <w:t>费用计算</w:t>
      </w:r>
      <w:r>
        <w:rPr>
          <w:rFonts w:hint="eastAsia" w:ascii="楷体" w:hAnsi="楷体" w:eastAsia="楷体" w:cs="Calibri"/>
          <w:color w:val="auto"/>
          <w:szCs w:val="21"/>
        </w:rPr>
        <w:t>四舍五入保留至小数点后两位</w:t>
      </w:r>
      <w:r>
        <w:rPr>
          <w:rFonts w:hint="eastAsia" w:ascii="楷体" w:hAnsi="楷体" w:eastAsia="楷体" w:cs="Calibri"/>
          <w:color w:val="auto"/>
          <w:szCs w:val="21"/>
          <w:lang w:eastAsia="zh-CN"/>
        </w:rPr>
        <w:t>。</w:t>
      </w:r>
    </w:p>
    <w:p>
      <w:pPr>
        <w:ind w:firstLine="420" w:firstLineChars="200"/>
        <w:rPr>
          <w:rFonts w:hint="eastAsia" w:ascii="楷体" w:hAnsi="楷体" w:eastAsia="楷体"/>
          <w:sz w:val="21"/>
          <w:szCs w:val="21"/>
          <w:highlight w:val="none"/>
        </w:rPr>
      </w:pPr>
      <w:r>
        <w:rPr>
          <w:rFonts w:hint="eastAsia" w:ascii="楷体" w:hAnsi="楷体" w:eastAsia="楷体" w:cs="楷体"/>
          <w:sz w:val="21"/>
          <w:szCs w:val="21"/>
          <w:highlight w:val="none"/>
        </w:rPr>
        <w:t>产品管理人有权根据市场情况等</w:t>
      </w:r>
      <w:r>
        <w:rPr>
          <w:rFonts w:hint="eastAsia" w:ascii="楷体" w:hAnsi="楷体" w:eastAsia="楷体" w:cs="楷体"/>
          <w:sz w:val="21"/>
          <w:szCs w:val="21"/>
          <w:highlight w:val="none"/>
          <w:lang w:val="en-US" w:eastAsia="zh-CN"/>
        </w:rPr>
        <w:t>因素</w:t>
      </w:r>
      <w:r>
        <w:rPr>
          <w:rFonts w:hint="eastAsia" w:ascii="楷体" w:hAnsi="楷体" w:eastAsia="楷体" w:cs="楷体"/>
          <w:sz w:val="21"/>
          <w:szCs w:val="21"/>
          <w:highlight w:val="none"/>
        </w:rPr>
        <w:t>调整上述各项费用费率和超额业绩报酬收取方式及比例，</w:t>
      </w:r>
      <w:r>
        <w:rPr>
          <w:rFonts w:hint="eastAsia" w:ascii="楷体" w:hAnsi="楷体" w:eastAsia="楷体" w:cs="Times New Roman"/>
          <w:color w:val="auto"/>
          <w:kern w:val="2"/>
          <w:sz w:val="21"/>
          <w:szCs w:val="21"/>
          <w:lang w:val="en-US" w:eastAsia="zh-CN" w:bidi="ar-SA"/>
        </w:rPr>
        <w:t>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若本理财产品投资者未在约定的时间内赎回本产品，则视为本理财产品投资者接受相关调整且同意继续持有本理财产品。</w:t>
      </w:r>
    </w:p>
    <w:p>
      <w:pPr>
        <w:numPr>
          <w:ilvl w:val="0"/>
          <w:numId w:val="6"/>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产品估值</w:t>
      </w:r>
    </w:p>
    <w:p>
      <w:pPr>
        <w:numPr>
          <w:ilvl w:val="0"/>
          <w:numId w:val="15"/>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估值对象</w:t>
      </w:r>
    </w:p>
    <w:p>
      <w:pPr>
        <w:ind w:firstLine="420" w:firstLineChars="200"/>
        <w:rPr>
          <w:rFonts w:ascii="楷体" w:hAnsi="楷体" w:eastAsia="楷体"/>
          <w:color w:val="auto"/>
          <w:sz w:val="21"/>
          <w:szCs w:val="21"/>
        </w:rPr>
      </w:pPr>
      <w:r>
        <w:rPr>
          <w:rFonts w:hint="eastAsia" w:ascii="楷体" w:hAnsi="楷体" w:eastAsia="楷体"/>
          <w:color w:val="auto"/>
          <w:sz w:val="21"/>
          <w:szCs w:val="21"/>
        </w:rPr>
        <w:t>本产品所拥有的各类证券、银行存款、应收款项及其它资产及负债。</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估值要求</w:t>
      </w:r>
    </w:p>
    <w:p>
      <w:pPr>
        <w:numPr>
          <w:ilvl w:val="0"/>
          <w:numId w:val="16"/>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本产品资产估值的目的是客观、准确</w:t>
      </w:r>
      <w:r>
        <w:rPr>
          <w:rFonts w:hint="eastAsia" w:ascii="楷体" w:hAnsi="楷体" w:eastAsia="楷体" w:cs="Calibri"/>
          <w:color w:val="auto"/>
          <w:sz w:val="21"/>
          <w:szCs w:val="21"/>
          <w:lang w:val="en-US" w:eastAsia="zh-CN"/>
        </w:rPr>
        <w:t>地</w:t>
      </w:r>
      <w:r>
        <w:rPr>
          <w:rFonts w:hint="eastAsia" w:ascii="楷体" w:hAnsi="楷体" w:eastAsia="楷体" w:cs="Calibri"/>
          <w:color w:val="auto"/>
          <w:sz w:val="21"/>
          <w:szCs w:val="21"/>
        </w:rPr>
        <w:t>反映资产净值，确定理财产品资产净值，并为理财产品的兑付提供计价依据。</w:t>
      </w:r>
    </w:p>
    <w:p>
      <w:pPr>
        <w:numPr>
          <w:ilvl w:val="0"/>
          <w:numId w:val="16"/>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本产品单位净值精确到小数点后</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位，小数点</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位后截位。</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估值方法</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1.存款类资产、货币市场工具：以本金列示，逐日计提利息。</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2.货币市场基金：按公允价值进行估值，以估值截止时间点能够取得的最新每万份收益进行估值。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3.债券类资产：按公允价值进行估值，采用市价、监管认可的第三方估值机构提供的估值价格进行估值。对于以收取合同现金流量为目的并持有到期的债券，符合企业会计准则及监管规定，分类为“以摊余成本计量的金融资产”的，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4.债权类资产：按公允价值进行估值。对于以收取合同现金流量为目的并持有到期的债权类资产，金融资产暂不具备活跃交易市场，或者在活跃市场中没有报价，且符合会计准则及监管规定，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5.权益类资产：按公允价值进行估值，采用市价、监管认可的第三方估值机构提供的估值价格进行估值。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6.证券、基金、保险等资产管理计划和信托计划等资产（不含货币市场基金）：按公允价值进行估值，上述各类资管产品关于同一投资品种的估值原则、政策、技术和方法等应与理财产品管理人保持一致，理财产品管理人将按照会计准则要求定期进行评估。</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7.其他资产：按公允价值进行估值。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如有新增事项或变更事项，按国家法律法规及监管最新规定执行。</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估值错误的处理</w:t>
      </w:r>
    </w:p>
    <w:p>
      <w:pPr>
        <w:ind w:firstLine="420" w:firstLineChars="200"/>
        <w:rPr>
          <w:rFonts w:ascii="楷体" w:hAnsi="楷体" w:eastAsia="楷体"/>
          <w:color w:val="auto"/>
          <w:sz w:val="21"/>
          <w:szCs w:val="21"/>
        </w:rPr>
      </w:pPr>
      <w:r>
        <w:rPr>
          <w:rFonts w:hint="eastAsia" w:ascii="楷体" w:hAnsi="楷体" w:eastAsia="楷体"/>
          <w:color w:val="auto"/>
          <w:sz w:val="21"/>
          <w:szCs w:val="21"/>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减轻或消除由此造成的影响。</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暂停估值</w:t>
      </w:r>
    </w:p>
    <w:p>
      <w:pPr>
        <w:ind w:firstLine="420" w:firstLineChars="200"/>
        <w:rPr>
          <w:rFonts w:ascii="楷体" w:hAnsi="楷体" w:eastAsia="楷体"/>
          <w:color w:val="auto"/>
          <w:sz w:val="21"/>
          <w:szCs w:val="21"/>
        </w:rPr>
      </w:pPr>
      <w:r>
        <w:rPr>
          <w:rFonts w:hint="eastAsia" w:ascii="楷体" w:hAnsi="楷体" w:eastAsia="楷体"/>
          <w:color w:val="auto"/>
          <w:sz w:val="21"/>
          <w:szCs w:val="21"/>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6"/>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信息披露</w:t>
      </w:r>
    </w:p>
    <w:p>
      <w:pPr>
        <w:numPr>
          <w:ilvl w:val="0"/>
          <w:numId w:val="17"/>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方式</w:t>
      </w:r>
    </w:p>
    <w:p>
      <w:pPr>
        <w:numPr>
          <w:ilvl w:val="0"/>
          <w:numId w:val="18"/>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通过苏银理财有限责任公司官方网站（</w:t>
      </w:r>
      <w:r>
        <w:rPr>
          <w:rFonts w:ascii="楷体" w:hAnsi="楷体" w:eastAsia="楷体" w:cs="Calibri"/>
          <w:sz w:val="21"/>
          <w:szCs w:val="21"/>
          <w:highlight w:val="none"/>
        </w:rPr>
        <w:t>www</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suyinwealth</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com</w:t>
      </w:r>
      <w:r>
        <w:rPr>
          <w:rFonts w:hint="eastAsia" w:ascii="楷体" w:hAnsi="楷体" w:eastAsia="楷体" w:cs="Calibri"/>
          <w:sz w:val="21"/>
          <w:szCs w:val="21"/>
          <w:highlight w:val="none"/>
        </w:rPr>
        <w:t>）进行信息披露。</w:t>
      </w:r>
    </w:p>
    <w:p>
      <w:pPr>
        <w:numPr>
          <w:ilvl w:val="0"/>
          <w:numId w:val="18"/>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将信息披露内容发送销售机构，由销售机构通过</w:t>
      </w:r>
      <w:r>
        <w:rPr>
          <w:rFonts w:hint="eastAsia" w:ascii="楷体" w:hAnsi="楷体" w:eastAsia="楷体" w:cs="Calibri"/>
          <w:sz w:val="21"/>
          <w:szCs w:val="21"/>
          <w:highlight w:val="none"/>
          <w:lang w:val="en-US" w:eastAsia="zh-CN"/>
        </w:rPr>
        <w:t>短信及</w:t>
      </w:r>
      <w:r>
        <w:rPr>
          <w:rFonts w:hint="eastAsia" w:ascii="楷体" w:hAnsi="楷体" w:eastAsia="楷体" w:cs="Calibri"/>
          <w:sz w:val="21"/>
          <w:szCs w:val="21"/>
          <w:highlight w:val="none"/>
        </w:rPr>
        <w:t>销售机构电子渠道和营业网点</w:t>
      </w:r>
      <w:r>
        <w:rPr>
          <w:rFonts w:hint="eastAsia" w:ascii="楷体" w:hAnsi="楷体" w:eastAsia="楷体" w:cs="Calibri"/>
          <w:sz w:val="21"/>
          <w:szCs w:val="21"/>
          <w:highlight w:val="none"/>
          <w:lang w:val="en-US" w:eastAsia="zh-CN"/>
        </w:rPr>
        <w:t>等方式</w:t>
      </w:r>
      <w:r>
        <w:rPr>
          <w:rFonts w:hint="eastAsia" w:ascii="楷体" w:hAnsi="楷体" w:eastAsia="楷体" w:cs="Calibri"/>
          <w:sz w:val="21"/>
          <w:szCs w:val="21"/>
          <w:highlight w:val="none"/>
        </w:rPr>
        <w:t>进行信息披露。</w:t>
      </w:r>
    </w:p>
    <w:p>
      <w:pPr>
        <w:numPr>
          <w:ilvl w:val="-1"/>
          <w:numId w:val="0"/>
        </w:numPr>
        <w:ind w:left="0" w:firstLine="420" w:firstLineChars="200"/>
        <w:rPr>
          <w:rFonts w:ascii="楷体" w:hAnsi="楷体" w:eastAsia="楷体" w:cs="Calibri"/>
          <w:color w:val="auto"/>
          <w:sz w:val="21"/>
          <w:szCs w:val="21"/>
        </w:rPr>
      </w:pPr>
      <w:r>
        <w:rPr>
          <w:rFonts w:hint="eastAsia" w:ascii="楷体" w:hAnsi="楷体" w:eastAsia="楷体"/>
          <w:sz w:val="21"/>
          <w:szCs w:val="21"/>
          <w:highlight w:val="none"/>
        </w:rPr>
        <w:t>相关信息在发布或发出之日视为通知已送达投资者并生效，</w:t>
      </w:r>
      <w:r>
        <w:rPr>
          <w:rFonts w:hint="eastAsia" w:ascii="楷体" w:hAnsi="楷体" w:eastAsia="楷体"/>
          <w:sz w:val="21"/>
          <w:szCs w:val="21"/>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1"/>
          <w:szCs w:val="21"/>
          <w:highlight w:val="none"/>
        </w:rPr>
        <w:t>请</w:t>
      </w:r>
      <w:r>
        <w:rPr>
          <w:rFonts w:hint="eastAsia" w:ascii="楷体" w:hAnsi="楷体" w:eastAsia="楷体"/>
          <w:sz w:val="21"/>
          <w:szCs w:val="21"/>
          <w:highlight w:val="none"/>
          <w:lang w:val="en-US" w:eastAsia="zh-CN"/>
        </w:rPr>
        <w:t>投资者</w:t>
      </w:r>
      <w:r>
        <w:rPr>
          <w:rFonts w:hint="eastAsia" w:ascii="楷体" w:hAnsi="楷体" w:eastAsia="楷体"/>
          <w:sz w:val="21"/>
          <w:szCs w:val="21"/>
          <w:highlight w:val="none"/>
        </w:rPr>
        <w:t>及时登陆苏银理财有限责任</w:t>
      </w:r>
      <w:r>
        <w:rPr>
          <w:rFonts w:hint="eastAsia" w:ascii="楷体" w:hAnsi="楷体" w:eastAsia="楷体"/>
          <w:sz w:val="21"/>
          <w:szCs w:val="21"/>
          <w:highlight w:val="none"/>
          <w:lang w:val="en-US" w:eastAsia="zh-CN"/>
        </w:rPr>
        <w:t>公司</w:t>
      </w:r>
      <w:r>
        <w:rPr>
          <w:rFonts w:hint="eastAsia" w:ascii="楷体" w:hAnsi="楷体" w:eastAsia="楷体"/>
          <w:sz w:val="21"/>
          <w:szCs w:val="21"/>
          <w:highlight w:val="none"/>
        </w:rPr>
        <w:t>官方网站或者向销售机构查询获取披露信息</w:t>
      </w:r>
      <w:r>
        <w:rPr>
          <w:rFonts w:hint="eastAsia" w:ascii="楷体" w:hAnsi="楷体" w:eastAsia="楷体"/>
          <w:color w:val="auto"/>
          <w:sz w:val="21"/>
          <w:szCs w:val="21"/>
          <w:highlight w:val="none"/>
        </w:rPr>
        <w:t>。</w:t>
      </w:r>
    </w:p>
    <w:p>
      <w:pPr>
        <w:numPr>
          <w:ilvl w:val="0"/>
          <w:numId w:val="17"/>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内容及时间</w:t>
      </w:r>
    </w:p>
    <w:p>
      <w:pPr>
        <w:numPr>
          <w:ilvl w:val="0"/>
          <w:numId w:val="19"/>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产品净值：</w:t>
      </w:r>
      <w:r>
        <w:rPr>
          <w:rFonts w:hint="eastAsia" w:ascii="楷体" w:hAnsi="楷体" w:eastAsia="楷体" w:cs="Calibri"/>
          <w:color w:val="auto"/>
          <w:sz w:val="21"/>
          <w:szCs w:val="21"/>
          <w:highlight w:val="none"/>
          <w:lang w:val="en-US" w:eastAsia="zh-CN"/>
        </w:rPr>
        <w:t>公募封闭式产品至少</w:t>
      </w:r>
      <w:r>
        <w:rPr>
          <w:rFonts w:hint="eastAsia" w:ascii="楷体" w:hAnsi="楷体" w:eastAsia="楷体" w:cs="Calibri"/>
          <w:color w:val="auto"/>
          <w:sz w:val="21"/>
          <w:szCs w:val="21"/>
          <w:highlight w:val="none"/>
        </w:rPr>
        <w:t>每周向投资者披露一次产品的份额净值、份额累计净值</w:t>
      </w:r>
      <w:r>
        <w:rPr>
          <w:rFonts w:hint="eastAsia" w:ascii="楷体" w:hAnsi="楷体" w:eastAsia="楷体" w:cs="Calibri"/>
          <w:color w:val="auto"/>
          <w:sz w:val="21"/>
          <w:szCs w:val="21"/>
          <w:highlight w:val="none"/>
          <w:lang w:val="en-US" w:eastAsia="zh-CN"/>
        </w:rPr>
        <w:t>；公募开放式产品</w:t>
      </w:r>
      <w:r>
        <w:rPr>
          <w:rFonts w:hint="eastAsia" w:ascii="楷体" w:hAnsi="楷体" w:eastAsia="楷体" w:cs="Calibri"/>
          <w:color w:val="auto"/>
          <w:sz w:val="21"/>
          <w:szCs w:val="21"/>
          <w:highlight w:val="none"/>
          <w:lang w:eastAsia="zh-CN"/>
        </w:rPr>
        <w:t>每个开放日结束后两个工作日内，披露开放式公募理财产品在开放日的份额净值、份额累计净值、认（申）购价格和赎回价格</w:t>
      </w:r>
      <w:r>
        <w:rPr>
          <w:rFonts w:hint="eastAsia" w:ascii="楷体" w:hAnsi="楷体" w:eastAsia="楷体" w:cs="Calibri"/>
          <w:color w:val="auto"/>
          <w:sz w:val="21"/>
          <w:szCs w:val="21"/>
          <w:highlight w:val="none"/>
          <w:lang w:val="en-US" w:eastAsia="zh-CN"/>
        </w:rPr>
        <w:t>；私募产品至少每季度向投资者披露一次产品的份额净值、份额累计净值，以管理人实际披露为准。</w:t>
      </w:r>
    </w:p>
    <w:p>
      <w:pPr>
        <w:numPr>
          <w:ilvl w:val="0"/>
          <w:numId w:val="19"/>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发行公告：管理人在产品成立后5个工作日内，披露产品成立公告，内容包括理财产品成立日期和募集规模等信息。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到期公告：管理人在产品终止后5个工作日内，披露产品到期公告，内容包括理财产品的存续期限、终止日期、收费情况和收益分配情况等信息。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重大事项公告：管理人在发生可能对理财产品投资者或者理财产品收益</w:t>
      </w:r>
      <w:r>
        <w:rPr>
          <w:rFonts w:hint="eastAsia" w:ascii="楷体" w:hAnsi="楷体" w:eastAsia="楷体" w:cs="Calibri"/>
          <w:color w:val="auto"/>
          <w:sz w:val="21"/>
          <w:szCs w:val="21"/>
          <w:lang w:val="en-US" w:eastAsia="zh-CN"/>
        </w:rPr>
        <w:t>产生重大影响</w:t>
      </w:r>
      <w:r>
        <w:rPr>
          <w:rFonts w:hint="eastAsia" w:ascii="楷体" w:hAnsi="楷体" w:eastAsia="楷体" w:cs="Calibri"/>
          <w:color w:val="auto"/>
          <w:sz w:val="21"/>
          <w:szCs w:val="21"/>
        </w:rPr>
        <w:t>的事件后2个工作日内发布重大事项公告。</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临时性信息：管理人将及时披露国务院银行业监督管理机构规定的其他信息或除重大事项事件以外的其他信息。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半年度整体报告：每半年披露从事理财业务活动的有关信息。</w:t>
      </w:r>
    </w:p>
    <w:p>
      <w:pPr>
        <w:numPr>
          <w:ilvl w:val="0"/>
          <w:numId w:val="19"/>
        </w:numPr>
        <w:tabs>
          <w:tab w:val="left" w:pos="728"/>
        </w:tabs>
        <w:ind w:left="0" w:firstLine="420" w:firstLineChars="200"/>
        <w:rPr>
          <w:rFonts w:ascii="楷体" w:hAnsi="楷体" w:eastAsia="楷体" w:cs="Calibri"/>
          <w:sz w:val="21"/>
          <w:szCs w:val="21"/>
          <w:highlight w:val="none"/>
        </w:rPr>
      </w:pPr>
      <w:r>
        <w:rPr>
          <w:rFonts w:hint="eastAsia" w:ascii="楷体" w:hAnsi="楷体" w:eastAsia="楷体" w:cs="Calibri"/>
          <w:color w:val="auto"/>
          <w:sz w:val="21"/>
          <w:szCs w:val="21"/>
        </w:rPr>
        <w:t>理财账单：管理人每月向投资者提供其所持有的理财产品账单，账单内容包括但不限于投资者持有的理财产品份额、认购金额、份额</w:t>
      </w:r>
      <w:r>
        <w:rPr>
          <w:rFonts w:hint="eastAsia" w:ascii="楷体" w:hAnsi="楷体" w:eastAsia="楷体" w:cs="Calibri"/>
          <w:color w:val="auto"/>
          <w:sz w:val="21"/>
          <w:szCs w:val="21"/>
          <w:lang w:val="en-US" w:eastAsia="zh-CN"/>
        </w:rPr>
        <w:t>单位</w:t>
      </w:r>
      <w:r>
        <w:rPr>
          <w:rFonts w:hint="eastAsia" w:ascii="楷体" w:hAnsi="楷体" w:eastAsia="楷体" w:cs="Calibri"/>
          <w:color w:val="auto"/>
          <w:sz w:val="21"/>
          <w:szCs w:val="21"/>
        </w:rPr>
        <w:t>净值、份额累计净值、资产净值、收益情况、投资者理财交易账户发生的交易明细记录等信息。</w:t>
      </w:r>
    </w:p>
    <w:p>
      <w:pPr>
        <w:numPr>
          <w:ilvl w:val="0"/>
          <w:numId w:val="6"/>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其他</w:t>
      </w:r>
    </w:p>
    <w:p>
      <w:pPr>
        <w:numPr>
          <w:ilvl w:val="0"/>
          <w:numId w:val="2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追索条款</w:t>
      </w:r>
    </w:p>
    <w:p>
      <w:pPr>
        <w:ind w:firstLine="420" w:firstLineChars="200"/>
        <w:rPr>
          <w:rFonts w:ascii="楷体" w:hAnsi="楷体" w:eastAsia="楷体"/>
          <w:color w:val="auto"/>
          <w:sz w:val="21"/>
          <w:szCs w:val="21"/>
        </w:rPr>
      </w:pPr>
      <w:r>
        <w:rPr>
          <w:rFonts w:hint="eastAsia" w:ascii="楷体" w:hAnsi="楷体" w:eastAsia="楷体"/>
          <w:color w:val="auto"/>
          <w:sz w:val="21"/>
          <w:szCs w:val="21"/>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2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信息安全</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rPr>
        <w:t>苏银理财及</w:t>
      </w:r>
      <w:r>
        <w:rPr>
          <w:rFonts w:hint="eastAsia" w:ascii="楷体" w:hAnsi="楷体" w:eastAsia="楷体"/>
          <w:color w:val="auto"/>
          <w:sz w:val="21"/>
          <w:szCs w:val="21"/>
          <w:lang w:val="en-US" w:eastAsia="zh-CN"/>
        </w:rPr>
        <w:t>销售</w:t>
      </w:r>
      <w:r>
        <w:rPr>
          <w:rFonts w:hint="eastAsia" w:ascii="楷体" w:hAnsi="楷体" w:eastAsia="楷体"/>
          <w:color w:val="auto"/>
          <w:sz w:val="21"/>
          <w:szCs w:val="21"/>
        </w:rPr>
        <w:t>机构将据相关法律、法规严格履行投资者信息保密责任，除监管机构或司法机关等有权机构外，不得对其他第三方提供任何投资者信息。</w:t>
      </w:r>
    </w:p>
    <w:p>
      <w:pPr>
        <w:numPr>
          <w:ilvl w:val="0"/>
          <w:numId w:val="2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争议解决</w:t>
      </w:r>
    </w:p>
    <w:p>
      <w:pPr>
        <w:ind w:firstLine="420" w:firstLineChars="200"/>
        <w:jc w:val="left"/>
        <w:rPr>
          <w:rFonts w:ascii="楷体" w:hAnsi="楷体" w:eastAsia="楷体"/>
        </w:rPr>
      </w:pPr>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的订立、生效、履行、解释、修改和终止等事项均适用中华人民共和国（为本合同目的，不包括香港特别行政区、澳门特别行政区和台湾地区）法律。</w:t>
      </w:r>
      <w:r>
        <w:rPr>
          <w:rFonts w:hint="eastAsia" w:ascii="楷体" w:hAnsi="楷体" w:eastAsia="楷体"/>
          <w:b w:val="0"/>
          <w:bCs w:val="0"/>
          <w:color w:val="auto"/>
          <w:sz w:val="21"/>
          <w:szCs w:val="21"/>
          <w:lang w:val="en-US" w:eastAsia="zh-CN"/>
        </w:rPr>
        <w:t>因本产品说明书</w:t>
      </w:r>
      <w:r>
        <w:rPr>
          <w:rFonts w:hint="eastAsia" w:ascii="楷体" w:hAnsi="楷体" w:eastAsia="楷体"/>
          <w:b w:val="0"/>
          <w:bCs w:val="0"/>
          <w:color w:val="auto"/>
          <w:sz w:val="21"/>
          <w:szCs w:val="21"/>
        </w:rPr>
        <w:t>引起的或与</w:t>
      </w:r>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有关的任何争议，应当首先通过双方之间的友好协商解决；协商不成的，双方均有权提交产品管理人住所地有管辖权的人民法院诉讼解决。</w:t>
      </w:r>
    </w:p>
    <w:bookmarkEnd w:id="0"/>
    <w:p>
      <w:pPr>
        <w:rPr>
          <w:rFonts w:ascii="楷体" w:hAnsi="楷体" w:eastAsia="楷体"/>
          <w:b/>
          <w:sz w:val="36"/>
          <w:szCs w:val="36"/>
        </w:rPr>
      </w:pPr>
      <w:r>
        <w:rPr>
          <w:rFonts w:hint="eastAsia" w:ascii="楷体" w:hAnsi="楷体" w:eastAsia="楷体"/>
          <w:b/>
          <w:sz w:val="36"/>
          <w:szCs w:val="36"/>
        </w:rPr>
        <w:br w:type="page"/>
      </w:r>
    </w:p>
    <w:p>
      <w:pPr>
        <w:jc w:val="center"/>
        <w:rPr>
          <w:rFonts w:hint="eastAsia" w:ascii="楷体" w:hAnsi="楷体" w:eastAsia="楷体"/>
          <w:b/>
          <w:sz w:val="36"/>
          <w:szCs w:val="36"/>
        </w:rPr>
      </w:pPr>
      <w:r>
        <w:rPr>
          <w:rFonts w:hint="eastAsia" w:ascii="楷体" w:hAnsi="楷体" w:eastAsia="楷体"/>
          <w:b/>
          <w:sz w:val="28"/>
          <w:szCs w:val="28"/>
        </w:rPr>
        <w:t>苏银理财有限责任公司理财产品投资协议书</w:t>
      </w:r>
    </w:p>
    <w:p>
      <w:pPr>
        <w:jc w:val="center"/>
        <w:rPr>
          <w:rFonts w:hint="eastAsia" w:ascii="楷体" w:hAnsi="楷体" w:eastAsia="楷体"/>
          <w:b/>
          <w:sz w:val="28"/>
          <w:szCs w:val="28"/>
        </w:rPr>
      </w:pPr>
      <w:r>
        <w:rPr>
          <w:rFonts w:hint="eastAsia" w:ascii="楷体" w:hAnsi="楷体" w:eastAsia="楷体"/>
          <w:b/>
          <w:sz w:val="24"/>
          <w:szCs w:val="24"/>
        </w:rPr>
        <w:t>理财非存款、产品有风险、投资须谨慎</w:t>
      </w:r>
    </w:p>
    <w:p>
      <w:pPr>
        <w:ind w:firstLine="420" w:firstLineChars="200"/>
        <w:rPr>
          <w:rFonts w:hint="eastAsia" w:ascii="楷体" w:hAnsi="楷体" w:eastAsia="楷体" w:cs="Times New Roman"/>
          <w:b w:val="0"/>
          <w:sz w:val="21"/>
          <w:szCs w:val="21"/>
        </w:rPr>
      </w:pPr>
      <w:r>
        <w:rPr>
          <w:rFonts w:hint="eastAsia" w:ascii="楷体" w:hAnsi="楷体" w:eastAsia="楷体" w:cs="Times New Roman"/>
          <w:sz w:val="21"/>
          <w:szCs w:val="21"/>
        </w:rPr>
        <w:t>经甲方（</w:t>
      </w:r>
      <w:r>
        <w:rPr>
          <w:rFonts w:hint="eastAsia" w:ascii="楷体" w:hAnsi="楷体" w:eastAsia="楷体" w:cs="Times New Roman"/>
          <w:sz w:val="21"/>
          <w:szCs w:val="21"/>
          <w:lang w:val="en-US" w:eastAsia="zh-CN"/>
        </w:rPr>
        <w:t>投资者</w:t>
      </w:r>
      <w:r>
        <w:rPr>
          <w:rFonts w:hint="eastAsia" w:ascii="楷体" w:hAnsi="楷体" w:eastAsia="楷体" w:cs="Times New Roman"/>
          <w:sz w:val="21"/>
          <w:szCs w:val="21"/>
        </w:rPr>
        <w:t>）与乙方（</w:t>
      </w:r>
      <w:r>
        <w:rPr>
          <w:rFonts w:hint="eastAsia" w:ascii="楷体" w:hAnsi="楷体" w:eastAsia="楷体" w:cs="Times New Roman"/>
          <w:sz w:val="21"/>
          <w:szCs w:val="21"/>
          <w:lang w:val="en-US" w:eastAsia="zh-CN"/>
        </w:rPr>
        <w:t>苏银</w:t>
      </w:r>
      <w:r>
        <w:rPr>
          <w:rFonts w:hint="eastAsia" w:ascii="楷体" w:hAnsi="楷体" w:eastAsia="楷体" w:cs="Times New Roman"/>
          <w:sz w:val="21"/>
          <w:szCs w:val="21"/>
        </w:rPr>
        <w:t>理财有限责任公司</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以下简称“苏银理财”</w:t>
      </w:r>
      <w:r>
        <w:rPr>
          <w:rFonts w:hint="eastAsia" w:ascii="楷体" w:hAnsi="楷体" w:eastAsia="楷体" w:cs="Times New Roman"/>
          <w:sz w:val="21"/>
          <w:szCs w:val="21"/>
        </w:rPr>
        <w:t>）协商一致，就甲方向乙方购买理财产品，达成协议如下：</w:t>
      </w:r>
    </w:p>
    <w:p>
      <w:pPr>
        <w:ind w:firstLine="422" w:firstLineChars="200"/>
        <w:rPr>
          <w:rFonts w:hint="eastAsia" w:ascii="楷体" w:hAnsi="楷体" w:eastAsia="楷体"/>
          <w:b/>
          <w:sz w:val="21"/>
          <w:szCs w:val="21"/>
        </w:rPr>
      </w:pPr>
      <w:r>
        <w:rPr>
          <w:rFonts w:hint="eastAsia" w:ascii="楷体" w:hAnsi="楷体" w:eastAsia="楷体"/>
          <w:b/>
          <w:sz w:val="21"/>
          <w:szCs w:val="21"/>
        </w:rPr>
        <w:t>一、重要声明</w:t>
      </w:r>
    </w:p>
    <w:p>
      <w:pPr>
        <w:ind w:firstLine="420" w:firstLineChars="200"/>
        <w:rPr>
          <w:rFonts w:hint="eastAsia" w:ascii="楷体" w:hAnsi="楷体" w:eastAsia="楷体"/>
          <w:b/>
          <w:sz w:val="21"/>
          <w:szCs w:val="21"/>
          <w:u w:val="single"/>
        </w:rPr>
      </w:pPr>
      <w:r>
        <w:rPr>
          <w:rFonts w:hint="eastAsia" w:ascii="楷体" w:hAnsi="楷体" w:eastAsia="楷体"/>
          <w:sz w:val="21"/>
          <w:szCs w:val="21"/>
        </w:rPr>
        <w:t>本投资协议书与</w:t>
      </w:r>
      <w:r>
        <w:rPr>
          <w:rFonts w:hint="eastAsia" w:ascii="楷体" w:hAnsi="楷体" w:eastAsia="楷体"/>
          <w:sz w:val="21"/>
          <w:szCs w:val="21"/>
          <w:lang w:val="en-US" w:eastAsia="zh-CN"/>
        </w:rPr>
        <w:t>理财产品（</w:t>
      </w:r>
      <w:r>
        <w:rPr>
          <w:rFonts w:hint="eastAsia" w:ascii="楷体" w:hAnsi="楷体" w:eastAsia="楷体"/>
          <w:sz w:val="21"/>
          <w:szCs w:val="21"/>
        </w:rPr>
        <w:t>代理</w:t>
      </w:r>
      <w:r>
        <w:rPr>
          <w:rFonts w:hint="eastAsia" w:ascii="楷体" w:hAnsi="楷体" w:eastAsia="楷体"/>
          <w:sz w:val="21"/>
          <w:szCs w:val="21"/>
          <w:lang w:eastAsia="zh-CN"/>
        </w:rPr>
        <w:t>）</w:t>
      </w:r>
      <w:r>
        <w:rPr>
          <w:rFonts w:hint="eastAsia" w:ascii="楷体" w:hAnsi="楷体" w:eastAsia="楷体"/>
          <w:sz w:val="21"/>
          <w:szCs w:val="21"/>
        </w:rPr>
        <w:t>销售协议书、理财产品说明书、风险揭示书、投资者权益须知等销售文件构成完整的不可分割的理财产品合同。</w:t>
      </w:r>
      <w:r>
        <w:rPr>
          <w:rFonts w:hint="eastAsia" w:ascii="楷体" w:hAnsi="楷体" w:eastAsia="楷体"/>
          <w:sz w:val="21"/>
          <w:szCs w:val="21"/>
          <w:lang w:val="en-US" w:eastAsia="zh-CN"/>
        </w:rPr>
        <w:t>乙方</w:t>
      </w:r>
      <w:r>
        <w:rPr>
          <w:rFonts w:hint="eastAsia" w:ascii="楷体" w:hAnsi="楷体" w:eastAsia="楷体"/>
          <w:sz w:val="21"/>
          <w:szCs w:val="21"/>
        </w:rPr>
        <w:t>作为理财产品管理人建议投资者在购买对应期次理财产品（以下简称“本理财产品”）前认真阅读相关理财产品合同或咨询专业理财经理。</w:t>
      </w:r>
      <w:r>
        <w:rPr>
          <w:rFonts w:hint="eastAsia" w:ascii="楷体" w:hAnsi="楷体" w:eastAsia="楷体"/>
          <w:sz w:val="21"/>
          <w:szCs w:val="21"/>
          <w:lang w:val="en-US" w:eastAsia="zh-CN"/>
        </w:rPr>
        <w:t>甲方</w:t>
      </w:r>
      <w:r>
        <w:rPr>
          <w:rFonts w:hint="eastAsia" w:ascii="楷体" w:hAnsi="楷体" w:eastAsia="楷体"/>
          <w:sz w:val="21"/>
          <w:szCs w:val="21"/>
        </w:rPr>
        <w:t>签署本投资协议（含电子渠道确认）则被视为已详细阅读过本投资协议及完整理财产品合同，并充分理解合同条款和潜在风险，自愿购买本理财产品，并遵守理财产品合同中的各项规定。</w:t>
      </w:r>
      <w:r>
        <w:rPr>
          <w:rFonts w:hint="eastAsia" w:ascii="楷体" w:hAnsi="楷体" w:eastAsia="楷体"/>
          <w:b/>
          <w:sz w:val="21"/>
          <w:szCs w:val="21"/>
          <w:u w:val="single"/>
        </w:rPr>
        <w:t>本理财产品不保证本金和收益。受各种市场波动因素影响，本理财产品可能存在包括但不限于政策风险、信用风险、市场风险、流动性风险、管理风险、操作风险、兑付延期风险、提前终止风险、信息传递风险、代销风险、</w:t>
      </w:r>
      <w:r>
        <w:rPr>
          <w:rFonts w:hint="eastAsia" w:ascii="楷体" w:hAnsi="楷体" w:eastAsia="楷体"/>
          <w:b/>
          <w:sz w:val="21"/>
          <w:szCs w:val="21"/>
          <w:u w:val="single"/>
          <w:lang w:val="en-US" w:eastAsia="zh-CN"/>
        </w:rPr>
        <w:t>关联交易风险、</w:t>
      </w:r>
      <w:r>
        <w:rPr>
          <w:rFonts w:hint="eastAsia" w:ascii="楷体" w:hAnsi="楷体" w:eastAsia="楷体"/>
          <w:b/>
          <w:sz w:val="21"/>
          <w:szCs w:val="21"/>
          <w:u w:val="single"/>
        </w:rPr>
        <w:t>标的资产的特别投资风险及其他风险，具体风险因素由</w:t>
      </w:r>
      <w:r>
        <w:rPr>
          <w:rFonts w:hint="eastAsia" w:ascii="楷体" w:hAnsi="楷体" w:eastAsia="楷体"/>
          <w:b/>
          <w:sz w:val="21"/>
          <w:szCs w:val="21"/>
          <w:u w:val="single"/>
          <w:lang w:val="en-US" w:eastAsia="zh-CN"/>
        </w:rPr>
        <w:t>乙方</w:t>
      </w:r>
      <w:r>
        <w:rPr>
          <w:rFonts w:hint="eastAsia" w:ascii="楷体" w:hAnsi="楷体" w:eastAsia="楷体"/>
          <w:b/>
          <w:sz w:val="21"/>
          <w:szCs w:val="21"/>
          <w:u w:val="single"/>
        </w:rPr>
        <w:t>在理财产品风险揭示书中揭示。请您</w:t>
      </w:r>
      <w:r>
        <w:rPr>
          <w:rFonts w:hint="eastAsia" w:ascii="楷体" w:hAnsi="楷体" w:eastAsia="楷体"/>
          <w:b/>
          <w:sz w:val="21"/>
          <w:szCs w:val="21"/>
          <w:u w:val="single"/>
          <w:lang w:val="en-US" w:eastAsia="zh-CN"/>
        </w:rPr>
        <w:t>仔细阅读并</w:t>
      </w:r>
      <w:r>
        <w:rPr>
          <w:rFonts w:hint="eastAsia" w:ascii="楷体" w:hAnsi="楷体" w:eastAsia="楷体"/>
          <w:b/>
          <w:sz w:val="21"/>
          <w:szCs w:val="21"/>
          <w:u w:val="single"/>
        </w:rPr>
        <w:t>充分认识投资风险，谨慎投资。</w:t>
      </w:r>
    </w:p>
    <w:p>
      <w:pPr>
        <w:ind w:firstLine="422" w:firstLineChars="200"/>
        <w:rPr>
          <w:rFonts w:hint="eastAsia" w:ascii="楷体" w:hAnsi="楷体" w:eastAsia="楷体"/>
          <w:b/>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甲方</w:t>
      </w:r>
      <w:r>
        <w:rPr>
          <w:rFonts w:hint="eastAsia" w:ascii="楷体" w:hAnsi="楷体" w:eastAsia="楷体"/>
          <w:b/>
          <w:sz w:val="21"/>
          <w:szCs w:val="21"/>
        </w:rPr>
        <w:t>的权利义务</w:t>
      </w:r>
    </w:p>
    <w:p>
      <w:pPr>
        <w:numPr>
          <w:ilvl w:val="0"/>
          <w:numId w:val="0"/>
        </w:numPr>
        <w:ind w:left="0" w:firstLine="422" w:firstLineChars="200"/>
        <w:rPr>
          <w:rFonts w:hint="eastAsia" w:ascii="楷体" w:hAnsi="楷体" w:eastAsia="楷体" w:cs="Times New Roman"/>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甲方</w:t>
      </w:r>
      <w:r>
        <w:rPr>
          <w:rFonts w:hint="eastAsia" w:ascii="楷体" w:hAnsi="楷体" w:eastAsia="楷体"/>
          <w:b/>
          <w:sz w:val="21"/>
          <w:szCs w:val="21"/>
        </w:rPr>
        <w:t>的权利：</w:t>
      </w:r>
      <w:r>
        <w:rPr>
          <w:rFonts w:hint="eastAsia" w:ascii="楷体" w:hAnsi="楷体" w:eastAsia="楷体" w:cs="Times New Roman"/>
          <w:sz w:val="21"/>
          <w:szCs w:val="21"/>
        </w:rPr>
        <w:t>按理财产品合同的约定取得理财收益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cs="Times New Roman"/>
          <w:sz w:val="21"/>
          <w:szCs w:val="21"/>
        </w:rPr>
        <w:t>；按理财产品合同的约定查询获得披露的理财产品信息资料；产品终止后对清算后的理财产品资产净值按理财产品持有份额比例参与分配；要求</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或理财产品托管人及时</w:t>
      </w:r>
      <w:r>
        <w:rPr>
          <w:rFonts w:hint="eastAsia" w:ascii="楷体" w:hAnsi="楷体" w:eastAsia="楷体" w:cs="Times New Roman"/>
          <w:sz w:val="21"/>
          <w:szCs w:val="21"/>
          <w:lang w:val="en-US" w:eastAsia="zh-CN"/>
        </w:rPr>
        <w:t>履行</w:t>
      </w:r>
      <w:r>
        <w:rPr>
          <w:rFonts w:hint="eastAsia" w:ascii="楷体" w:hAnsi="楷体" w:eastAsia="楷体" w:cs="Times New Roman"/>
          <w:sz w:val="21"/>
          <w:szCs w:val="21"/>
        </w:rPr>
        <w:t>法律法规、理财产品合同所规定的义务；对</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、理财产品托管人损害其合法权益</w:t>
      </w:r>
      <w:r>
        <w:rPr>
          <w:rFonts w:hint="eastAsia" w:ascii="楷体" w:hAnsi="楷体" w:eastAsia="楷体" w:cs="Times New Roman"/>
          <w:sz w:val="21"/>
          <w:szCs w:val="21"/>
          <w:lang w:val="en-US" w:eastAsia="zh-CN"/>
        </w:rPr>
        <w:t>的行为</w:t>
      </w:r>
      <w:r>
        <w:rPr>
          <w:rFonts w:hint="eastAsia" w:ascii="楷体" w:hAnsi="楷体" w:eastAsia="楷体" w:cs="Times New Roman"/>
          <w:sz w:val="21"/>
          <w:szCs w:val="21"/>
        </w:rPr>
        <w:t>而要求予以赔偿；法律法规、理财产品合同规定的其它权利。</w:t>
      </w:r>
    </w:p>
    <w:p>
      <w:pPr>
        <w:numPr>
          <w:ilvl w:val="0"/>
          <w:numId w:val="21"/>
        </w:numPr>
        <w:ind w:left="0" w:firstLine="422" w:firstLineChars="200"/>
        <w:rPr>
          <w:rFonts w:hint="eastAsia" w:ascii="楷体" w:hAnsi="楷体" w:eastAsia="楷体" w:cs="Times New Roman"/>
          <w:sz w:val="21"/>
          <w:szCs w:val="21"/>
        </w:rPr>
      </w:pPr>
      <w:r>
        <w:rPr>
          <w:rFonts w:hint="eastAsia" w:ascii="楷体" w:hAnsi="楷体" w:eastAsia="楷体"/>
          <w:b/>
          <w:sz w:val="21"/>
          <w:szCs w:val="21"/>
          <w:lang w:val="en-US" w:eastAsia="zh-CN"/>
        </w:rPr>
        <w:t>甲方</w:t>
      </w:r>
      <w:r>
        <w:rPr>
          <w:rFonts w:hint="eastAsia" w:ascii="楷体" w:hAnsi="楷体" w:eastAsia="楷体"/>
          <w:b/>
          <w:sz w:val="21"/>
          <w:szCs w:val="21"/>
        </w:rPr>
        <w:t>的义务：</w:t>
      </w:r>
      <w:r>
        <w:rPr>
          <w:rFonts w:hint="eastAsia" w:ascii="楷体" w:hAnsi="楷体" w:eastAsia="楷体" w:cs="Times New Roman"/>
          <w:sz w:val="21"/>
          <w:szCs w:val="21"/>
        </w:rPr>
        <w:t>遵守有关法律法规和理财产品合同的约定；以其对理财产品的投资额为限承担本理财产品亏损或者终止的有限责任；不从事任何有损本理财产品及本理财产品其他理财产品合同当事人合法权益的活动；返还其在理财投资过程中取得的不当得利；法律法规</w:t>
      </w:r>
      <w:r>
        <w:rPr>
          <w:rFonts w:hint="eastAsia" w:ascii="楷体" w:hAnsi="楷体" w:eastAsia="楷体" w:cs="Times New Roman"/>
          <w:sz w:val="21"/>
          <w:szCs w:val="21"/>
          <w:lang w:val="en-US" w:eastAsia="zh-CN"/>
        </w:rPr>
        <w:t>以及</w:t>
      </w:r>
      <w:r>
        <w:rPr>
          <w:rFonts w:hint="eastAsia" w:ascii="楷体" w:hAnsi="楷体" w:eastAsia="楷体" w:cs="Times New Roman"/>
          <w:sz w:val="21"/>
          <w:szCs w:val="21"/>
        </w:rPr>
        <w:t>理财产品合同所规定的其它义务。</w:t>
      </w:r>
    </w:p>
    <w:p>
      <w:pPr>
        <w:ind w:firstLine="422" w:firstLineChars="200"/>
        <w:rPr>
          <w:rFonts w:hint="eastAsia" w:ascii="楷体" w:hAnsi="楷体" w:eastAsia="楷体"/>
          <w:b/>
          <w:sz w:val="21"/>
          <w:szCs w:val="21"/>
        </w:rPr>
      </w:pPr>
      <w:r>
        <w:rPr>
          <w:rFonts w:hint="eastAsia" w:ascii="楷体" w:hAnsi="楷体" w:eastAsia="楷体"/>
          <w:b/>
          <w:sz w:val="21"/>
          <w:szCs w:val="21"/>
        </w:rPr>
        <w:t>三、</w:t>
      </w:r>
      <w:r>
        <w:rPr>
          <w:rFonts w:hint="eastAsia" w:ascii="楷体" w:hAnsi="楷体" w:eastAsia="楷体"/>
          <w:b/>
          <w:sz w:val="21"/>
          <w:szCs w:val="21"/>
          <w:lang w:val="en-US" w:eastAsia="zh-CN"/>
        </w:rPr>
        <w:t>乙方</w:t>
      </w:r>
      <w:r>
        <w:rPr>
          <w:rFonts w:hint="eastAsia" w:ascii="楷体" w:hAnsi="楷体" w:eastAsia="楷体"/>
          <w:b/>
          <w:sz w:val="21"/>
          <w:szCs w:val="21"/>
        </w:rPr>
        <w:t>的权利义务</w:t>
      </w:r>
    </w:p>
    <w:p>
      <w:pPr>
        <w:ind w:firstLine="422" w:firstLineChars="200"/>
        <w:rPr>
          <w:rFonts w:hint="eastAsia" w:ascii="楷体" w:hAnsi="楷体" w:eastAsia="楷体"/>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乙方</w:t>
      </w:r>
      <w:r>
        <w:rPr>
          <w:rFonts w:hint="eastAsia" w:ascii="楷体" w:hAnsi="楷体" w:eastAsia="楷体"/>
          <w:b/>
          <w:sz w:val="21"/>
          <w:szCs w:val="21"/>
        </w:rPr>
        <w:t>的权利：</w:t>
      </w:r>
      <w:r>
        <w:rPr>
          <w:rFonts w:hint="eastAsia" w:ascii="楷体" w:hAnsi="楷体" w:eastAsia="楷体"/>
          <w:sz w:val="21"/>
          <w:szCs w:val="21"/>
        </w:rPr>
        <w:t>乙方按照法律法规和理财产品</w:t>
      </w:r>
      <w:r>
        <w:rPr>
          <w:rFonts w:hint="eastAsia" w:ascii="楷体" w:hAnsi="楷体" w:eastAsia="楷体"/>
          <w:sz w:val="21"/>
          <w:szCs w:val="21"/>
          <w:lang w:val="en-US" w:eastAsia="zh-CN"/>
        </w:rPr>
        <w:t>合同</w:t>
      </w:r>
      <w:r>
        <w:rPr>
          <w:rFonts w:hint="eastAsia" w:ascii="楷体" w:hAnsi="楷体" w:eastAsia="楷体"/>
          <w:sz w:val="21"/>
          <w:szCs w:val="21"/>
        </w:rPr>
        <w:t>的约定，诚实信用、谨慎勤勉地实施投资管理行为，以专业技能管理理财产品资产，依法维护理财产品全体投资者的利益；</w:t>
      </w:r>
    </w:p>
    <w:p>
      <w:pPr>
        <w:numPr>
          <w:ilvl w:val="0"/>
          <w:numId w:val="0"/>
        </w:numPr>
        <w:ind w:left="0" w:firstLine="0"/>
        <w:rPr>
          <w:rFonts w:hint="eastAsia" w:ascii="楷体" w:hAnsi="楷体" w:eastAsia="楷体"/>
          <w:sz w:val="21"/>
          <w:szCs w:val="21"/>
        </w:rPr>
      </w:pPr>
      <w:r>
        <w:rPr>
          <w:rFonts w:hint="eastAsia" w:ascii="楷体" w:hAnsi="楷体" w:eastAsia="楷体"/>
          <w:sz w:val="21"/>
          <w:szCs w:val="21"/>
        </w:rPr>
        <w:t>为理财产品的利益依法为理财产品进行融资；按照法律法规，代表理财产品对被投资企业行使行使权利（如被投资企业股东权利等）；以</w:t>
      </w:r>
      <w:r>
        <w:rPr>
          <w:rFonts w:hint="eastAsia" w:ascii="楷体" w:hAnsi="楷体" w:eastAsia="楷体"/>
          <w:sz w:val="21"/>
          <w:szCs w:val="21"/>
          <w:lang w:val="en-US" w:eastAsia="zh-CN"/>
        </w:rPr>
        <w:t>乙方</w:t>
      </w:r>
      <w:r>
        <w:rPr>
          <w:rFonts w:hint="eastAsia" w:ascii="楷体" w:hAnsi="楷体" w:eastAsia="楷体"/>
          <w:sz w:val="21"/>
          <w:szCs w:val="21"/>
        </w:rPr>
        <w:t>名义，代表理财份额持有人利益行使诉讼权利或者实施其他法律行为；依据法律法规和理财产品合同的约定监督理财产品托管人，如认为理财产品托管人违反了法律法规或理财产品合同约定，对理财产品资产、其它理财产品合同当事人的利益造成重大损失的，应及时呈报监管机构，以及采取其它必要措施以保护本理财产品及相关理财产品合同当事人的利益；选择、更换律师、审计师、证券经纪商或其他为理财产品提供服务的外部机构并确定有关费率；法律法规、理财产品合同规定的其它权利。</w:t>
      </w:r>
    </w:p>
    <w:p>
      <w:pPr>
        <w:numPr>
          <w:ilvl w:val="0"/>
          <w:numId w:val="0"/>
        </w:numPr>
        <w:ind w:left="0" w:firstLine="527" w:firstLineChars="250"/>
        <w:jc w:val="left"/>
        <w:rPr>
          <w:rFonts w:ascii="楷体" w:hAnsi="楷体" w:eastAsia="楷体"/>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乙方</w:t>
      </w:r>
      <w:r>
        <w:rPr>
          <w:rFonts w:hint="eastAsia" w:ascii="楷体" w:hAnsi="楷体" w:eastAsia="楷体"/>
          <w:b/>
          <w:sz w:val="21"/>
          <w:szCs w:val="21"/>
        </w:rPr>
        <w:t>的义务：</w:t>
      </w:r>
      <w:r>
        <w:rPr>
          <w:rFonts w:hint="eastAsia" w:ascii="楷体" w:hAnsi="楷体" w:eastAsia="楷体"/>
          <w:sz w:val="21"/>
          <w:szCs w:val="21"/>
        </w:rPr>
        <w:t>遵守法律法规和理财产品合同的约定；</w:t>
      </w:r>
      <w:r>
        <w:rPr>
          <w:rFonts w:hint="eastAsia" w:ascii="楷体" w:hAnsi="楷体" w:eastAsia="楷体" w:cs="Times New Roman"/>
          <w:sz w:val="21"/>
          <w:szCs w:val="21"/>
        </w:rPr>
        <w:t>恪尽职守，依照诚实信用、勤勉尽责的原则，谨慎、有效管理和运用理</w:t>
      </w:r>
      <w:r>
        <w:rPr>
          <w:rFonts w:hint="eastAsia" w:ascii="楷体" w:hAnsi="楷体" w:eastAsia="楷体" w:cs="Times New Roman"/>
          <w:sz w:val="21"/>
          <w:szCs w:val="21"/>
          <w:lang w:val="en-US" w:eastAsia="zh-CN"/>
        </w:rPr>
        <w:t>财</w:t>
      </w:r>
      <w:r>
        <w:rPr>
          <w:rFonts w:hint="eastAsia" w:ascii="楷体" w:hAnsi="楷体" w:eastAsia="楷体" w:cs="Times New Roman"/>
          <w:sz w:val="21"/>
          <w:szCs w:val="21"/>
        </w:rPr>
        <w:t>资产；</w:t>
      </w:r>
      <w:r>
        <w:rPr>
          <w:rFonts w:hint="eastAsia" w:ascii="楷体" w:hAnsi="楷体" w:eastAsia="楷体"/>
          <w:sz w:val="21"/>
          <w:szCs w:val="21"/>
        </w:rPr>
        <w:t>设置相应的部门并配备足够的具有专业资格的人员进行理财投资分析、决策，以专业化的经营方式管理和运作理财资产，防范和减少风险；建立健全内部控制制度，保证</w:t>
      </w:r>
      <w:r>
        <w:rPr>
          <w:rFonts w:hint="eastAsia" w:ascii="楷体" w:hAnsi="楷体" w:eastAsia="楷体"/>
          <w:sz w:val="21"/>
          <w:szCs w:val="21"/>
          <w:lang w:val="en-US" w:eastAsia="zh-CN"/>
        </w:rPr>
        <w:t>乙方</w:t>
      </w:r>
      <w:r>
        <w:rPr>
          <w:rFonts w:hint="eastAsia" w:ascii="楷体" w:hAnsi="楷体" w:eastAsia="楷体"/>
          <w:sz w:val="21"/>
          <w:szCs w:val="21"/>
        </w:rPr>
        <w:t>的固有财产和理财财产相互独立，对所管理的不同理财财产分别管理、分别记账，进行投资；除依据法律法规和理财产品合同的约定外，不得利用理财资产为</w:t>
      </w:r>
      <w:r>
        <w:rPr>
          <w:rFonts w:hint="eastAsia" w:ascii="楷体" w:hAnsi="楷体" w:eastAsia="楷体"/>
          <w:sz w:val="21"/>
          <w:szCs w:val="21"/>
          <w:lang w:val="en-US" w:eastAsia="zh-CN"/>
        </w:rPr>
        <w:t>乙方</w:t>
      </w:r>
      <w:r>
        <w:rPr>
          <w:rFonts w:hint="eastAsia" w:ascii="楷体" w:hAnsi="楷体" w:eastAsia="楷体"/>
          <w:sz w:val="21"/>
          <w:szCs w:val="21"/>
        </w:rPr>
        <w:t>自身及任何第三方谋取利益；接受理财产品托管人对理财产品投资运作的监督；严格按照法律法规和理财产品合同的约定履行信息披露及报告义务；依据理财产品合同</w:t>
      </w:r>
      <w:r>
        <w:rPr>
          <w:rFonts w:hint="eastAsia" w:ascii="楷体" w:hAnsi="楷体" w:eastAsia="楷体" w:cs="Times New Roman"/>
          <w:sz w:val="21"/>
          <w:szCs w:val="21"/>
          <w:lang w:val="en-US" w:eastAsia="zh-CN"/>
        </w:rPr>
        <w:t>约定</w:t>
      </w:r>
      <w:r>
        <w:rPr>
          <w:rFonts w:hint="eastAsia" w:ascii="楷体" w:hAnsi="楷体" w:eastAsia="楷体"/>
          <w:sz w:val="21"/>
          <w:szCs w:val="21"/>
        </w:rPr>
        <w:t>制订理财收益分配方案并向本理财产品的理财份额持有人分配理财收益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sz w:val="21"/>
          <w:szCs w:val="21"/>
        </w:rPr>
        <w:t>；不从事任何有损本理财产品</w:t>
      </w:r>
      <w:r>
        <w:rPr>
          <w:rFonts w:hint="eastAsia" w:ascii="楷体" w:hAnsi="楷体" w:eastAsia="楷体"/>
          <w:sz w:val="21"/>
          <w:szCs w:val="21"/>
          <w:lang w:val="en-US" w:eastAsia="zh-CN"/>
        </w:rPr>
        <w:t>其他</w:t>
      </w:r>
      <w:r>
        <w:rPr>
          <w:rFonts w:hint="eastAsia" w:ascii="楷体" w:hAnsi="楷体" w:eastAsia="楷体"/>
          <w:sz w:val="21"/>
          <w:szCs w:val="21"/>
        </w:rPr>
        <w:t>当事人合法权益的活动。法律法规、理财产品合同规定的其它权利。</w:t>
      </w:r>
    </w:p>
    <w:p>
      <w:pPr>
        <w:ind w:firstLine="422" w:firstLineChars="200"/>
        <w:rPr>
          <w:rFonts w:ascii="楷体" w:hAnsi="楷体" w:eastAsia="楷体"/>
          <w:b/>
          <w:sz w:val="21"/>
          <w:szCs w:val="21"/>
        </w:rPr>
      </w:pPr>
      <w:r>
        <w:rPr>
          <w:rFonts w:hint="eastAsia" w:ascii="楷体" w:hAnsi="楷体" w:eastAsia="楷体"/>
          <w:b/>
          <w:sz w:val="21"/>
          <w:szCs w:val="21"/>
          <w:lang w:val="en-US" w:eastAsia="zh-CN"/>
        </w:rPr>
        <w:t>四</w:t>
      </w:r>
      <w:r>
        <w:rPr>
          <w:rFonts w:hint="eastAsia" w:ascii="楷体" w:hAnsi="楷体" w:eastAsia="楷体"/>
          <w:b/>
          <w:sz w:val="21"/>
          <w:szCs w:val="21"/>
        </w:rPr>
        <w:t>、</w:t>
      </w:r>
      <w:r>
        <w:rPr>
          <w:rFonts w:ascii="楷体" w:hAnsi="楷体" w:eastAsia="楷体"/>
          <w:b/>
          <w:sz w:val="21"/>
          <w:szCs w:val="21"/>
        </w:rPr>
        <w:t>违约责任</w:t>
      </w:r>
    </w:p>
    <w:p>
      <w:pPr>
        <w:ind w:firstLine="420" w:firstLineChars="200"/>
        <w:rPr>
          <w:rFonts w:hint="eastAsia" w:ascii="楷体" w:hAnsi="楷体" w:eastAsia="楷体"/>
          <w:sz w:val="21"/>
          <w:szCs w:val="21"/>
        </w:rPr>
      </w:pPr>
      <w:r>
        <w:rPr>
          <w:rFonts w:hint="eastAsia" w:ascii="楷体" w:hAnsi="楷体" w:eastAsia="楷体"/>
          <w:sz w:val="21"/>
          <w:szCs w:val="21"/>
          <w:lang w:val="en-US" w:eastAsia="zh-CN"/>
        </w:rPr>
        <w:t xml:space="preserve">1. </w:t>
      </w:r>
      <w:r>
        <w:rPr>
          <w:rFonts w:hint="eastAsia" w:ascii="楷体" w:hAnsi="楷体" w:eastAsia="楷体"/>
          <w:sz w:val="21"/>
          <w:szCs w:val="21"/>
        </w:rPr>
        <w:t>由于本协议一方当事人的过错，造成本协议不能履行或不能完全履行的，由有过错的一方承担违约责任；如双方同时负有过错，则应由双方各自按照过错程度承担责任。</w:t>
      </w:r>
    </w:p>
    <w:p>
      <w:pPr>
        <w:ind w:firstLine="422" w:firstLineChars="200"/>
        <w:rPr>
          <w:rFonts w:hint="eastAsia" w:ascii="楷体" w:hAnsi="楷体" w:eastAsia="楷体"/>
          <w:sz w:val="21"/>
          <w:szCs w:val="21"/>
        </w:rPr>
      </w:pPr>
      <w:r>
        <w:rPr>
          <w:rFonts w:hint="eastAsia" w:ascii="楷体" w:hAnsi="楷体" w:eastAsia="楷体"/>
          <w:b/>
          <w:sz w:val="21"/>
          <w:szCs w:val="21"/>
          <w:lang w:val="en-US" w:eastAsia="zh-CN"/>
        </w:rPr>
        <w:t xml:space="preserve">2. </w:t>
      </w:r>
      <w:r>
        <w:rPr>
          <w:rFonts w:hint="eastAsia" w:ascii="楷体" w:hAnsi="楷体" w:eastAsia="楷体"/>
          <w:b/>
          <w:sz w:val="21"/>
          <w:szCs w:val="21"/>
        </w:rPr>
        <w:t>双方同意，发生下列情况造成损失时，按以下约定承担责任</w:t>
      </w:r>
      <w:r>
        <w:rPr>
          <w:rFonts w:hint="eastAsia" w:ascii="楷体" w:hAnsi="楷体" w:eastAsia="楷体"/>
          <w:sz w:val="21"/>
          <w:szCs w:val="21"/>
        </w:rPr>
        <w:t>：</w:t>
      </w:r>
    </w:p>
    <w:p>
      <w:pPr>
        <w:ind w:firstLine="420" w:firstLineChars="200"/>
        <w:rPr>
          <w:rFonts w:hint="eastAsia" w:ascii="楷体" w:hAnsi="楷体" w:eastAsia="楷体"/>
          <w:sz w:val="21"/>
          <w:szCs w:val="21"/>
        </w:rPr>
      </w:pPr>
      <w:r>
        <w:rPr>
          <w:rFonts w:hint="eastAsia" w:ascii="楷体" w:hAnsi="楷体" w:eastAsia="楷体"/>
          <w:sz w:val="21"/>
          <w:szCs w:val="21"/>
        </w:rPr>
        <w:t>（1）对由于国家有关法律、法规、规章、政策的变化，监管机构管理规则的修改、紧急措施的出台等原因而导致的相关风险及损失，双方当事人互不承担责任；</w:t>
      </w:r>
    </w:p>
    <w:p>
      <w:pPr>
        <w:ind w:firstLine="420" w:firstLineChars="200"/>
        <w:rPr>
          <w:rFonts w:ascii="楷体" w:hAnsi="楷体" w:eastAsia="楷体"/>
          <w:sz w:val="21"/>
          <w:szCs w:val="21"/>
        </w:rPr>
      </w:pPr>
      <w:r>
        <w:rPr>
          <w:rFonts w:hint="eastAsia" w:ascii="楷体" w:hAnsi="楷体" w:eastAsia="楷体"/>
          <w:sz w:val="21"/>
          <w:szCs w:val="21"/>
        </w:rPr>
        <w:t>（2）</w:t>
      </w:r>
      <w:r>
        <w:rPr>
          <w:rFonts w:hint="eastAsia" w:ascii="楷体" w:hAnsi="楷体" w:eastAsia="楷体"/>
          <w:b/>
          <w:sz w:val="21"/>
          <w:szCs w:val="21"/>
        </w:rPr>
        <w:t>如甲方违反本协议</w:t>
      </w:r>
      <w:r>
        <w:rPr>
          <w:rFonts w:hint="eastAsia" w:ascii="楷体" w:hAnsi="楷体" w:eastAsia="楷体"/>
          <w:b/>
          <w:sz w:val="21"/>
          <w:szCs w:val="21"/>
          <w:lang w:val="en-US" w:eastAsia="zh-CN"/>
        </w:rPr>
        <w:t>约定</w:t>
      </w:r>
      <w:r>
        <w:rPr>
          <w:rFonts w:hint="eastAsia" w:ascii="楷体" w:hAnsi="楷体" w:eastAsia="楷体"/>
          <w:b/>
          <w:sz w:val="21"/>
          <w:szCs w:val="21"/>
        </w:rPr>
        <w:t>，或本产品甲方所涉及的资金被有权机关全部或部分冻结或者扣划</w:t>
      </w:r>
      <w:r>
        <w:rPr>
          <w:rFonts w:hint="eastAsia" w:ascii="楷体" w:hAnsi="楷体" w:eastAsia="楷体" w:cs="Times New Roman"/>
          <w:b/>
          <w:sz w:val="21"/>
          <w:szCs w:val="21"/>
        </w:rPr>
        <w:t>，或乙方发现或有合理理由怀疑甲方或其资金存在洗钱、恐怖融资、逃税等嫌疑</w:t>
      </w:r>
      <w:r>
        <w:rPr>
          <w:rFonts w:hint="eastAsia" w:ascii="楷体" w:hAnsi="楷体" w:eastAsia="楷体" w:cs="Times New Roman"/>
          <w:b/>
          <w:sz w:val="21"/>
          <w:szCs w:val="21"/>
          <w:lang w:eastAsia="zh-CN"/>
        </w:rPr>
        <w:t>，</w:t>
      </w:r>
      <w:r>
        <w:rPr>
          <w:rFonts w:hint="eastAsia" w:ascii="楷体" w:hAnsi="楷体" w:eastAsia="楷体" w:cs="Times New Roman"/>
          <w:b/>
          <w:sz w:val="21"/>
          <w:szCs w:val="21"/>
        </w:rPr>
        <w:t>乙方有权</w:t>
      </w:r>
      <w:r>
        <w:rPr>
          <w:rFonts w:hint="eastAsia" w:ascii="楷体" w:hAnsi="楷体" w:eastAsia="楷体"/>
          <w:b/>
          <w:sz w:val="21"/>
          <w:szCs w:val="21"/>
        </w:rPr>
        <w:t>提前终止本合同，且乙方不承担相应责任，如因甲方的违约违法违规行为给乙方或产品其他投资者造成损失的，甲方应承担</w:t>
      </w:r>
      <w:r>
        <w:rPr>
          <w:rFonts w:hint="eastAsia" w:ascii="楷体" w:hAnsi="楷体" w:eastAsia="楷体"/>
          <w:b/>
          <w:sz w:val="21"/>
          <w:szCs w:val="21"/>
          <w:lang w:val="en-US" w:eastAsia="zh-CN"/>
        </w:rPr>
        <w:t>相应法律责任及违约责任</w:t>
      </w:r>
      <w:r>
        <w:rPr>
          <w:rFonts w:hint="eastAsia" w:ascii="楷体" w:hAnsi="楷体" w:eastAsia="楷体"/>
          <w:b/>
          <w:sz w:val="21"/>
          <w:szCs w:val="21"/>
        </w:rPr>
        <w:t>。</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五</w:t>
      </w:r>
      <w:r>
        <w:rPr>
          <w:rFonts w:hint="eastAsia" w:ascii="楷体" w:hAnsi="楷体" w:eastAsia="楷体"/>
          <w:b/>
          <w:sz w:val="21"/>
          <w:szCs w:val="21"/>
        </w:rPr>
        <w:t>、免责条款</w:t>
      </w:r>
    </w:p>
    <w:p>
      <w:pPr>
        <w:ind w:firstLine="420"/>
        <w:rPr>
          <w:rFonts w:hint="eastAsia" w:ascii="楷体" w:hAnsi="楷体" w:eastAsia="楷体"/>
          <w:sz w:val="21"/>
          <w:szCs w:val="21"/>
        </w:rPr>
      </w:pPr>
      <w:r>
        <w:rPr>
          <w:rFonts w:hint="eastAsia" w:ascii="楷体" w:hAnsi="楷体" w:eastAsia="楷体"/>
          <w:sz w:val="21"/>
          <w:szCs w:val="21"/>
          <w:lang w:val="en-US" w:eastAsia="zh-CN"/>
        </w:rPr>
        <w:t xml:space="preserve">1. </w:t>
      </w:r>
      <w:r>
        <w:rPr>
          <w:rFonts w:hint="eastAsia" w:ascii="楷体" w:hAnsi="楷体" w:eastAsia="楷体"/>
          <w:sz w:val="21"/>
          <w:szCs w:val="21"/>
        </w:rPr>
        <w:t>由于地震、火灾、战争等不可抗力导致的交易中断、延误等风险及损失，</w:t>
      </w:r>
      <w:r>
        <w:rPr>
          <w:rFonts w:hint="eastAsia" w:ascii="楷体" w:hAnsi="楷体" w:eastAsia="楷体"/>
          <w:sz w:val="21"/>
          <w:szCs w:val="21"/>
          <w:lang w:val="en-US" w:eastAsia="zh-CN"/>
        </w:rPr>
        <w:t>乙方</w:t>
      </w:r>
      <w:r>
        <w:rPr>
          <w:rFonts w:hint="eastAsia" w:ascii="楷体" w:hAnsi="楷体" w:eastAsia="楷体"/>
          <w:sz w:val="21"/>
          <w:szCs w:val="21"/>
        </w:rPr>
        <w:t>不承担责任，但应在条件允许的情况下通知</w:t>
      </w:r>
      <w:r>
        <w:rPr>
          <w:rFonts w:hint="eastAsia" w:ascii="楷体" w:hAnsi="楷体" w:eastAsia="楷体"/>
          <w:sz w:val="21"/>
          <w:szCs w:val="21"/>
          <w:lang w:val="en-US" w:eastAsia="zh-CN"/>
        </w:rPr>
        <w:t>甲方</w:t>
      </w:r>
      <w:r>
        <w:rPr>
          <w:rFonts w:hint="eastAsia" w:ascii="楷体" w:hAnsi="楷体" w:eastAsia="楷体"/>
          <w:sz w:val="21"/>
          <w:szCs w:val="21"/>
        </w:rPr>
        <w:t>，并采取一切必要的补救措施以减小不可抗力造成的损失。</w:t>
      </w:r>
    </w:p>
    <w:p>
      <w:pPr>
        <w:ind w:firstLine="420"/>
        <w:rPr>
          <w:rFonts w:hint="eastAsia" w:ascii="楷体" w:hAnsi="楷体" w:eastAsia="楷体"/>
          <w:sz w:val="21"/>
          <w:szCs w:val="21"/>
        </w:rPr>
      </w:pPr>
      <w:r>
        <w:rPr>
          <w:rFonts w:hint="eastAsia" w:ascii="楷体" w:hAnsi="楷体" w:eastAsia="楷体"/>
          <w:sz w:val="21"/>
          <w:szCs w:val="21"/>
          <w:lang w:val="en-US" w:eastAsia="zh-CN"/>
        </w:rPr>
        <w:t xml:space="preserve">2. </w:t>
      </w:r>
      <w:r>
        <w:rPr>
          <w:rFonts w:hint="eastAsia" w:ascii="楷体" w:hAnsi="楷体" w:eastAsia="楷体"/>
          <w:sz w:val="21"/>
          <w:szCs w:val="21"/>
        </w:rPr>
        <w:t>由于国家的有关法律、法规、规章、政策的改变、紧急措施的出台而导致的风险，</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0"/>
        <w:rPr>
          <w:rFonts w:ascii="楷体" w:hAnsi="楷体" w:eastAsia="楷体"/>
          <w:sz w:val="21"/>
          <w:szCs w:val="21"/>
        </w:rPr>
      </w:pPr>
      <w:r>
        <w:rPr>
          <w:rFonts w:hint="eastAsia" w:ascii="楷体" w:hAnsi="楷体" w:eastAsia="楷体"/>
          <w:sz w:val="21"/>
          <w:szCs w:val="21"/>
          <w:lang w:val="en-US" w:eastAsia="zh-CN"/>
        </w:rPr>
        <w:t>3. 乙方</w:t>
      </w:r>
      <w:r>
        <w:rPr>
          <w:rFonts w:hint="eastAsia" w:ascii="楷体" w:hAnsi="楷体" w:eastAsia="楷体"/>
          <w:sz w:val="21"/>
          <w:szCs w:val="21"/>
        </w:rPr>
        <w:t>依照恪尽职守、诚实信用、谨慎勤勉的原则管理和运用理财产品财产，</w:t>
      </w:r>
      <w:r>
        <w:rPr>
          <w:rFonts w:hint="eastAsia" w:ascii="楷体" w:hAnsi="楷体" w:eastAsia="楷体"/>
          <w:b/>
          <w:bCs/>
          <w:sz w:val="21"/>
          <w:szCs w:val="21"/>
        </w:rPr>
        <w:t>但不保证理财产品财产中的认（申）购资金本金不受损失，也不保证一定盈利及最低收益。</w:t>
      </w:r>
      <w:r>
        <w:rPr>
          <w:rFonts w:hint="eastAsia" w:ascii="楷体" w:hAnsi="楷体" w:eastAsia="楷体"/>
          <w:sz w:val="21"/>
          <w:szCs w:val="21"/>
        </w:rPr>
        <w:t>本理财产品运作过程中，</w:t>
      </w:r>
      <w:r>
        <w:rPr>
          <w:rFonts w:hint="eastAsia" w:ascii="楷体" w:hAnsi="楷体" w:eastAsia="楷体"/>
          <w:sz w:val="21"/>
          <w:szCs w:val="21"/>
          <w:lang w:val="en-US" w:eastAsia="zh-CN"/>
        </w:rPr>
        <w:t>乙方</w:t>
      </w:r>
      <w:r>
        <w:rPr>
          <w:rFonts w:hint="eastAsia" w:ascii="楷体" w:hAnsi="楷体" w:eastAsia="楷体"/>
          <w:sz w:val="21"/>
          <w:szCs w:val="21"/>
        </w:rPr>
        <w:t>依据产品合同约定管理和运用理财产品财产所产生的风险，由理财产品财产及</w:t>
      </w:r>
      <w:r>
        <w:rPr>
          <w:rFonts w:hint="eastAsia" w:ascii="楷体" w:hAnsi="楷体" w:eastAsia="楷体"/>
          <w:sz w:val="21"/>
          <w:szCs w:val="21"/>
          <w:lang w:val="en-US" w:eastAsia="zh-CN"/>
        </w:rPr>
        <w:t>甲方</w:t>
      </w:r>
      <w:r>
        <w:rPr>
          <w:rFonts w:hint="eastAsia" w:ascii="楷体" w:hAnsi="楷体" w:eastAsia="楷体"/>
          <w:sz w:val="21"/>
          <w:szCs w:val="21"/>
        </w:rPr>
        <w:t>承担。</w:t>
      </w:r>
      <w:r>
        <w:rPr>
          <w:rFonts w:hint="eastAsia" w:ascii="楷体" w:hAnsi="楷体" w:eastAsia="楷体"/>
          <w:b/>
          <w:bCs/>
          <w:sz w:val="21"/>
          <w:szCs w:val="21"/>
          <w:lang w:val="en-US" w:eastAsia="zh-CN"/>
        </w:rPr>
        <w:t>甲方</w:t>
      </w:r>
      <w:r>
        <w:rPr>
          <w:rFonts w:hint="eastAsia" w:ascii="楷体" w:hAnsi="楷体" w:eastAsia="楷体"/>
          <w:b/>
          <w:bCs/>
          <w:sz w:val="21"/>
          <w:szCs w:val="21"/>
        </w:rPr>
        <w:t>应充分知晓投资运营的相关风险，具体风险详见风险揭示书及理财产品说明书的具体约定，其风险应由</w:t>
      </w:r>
      <w:r>
        <w:rPr>
          <w:rFonts w:hint="eastAsia" w:ascii="楷体" w:hAnsi="楷体" w:eastAsia="楷体"/>
          <w:b/>
          <w:bCs/>
          <w:sz w:val="21"/>
          <w:szCs w:val="21"/>
          <w:lang w:val="en-US" w:eastAsia="zh-CN"/>
        </w:rPr>
        <w:t>甲方</w:t>
      </w:r>
      <w:r>
        <w:rPr>
          <w:rFonts w:hint="eastAsia" w:ascii="楷体" w:hAnsi="楷体" w:eastAsia="楷体"/>
          <w:b/>
          <w:bCs/>
          <w:sz w:val="21"/>
          <w:szCs w:val="21"/>
        </w:rPr>
        <w:t>自担</w:t>
      </w:r>
      <w:r>
        <w:rPr>
          <w:rFonts w:hint="eastAsia" w:ascii="楷体" w:hAnsi="楷体" w:eastAsia="楷体"/>
          <w:sz w:val="21"/>
          <w:szCs w:val="21"/>
        </w:rPr>
        <w:t>。</w:t>
      </w:r>
    </w:p>
    <w:p>
      <w:pPr>
        <w:ind w:firstLine="420"/>
        <w:rPr>
          <w:rFonts w:ascii="楷体" w:hAnsi="楷体" w:eastAsia="楷体"/>
          <w:sz w:val="21"/>
          <w:szCs w:val="21"/>
        </w:rPr>
      </w:pPr>
      <w:r>
        <w:rPr>
          <w:rFonts w:hint="eastAsia" w:ascii="楷体" w:hAnsi="楷体" w:eastAsia="楷体"/>
          <w:sz w:val="21"/>
          <w:szCs w:val="21"/>
          <w:lang w:val="en-US" w:eastAsia="zh-CN"/>
        </w:rPr>
        <w:t xml:space="preserve">4. </w:t>
      </w:r>
      <w:r>
        <w:rPr>
          <w:rFonts w:hint="eastAsia" w:ascii="楷体" w:hAnsi="楷体" w:eastAsia="楷体"/>
          <w:sz w:val="21"/>
          <w:szCs w:val="21"/>
        </w:rPr>
        <w:t>非因</w:t>
      </w:r>
      <w:r>
        <w:rPr>
          <w:rFonts w:hint="eastAsia" w:ascii="楷体" w:hAnsi="楷体" w:eastAsia="楷体"/>
          <w:sz w:val="21"/>
          <w:szCs w:val="21"/>
          <w:lang w:val="en-US" w:eastAsia="zh-CN"/>
        </w:rPr>
        <w:t>乙方</w:t>
      </w:r>
      <w:r>
        <w:rPr>
          <w:rFonts w:hint="eastAsia" w:ascii="楷体" w:hAnsi="楷体" w:eastAsia="楷体"/>
          <w:sz w:val="21"/>
          <w:szCs w:val="21"/>
        </w:rPr>
        <w:t>原因（包括但不限于</w:t>
      </w:r>
      <w:r>
        <w:rPr>
          <w:rFonts w:hint="eastAsia" w:ascii="楷体" w:hAnsi="楷体" w:eastAsia="楷体"/>
          <w:sz w:val="21"/>
          <w:szCs w:val="21"/>
          <w:lang w:val="en-US" w:eastAsia="zh-CN"/>
        </w:rPr>
        <w:t>甲方</w:t>
      </w:r>
      <w:r>
        <w:rPr>
          <w:rFonts w:hint="eastAsia" w:ascii="楷体" w:hAnsi="楷体" w:eastAsia="楷体"/>
          <w:sz w:val="21"/>
          <w:szCs w:val="21"/>
        </w:rPr>
        <w:t>遗失本协议、理财产品合同被盗用、</w:t>
      </w:r>
      <w:r>
        <w:rPr>
          <w:rFonts w:hint="eastAsia" w:ascii="楷体" w:hAnsi="楷体" w:eastAsia="楷体"/>
          <w:sz w:val="21"/>
          <w:szCs w:val="21"/>
          <w:lang w:val="en-US" w:eastAsia="zh-CN"/>
        </w:rPr>
        <w:t>甲方</w:t>
      </w:r>
      <w:r>
        <w:rPr>
          <w:rFonts w:hint="eastAsia" w:ascii="楷体" w:hAnsi="楷体" w:eastAsia="楷体"/>
          <w:sz w:val="21"/>
          <w:szCs w:val="21"/>
        </w:rPr>
        <w:t>资金账户被司法机关等有权部门冻结、扣划及其他投资者自身原因、投资标的固有风险等原因）造成的损失，</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六</w:t>
      </w:r>
      <w:r>
        <w:rPr>
          <w:rFonts w:hint="eastAsia" w:ascii="楷体" w:hAnsi="楷体" w:eastAsia="楷体"/>
          <w:b/>
          <w:sz w:val="21"/>
          <w:szCs w:val="21"/>
        </w:rPr>
        <w:t>、协议的生效、变更及终止</w:t>
      </w:r>
    </w:p>
    <w:p>
      <w:pPr>
        <w:ind w:firstLine="420"/>
        <w:rPr>
          <w:rStyle w:val="21"/>
          <w:rFonts w:hint="eastAsia" w:ascii="楷体" w:hAnsi="楷体" w:eastAsia="楷体" w:cs="Times New Roman"/>
          <w:sz w:val="21"/>
          <w:szCs w:val="21"/>
          <w:highlight w:val="none"/>
        </w:rPr>
      </w:pPr>
      <w:r>
        <w:rPr>
          <w:rFonts w:hint="eastAsia" w:ascii="楷体" w:hAnsi="楷体" w:eastAsia="楷体"/>
          <w:sz w:val="21"/>
          <w:szCs w:val="21"/>
          <w:highlight w:val="none"/>
          <w:lang w:val="en-US" w:eastAsia="zh-CN"/>
        </w:rPr>
        <w:t>1.</w:t>
      </w:r>
      <w:r>
        <w:rPr>
          <w:rFonts w:hint="eastAsia" w:ascii="楷体" w:hAnsi="楷体" w:eastAsia="楷体" w:cs="Times New Roman"/>
          <w:sz w:val="21"/>
          <w:szCs w:val="21"/>
          <w:highlight w:val="none"/>
        </w:rPr>
        <w:t>本协议自</w:t>
      </w:r>
      <w:r>
        <w:rPr>
          <w:rFonts w:hint="eastAsia" w:ascii="楷体" w:hAnsi="楷体" w:eastAsia="楷体"/>
          <w:sz w:val="21"/>
          <w:szCs w:val="21"/>
          <w:highlight w:val="none"/>
          <w:lang w:val="en-US" w:eastAsia="zh-CN"/>
        </w:rPr>
        <w:t>甲方</w:t>
      </w:r>
      <w:r>
        <w:rPr>
          <w:rFonts w:hint="eastAsia" w:ascii="楷体" w:hAnsi="楷体" w:eastAsia="楷体" w:cs="Times New Roman"/>
          <w:sz w:val="21"/>
          <w:szCs w:val="21"/>
          <w:highlight w:val="none"/>
        </w:rPr>
        <w:t>成功缴纳全额</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资金并经</w:t>
      </w:r>
      <w:r>
        <w:rPr>
          <w:rFonts w:hint="eastAsia" w:ascii="楷体" w:hAnsi="楷体" w:eastAsia="楷体"/>
          <w:sz w:val="21"/>
          <w:szCs w:val="21"/>
          <w:highlight w:val="none"/>
          <w:lang w:val="en-US" w:eastAsia="zh-CN"/>
        </w:rPr>
        <w:t>苏银</w:t>
      </w:r>
      <w:r>
        <w:rPr>
          <w:rFonts w:hint="eastAsia" w:ascii="楷体" w:hAnsi="楷体" w:eastAsia="楷体" w:cs="Times New Roman"/>
          <w:sz w:val="21"/>
          <w:szCs w:val="21"/>
          <w:highlight w:val="none"/>
        </w:rPr>
        <w:t>理财系统确认购买份额后成立并生效。投资者在办理理财产品</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交易后，需通过销售机构查询</w:t>
      </w:r>
      <w:r>
        <w:rPr>
          <w:rFonts w:hint="eastAsia" w:ascii="楷体" w:hAnsi="楷体" w:eastAsia="楷体"/>
          <w:sz w:val="21"/>
          <w:szCs w:val="21"/>
          <w:highlight w:val="none"/>
          <w:lang w:val="en-US" w:eastAsia="zh-CN"/>
        </w:rPr>
        <w:t>份额确认情况</w:t>
      </w:r>
      <w:r>
        <w:rPr>
          <w:rFonts w:hint="eastAsia" w:ascii="楷体" w:hAnsi="楷体" w:eastAsia="楷体" w:cs="Times New Roman"/>
          <w:sz w:val="21"/>
          <w:szCs w:val="21"/>
          <w:highlight w:val="none"/>
        </w:rPr>
        <w:t>。</w:t>
      </w:r>
    </w:p>
    <w:p>
      <w:pPr>
        <w:ind w:firstLine="420"/>
        <w:rPr>
          <w:rFonts w:hint="eastAsia" w:ascii="楷体" w:hAnsi="楷体" w:eastAsia="楷体" w:cs="Times New Roman"/>
          <w:sz w:val="21"/>
          <w:szCs w:val="21"/>
          <w:highlight w:val="none"/>
        </w:rPr>
      </w:pPr>
      <w:r>
        <w:rPr>
          <w:rFonts w:hint="eastAsia" w:ascii="楷体" w:hAnsi="楷体" w:eastAsia="楷体" w:cs="Times New Roman"/>
          <w:sz w:val="21"/>
          <w:szCs w:val="21"/>
          <w:highlight w:val="none"/>
          <w:lang w:val="en-US" w:eastAsia="zh-CN"/>
        </w:rPr>
        <w:t>2.</w:t>
      </w:r>
      <w:r>
        <w:rPr>
          <w:rFonts w:hint="eastAsia" w:ascii="楷体" w:hAnsi="楷体" w:eastAsia="楷体" w:cs="Times New Roman"/>
          <w:sz w:val="21"/>
          <w:szCs w:val="21"/>
          <w:highlight w:val="none"/>
        </w:rPr>
        <w:t>本协议及理财产品合同项下各方权利义务履行完毕之日，本协议自动终止。</w:t>
      </w:r>
    </w:p>
    <w:p>
      <w:pPr>
        <w:ind w:firstLine="420"/>
        <w:rPr>
          <w:rFonts w:ascii="楷体" w:hAnsi="楷体" w:eastAsia="楷体"/>
          <w:b/>
          <w:sz w:val="21"/>
          <w:szCs w:val="21"/>
        </w:rPr>
      </w:pPr>
      <w:r>
        <w:rPr>
          <w:rFonts w:hint="eastAsia" w:ascii="楷体" w:hAnsi="楷体" w:eastAsia="楷体"/>
          <w:b/>
          <w:sz w:val="21"/>
          <w:szCs w:val="21"/>
          <w:lang w:val="en-US" w:eastAsia="zh-CN"/>
        </w:rPr>
        <w:t>七</w:t>
      </w:r>
      <w:r>
        <w:rPr>
          <w:rFonts w:hint="eastAsia" w:ascii="楷体" w:hAnsi="楷体" w:eastAsia="楷体"/>
          <w:b/>
          <w:sz w:val="21"/>
          <w:szCs w:val="21"/>
        </w:rPr>
        <w:t>、本合同的订立、生效、履行、解释、修改和终止等事项均适用中华人民共和国（不包括香港特别行政区、澳门特别行政区和台湾地区）法律。</w:t>
      </w:r>
    </w:p>
    <w:p>
      <w:pPr>
        <w:ind w:left="0" w:leftChars="0" w:firstLine="420" w:firstLineChars="200"/>
        <w:rPr>
          <w:rFonts w:hint="eastAsia" w:ascii="楷体" w:hAnsi="楷体" w:eastAsia="楷体"/>
          <w:sz w:val="21"/>
          <w:szCs w:val="21"/>
        </w:rPr>
      </w:pPr>
      <w:r>
        <w:rPr>
          <w:rFonts w:hint="eastAsia" w:ascii="楷体" w:hAnsi="楷体" w:eastAsia="楷体"/>
          <w:sz w:val="21"/>
          <w:szCs w:val="21"/>
        </w:rPr>
        <w:t>因本合同引起的或与本合同有关的任何争议，应当首先通过双方之间的友好协商解决；协商不成的，双方均有权提交</w:t>
      </w:r>
      <w:r>
        <w:rPr>
          <w:rFonts w:hint="eastAsia" w:ascii="楷体" w:hAnsi="楷体" w:eastAsia="楷体"/>
          <w:sz w:val="21"/>
          <w:szCs w:val="21"/>
          <w:lang w:val="en-US" w:eastAsia="zh-CN"/>
        </w:rPr>
        <w:t>乙方</w:t>
      </w:r>
      <w:r>
        <w:rPr>
          <w:rFonts w:hint="eastAsia" w:ascii="楷体" w:hAnsi="楷体" w:eastAsia="楷体"/>
          <w:sz w:val="21"/>
          <w:szCs w:val="21"/>
        </w:rPr>
        <w:t>所在地有管辖权的人民法院诉讼解决。</w:t>
      </w:r>
    </w:p>
    <w:p>
      <w:pPr>
        <w:ind w:firstLine="420"/>
        <w:rPr>
          <w:rFonts w:hint="default" w:ascii="楷体" w:hAnsi="楷体" w:eastAsia="楷体"/>
          <w:b/>
          <w:sz w:val="21"/>
          <w:szCs w:val="21"/>
          <w:lang w:val="en-US" w:eastAsia="zh-CN"/>
        </w:rPr>
      </w:pPr>
      <w:r>
        <w:rPr>
          <w:rFonts w:hint="eastAsia" w:ascii="楷体" w:hAnsi="楷体" w:eastAsia="楷体"/>
          <w:b/>
          <w:sz w:val="21"/>
          <w:szCs w:val="21"/>
          <w:lang w:val="en-US" w:eastAsia="zh-CN"/>
        </w:rPr>
        <w:t>八</w:t>
      </w:r>
      <w:r>
        <w:rPr>
          <w:rFonts w:hint="eastAsia" w:ascii="楷体" w:hAnsi="楷体" w:eastAsia="楷体"/>
          <w:b/>
          <w:sz w:val="21"/>
          <w:szCs w:val="21"/>
        </w:rPr>
        <w:t>、</w:t>
      </w:r>
      <w:r>
        <w:rPr>
          <w:rFonts w:hint="eastAsia" w:ascii="楷体" w:hAnsi="楷体" w:eastAsia="楷体"/>
          <w:b/>
          <w:sz w:val="21"/>
          <w:szCs w:val="21"/>
          <w:lang w:val="en-US" w:eastAsia="zh-CN"/>
        </w:rPr>
        <w:t>投资协议书未尽事宜，以理财产品说明书、风险揭示书、理财产品（代理）销售协议书、投资者权益须知的约定内容为准。签署本协议视为同意并接受以上法律文件的所有内容。</w:t>
      </w:r>
    </w:p>
    <w:p>
      <w:pPr>
        <w:numPr>
          <w:ilvl w:val="0"/>
          <w:numId w:val="0"/>
        </w:numPr>
        <w:ind w:firstLine="420" w:firstLineChars="200"/>
        <w:rPr>
          <w:rFonts w:hint="eastAsia" w:ascii="楷体" w:hAnsi="楷体" w:eastAsia="楷体"/>
          <w:sz w:val="21"/>
          <w:szCs w:val="21"/>
        </w:rPr>
      </w:pPr>
      <w:r>
        <w:rPr>
          <w:rFonts w:ascii="楷体" w:hAnsi="楷体" w:eastAsia="楷体"/>
          <w:sz w:val="21"/>
          <w:szCs w:val="21"/>
        </w:rPr>
        <w:t>甲方</w:t>
      </w:r>
      <w:r>
        <w:rPr>
          <w:rFonts w:hint="eastAsia" w:ascii="楷体" w:hAnsi="楷体" w:eastAsia="楷体"/>
          <w:sz w:val="21"/>
          <w:szCs w:val="21"/>
        </w:rPr>
        <w:t xml:space="preserve">（个人客户签字）：      </w:t>
      </w:r>
      <w:r>
        <w:rPr>
          <w:rFonts w:ascii="楷体" w:hAnsi="楷体" w:eastAsia="楷体"/>
          <w:sz w:val="21"/>
          <w:szCs w:val="21"/>
        </w:rPr>
        <w:t>甲方</w:t>
      </w:r>
      <w:r>
        <w:rPr>
          <w:rFonts w:hint="eastAsia" w:ascii="楷体" w:hAnsi="楷体" w:eastAsia="楷体"/>
          <w:sz w:val="21"/>
          <w:szCs w:val="21"/>
        </w:rPr>
        <w:t>（机构客户盖章）：</w:t>
      </w:r>
    </w:p>
    <w:p>
      <w:pPr>
        <w:rPr>
          <w:rFonts w:hint="eastAsia" w:ascii="楷体" w:hAnsi="楷体" w:eastAsia="楷体"/>
          <w:sz w:val="21"/>
          <w:szCs w:val="21"/>
        </w:rPr>
      </w:pPr>
    </w:p>
    <w:p>
      <w:pPr>
        <w:rPr>
          <w:rFonts w:hint="eastAsia" w:ascii="楷体" w:hAnsi="楷体" w:eastAsia="楷体"/>
          <w:sz w:val="21"/>
          <w:szCs w:val="21"/>
        </w:rPr>
      </w:pPr>
    </w:p>
    <w:p>
      <w:pPr>
        <w:rPr>
          <w:rFonts w:hint="eastAsia" w:ascii="楷体" w:hAnsi="楷体" w:eastAsia="楷体"/>
          <w:sz w:val="21"/>
          <w:szCs w:val="21"/>
        </w:rPr>
      </w:pPr>
      <w:r>
        <w:rPr>
          <w:rFonts w:hint="eastAsia" w:ascii="楷体" w:hAnsi="楷体" w:eastAsia="楷体"/>
          <w:szCs w:val="21"/>
        </w:rPr>
        <w:t xml:space="preserve">                               </w:t>
      </w:r>
      <w:r>
        <w:rPr>
          <w:rFonts w:hint="eastAsia" w:ascii="楷体" w:hAnsi="楷体" w:eastAsia="楷体"/>
          <w:sz w:val="21"/>
          <w:szCs w:val="21"/>
        </w:rPr>
        <w:t>机构客户法定代表人或授权代表（签字或盖章）</w:t>
      </w:r>
    </w:p>
    <w:p>
      <w:pPr>
        <w:rPr>
          <w:rFonts w:hint="eastAsia" w:ascii="楷体" w:hAnsi="楷体" w:eastAsia="楷体"/>
          <w:sz w:val="21"/>
          <w:szCs w:val="21"/>
        </w:rPr>
      </w:pPr>
    </w:p>
    <w:p>
      <w:pPr>
        <w:autoSpaceDE w:val="0"/>
        <w:autoSpaceDN w:val="0"/>
        <w:adjustRightInd w:val="0"/>
        <w:jc w:val="right"/>
        <w:rPr>
          <w:rFonts w:ascii="楷体" w:hAnsi="楷体" w:eastAsia="楷体"/>
          <w:sz w:val="24"/>
          <w:szCs w:val="24"/>
        </w:rPr>
      </w:pPr>
      <w:r>
        <w:rPr>
          <w:rFonts w:ascii="楷体" w:hAnsi="楷体" w:eastAsia="楷体"/>
          <w:sz w:val="21"/>
          <w:szCs w:val="21"/>
        </w:rPr>
        <w:t>签署日期：</w:t>
      </w:r>
      <w:r>
        <w:rPr>
          <w:rFonts w:hint="eastAsia" w:ascii="楷体" w:hAnsi="楷体" w:eastAsia="楷体"/>
          <w:sz w:val="21"/>
          <w:szCs w:val="21"/>
        </w:rPr>
        <w:t xml:space="preserve">      </w:t>
      </w:r>
      <w:r>
        <w:rPr>
          <w:rFonts w:ascii="楷体" w:hAnsi="楷体" w:eastAsia="楷体"/>
          <w:sz w:val="21"/>
          <w:szCs w:val="21"/>
        </w:rPr>
        <w:t>年</w:t>
      </w:r>
      <w:r>
        <w:rPr>
          <w:rFonts w:hint="eastAsia" w:ascii="楷体" w:hAnsi="楷体" w:eastAsia="楷体"/>
          <w:sz w:val="21"/>
          <w:szCs w:val="21"/>
        </w:rPr>
        <w:t xml:space="preserve">      </w:t>
      </w:r>
      <w:r>
        <w:rPr>
          <w:rFonts w:ascii="楷体" w:hAnsi="楷体" w:eastAsia="楷体"/>
          <w:sz w:val="21"/>
          <w:szCs w:val="21"/>
        </w:rPr>
        <w:t>月</w:t>
      </w:r>
      <w:r>
        <w:rPr>
          <w:rFonts w:hint="eastAsia" w:ascii="楷体" w:hAnsi="楷体" w:eastAsia="楷体"/>
          <w:sz w:val="21"/>
          <w:szCs w:val="21"/>
        </w:rPr>
        <w:t xml:space="preserve">     日</w:t>
      </w:r>
    </w:p>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CD7C62DE"/>
    <w:multiLevelType w:val="multilevel"/>
    <w:tmpl w:val="CD7C62DE"/>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CE27157A"/>
    <w:multiLevelType w:val="multilevel"/>
    <w:tmpl w:val="CE27157A"/>
    <w:lvl w:ilvl="0" w:tentative="0">
      <w:start w:val="1"/>
      <w:numFmt w:val="chineseCountingThousand"/>
      <w:suff w:val="space"/>
      <w:lvlText w:val="%1、"/>
      <w:lvlJc w:val="left"/>
      <w:pPr>
        <w:ind w:left="42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D42F757"/>
    <w:multiLevelType w:val="singleLevel"/>
    <w:tmpl w:val="2D42F757"/>
    <w:lvl w:ilvl="0" w:tentative="0">
      <w:start w:val="2"/>
      <w:numFmt w:val="chineseCounting"/>
      <w:suff w:val="nothing"/>
      <w:lvlText w:val="（%1）"/>
      <w:lvlJc w:val="left"/>
      <w:rPr>
        <w:rFonts w:hint="eastAsia"/>
      </w:rPr>
    </w:lvl>
  </w:abstractNum>
  <w:abstractNum w:abstractNumId="10">
    <w:nsid w:val="3708999D"/>
    <w:multiLevelType w:val="singleLevel"/>
    <w:tmpl w:val="3708999D"/>
    <w:lvl w:ilvl="0" w:tentative="0">
      <w:start w:val="1"/>
      <w:numFmt w:val="decimalEnclosedCircleChinese"/>
      <w:suff w:val="nothing"/>
      <w:lvlText w:val="%1　"/>
      <w:lvlJc w:val="left"/>
      <w:pPr>
        <w:ind w:left="0" w:firstLine="400"/>
      </w:pPr>
      <w:rPr>
        <w:rFonts w:hint="eastAsia"/>
        <w:b w:val="0"/>
        <w:bCs w:val="0"/>
      </w:rPr>
    </w:lvl>
  </w:abstractNum>
  <w:abstractNum w:abstractNumId="11">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2">
    <w:nsid w:val="393A262E"/>
    <w:multiLevelType w:val="multilevel"/>
    <w:tmpl w:val="393A262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4FF03779"/>
    <w:multiLevelType w:val="singleLevel"/>
    <w:tmpl w:val="4FF03779"/>
    <w:lvl w:ilvl="0" w:tentative="0">
      <w:start w:val="1"/>
      <w:numFmt w:val="decimal"/>
      <w:suff w:val="nothing"/>
      <w:lvlText w:val="%1."/>
      <w:lvlJc w:val="left"/>
      <w:pPr>
        <w:tabs>
          <w:tab w:val="left" w:pos="0"/>
        </w:tabs>
        <w:ind w:left="0" w:firstLine="0"/>
      </w:pPr>
      <w:rPr>
        <w:rFonts w:hint="default"/>
      </w:rPr>
    </w:lvl>
  </w:abstractNum>
  <w:abstractNum w:abstractNumId="15">
    <w:nsid w:val="551134C1"/>
    <w:multiLevelType w:val="multilevel"/>
    <w:tmpl w:val="551134C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56FF3467"/>
    <w:multiLevelType w:val="multilevel"/>
    <w:tmpl w:val="56FF346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num>
  <w:num w:numId="2">
    <w:abstractNumId w:val="18"/>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num>
  <w:num w:numId="6">
    <w:abstractNumId w:val="2"/>
  </w:num>
  <w:num w:numId="7">
    <w:abstractNumId w:val="1"/>
  </w:num>
  <w:num w:numId="8">
    <w:abstractNumId w:val="0"/>
  </w:num>
  <w:num w:numId="9">
    <w:abstractNumId w:val="3"/>
  </w:num>
  <w:num w:numId="10">
    <w:abstractNumId w:val="19"/>
  </w:num>
  <w:num w:numId="11">
    <w:abstractNumId w:val="14"/>
  </w:num>
  <w:num w:numId="12">
    <w:abstractNumId w:val="13"/>
  </w:num>
  <w:num w:numId="13">
    <w:abstractNumId w:val="16"/>
  </w:num>
  <w:num w:numId="14">
    <w:abstractNumId w:val="20"/>
  </w:num>
  <w:num w:numId="15">
    <w:abstractNumId w:val="8"/>
  </w:num>
  <w:num w:numId="16">
    <w:abstractNumId w:val="5"/>
  </w:num>
  <w:num w:numId="17">
    <w:abstractNumId w:val="15"/>
  </w:num>
  <w:num w:numId="18">
    <w:abstractNumId w:val="4"/>
  </w:num>
  <w:num w:numId="19">
    <w:abstractNumId w:val="17"/>
  </w:num>
  <w:num w:numId="20">
    <w:abstractNumId w:val="12"/>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4E0F1F"/>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4274D"/>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6B5127"/>
    <w:rsid w:val="0B7028CB"/>
    <w:rsid w:val="0B852A77"/>
    <w:rsid w:val="0B8762D6"/>
    <w:rsid w:val="0B8F153D"/>
    <w:rsid w:val="0B9920BC"/>
    <w:rsid w:val="0B9C6927"/>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83D94"/>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BD5C09"/>
    <w:rsid w:val="10BE78BE"/>
    <w:rsid w:val="10C664A7"/>
    <w:rsid w:val="10C81A80"/>
    <w:rsid w:val="10D80961"/>
    <w:rsid w:val="10D84BB2"/>
    <w:rsid w:val="10E55ACF"/>
    <w:rsid w:val="10ED705E"/>
    <w:rsid w:val="10FF1570"/>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E575F5"/>
    <w:rsid w:val="13EC1236"/>
    <w:rsid w:val="13F628A9"/>
    <w:rsid w:val="13FF11B0"/>
    <w:rsid w:val="14005205"/>
    <w:rsid w:val="1404363E"/>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81EB2"/>
    <w:rsid w:val="157D2FF2"/>
    <w:rsid w:val="15833B89"/>
    <w:rsid w:val="158877FC"/>
    <w:rsid w:val="1592405F"/>
    <w:rsid w:val="159B190B"/>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897F26"/>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C02744"/>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D301A9"/>
    <w:rsid w:val="1DED2DDA"/>
    <w:rsid w:val="1DF72EE2"/>
    <w:rsid w:val="1E0D3222"/>
    <w:rsid w:val="1E117340"/>
    <w:rsid w:val="1E120BA4"/>
    <w:rsid w:val="1E15341A"/>
    <w:rsid w:val="1E194B86"/>
    <w:rsid w:val="1E1A5164"/>
    <w:rsid w:val="1E253B42"/>
    <w:rsid w:val="1E277F02"/>
    <w:rsid w:val="1E2834F7"/>
    <w:rsid w:val="1E3A163E"/>
    <w:rsid w:val="1E3A526C"/>
    <w:rsid w:val="1E3C4E01"/>
    <w:rsid w:val="1E494532"/>
    <w:rsid w:val="1E5555F8"/>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1E4258"/>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B1CD4"/>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B85F9C"/>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01396"/>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3730E"/>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94C50"/>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40CC6"/>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4C9"/>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2D4545"/>
    <w:rsid w:val="363D5BC2"/>
    <w:rsid w:val="363E4C6B"/>
    <w:rsid w:val="36411BD2"/>
    <w:rsid w:val="364918AE"/>
    <w:rsid w:val="364A5848"/>
    <w:rsid w:val="365E5B6A"/>
    <w:rsid w:val="36641444"/>
    <w:rsid w:val="36762B93"/>
    <w:rsid w:val="367F0410"/>
    <w:rsid w:val="3696776B"/>
    <w:rsid w:val="369E0FB4"/>
    <w:rsid w:val="36B01301"/>
    <w:rsid w:val="36C162B9"/>
    <w:rsid w:val="36C22673"/>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A1DD8"/>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64DC2"/>
    <w:rsid w:val="3BFE15DD"/>
    <w:rsid w:val="3C13284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1F424B"/>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B3F74"/>
    <w:rsid w:val="3F0668BA"/>
    <w:rsid w:val="3F0763F6"/>
    <w:rsid w:val="3F092939"/>
    <w:rsid w:val="3F0F0A0C"/>
    <w:rsid w:val="3F0F1E55"/>
    <w:rsid w:val="3F144291"/>
    <w:rsid w:val="3F1A5060"/>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31473B9"/>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15D5B"/>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9F738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946CE"/>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EA15BE"/>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2B70D0"/>
    <w:rsid w:val="5A3A032E"/>
    <w:rsid w:val="5A3B6E8B"/>
    <w:rsid w:val="5A3F220C"/>
    <w:rsid w:val="5A4E3CF8"/>
    <w:rsid w:val="5A567C3A"/>
    <w:rsid w:val="5A5B1AE2"/>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A39FB"/>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B66DC"/>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40AAB"/>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453AB3"/>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47F0C"/>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3E693A"/>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D5567"/>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47E3B"/>
    <w:rsid w:val="6C1709EC"/>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8408F"/>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3BC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2FB6723"/>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261AE"/>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08481E"/>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B7036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9E6961"/>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9"/>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40"/>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1"/>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First Indent"/>
    <w:qFormat/>
    <w:uiPriority w:val="0"/>
    <w:pPr>
      <w:widowControl w:val="0"/>
      <w:spacing w:line="312" w:lineRule="auto"/>
      <w:ind w:left="860" w:firstLine="420"/>
      <w:jc w:val="both"/>
    </w:pPr>
    <w:rPr>
      <w:rFonts w:ascii="Times New Roman" w:hAnsi="Times New Roman" w:eastAsia="宋体" w:cs="Times New Roman"/>
      <w:kern w:val="2"/>
      <w:sz w:val="32"/>
      <w:szCs w:val="32"/>
      <w:lang w:val="en-US" w:eastAsia="zh-CN" w:bidi="ar-SA"/>
    </w:rPr>
  </w:style>
  <w:style w:type="paragraph" w:styleId="6">
    <w:name w:val="annotation text"/>
    <w:basedOn w:val="1"/>
    <w:link w:val="42"/>
    <w:unhideWhenUsed/>
    <w:qFormat/>
    <w:uiPriority w:val="99"/>
    <w:pPr>
      <w:jc w:val="left"/>
    </w:pPr>
  </w:style>
  <w:style w:type="paragraph" w:styleId="7">
    <w:name w:val="Body Text"/>
    <w:basedOn w:val="1"/>
    <w:next w:val="1"/>
    <w:link w:val="43"/>
    <w:qFormat/>
    <w:uiPriority w:val="1"/>
    <w:pPr>
      <w:autoSpaceDE w:val="0"/>
      <w:autoSpaceDN w:val="0"/>
      <w:adjustRightInd w:val="0"/>
      <w:spacing w:before="162"/>
      <w:ind w:left="120"/>
      <w:jc w:val="left"/>
    </w:pPr>
    <w:rPr>
      <w:rFonts w:ascii="宋体"/>
      <w:kern w:val="0"/>
      <w:sz w:val="20"/>
      <w:szCs w:val="21"/>
    </w:rPr>
  </w:style>
  <w:style w:type="paragraph" w:styleId="8">
    <w:name w:val="Date"/>
    <w:basedOn w:val="1"/>
    <w:next w:val="1"/>
    <w:link w:val="44"/>
    <w:unhideWhenUsed/>
    <w:qFormat/>
    <w:uiPriority w:val="99"/>
    <w:pPr>
      <w:ind w:left="100" w:leftChars="2500"/>
    </w:pPr>
  </w:style>
  <w:style w:type="paragraph" w:styleId="9">
    <w:name w:val="Balloon Text"/>
    <w:basedOn w:val="1"/>
    <w:link w:val="45"/>
    <w:unhideWhenUsed/>
    <w:qFormat/>
    <w:uiPriority w:val="99"/>
    <w:rPr>
      <w:kern w:val="0"/>
      <w:sz w:val="18"/>
      <w:szCs w:val="18"/>
    </w:rPr>
  </w:style>
  <w:style w:type="paragraph" w:styleId="10">
    <w:name w:val="footer"/>
    <w:basedOn w:val="1"/>
    <w:link w:val="46"/>
    <w:unhideWhenUsed/>
    <w:qFormat/>
    <w:uiPriority w:val="99"/>
    <w:pPr>
      <w:tabs>
        <w:tab w:val="center" w:pos="4153"/>
        <w:tab w:val="right" w:pos="8306"/>
      </w:tabs>
      <w:snapToGrid w:val="0"/>
      <w:jc w:val="left"/>
    </w:pPr>
    <w:rPr>
      <w:kern w:val="0"/>
      <w:sz w:val="18"/>
      <w:szCs w:val="18"/>
    </w:rPr>
  </w:style>
  <w:style w:type="paragraph" w:styleId="11">
    <w:name w:val="header"/>
    <w:basedOn w:val="1"/>
    <w:link w:val="4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2">
    <w:name w:val="footnote text"/>
    <w:basedOn w:val="1"/>
    <w:link w:val="48"/>
    <w:semiHidden/>
    <w:unhideWhenUsed/>
    <w:qFormat/>
    <w:uiPriority w:val="99"/>
    <w:pPr>
      <w:snapToGrid w:val="0"/>
      <w:jc w:val="left"/>
    </w:pPr>
    <w:rPr>
      <w:sz w:val="18"/>
      <w:szCs w:val="18"/>
    </w:rPr>
  </w:style>
  <w:style w:type="paragraph" w:styleId="13">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4">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5">
    <w:name w:val="annotation subject"/>
    <w:basedOn w:val="6"/>
    <w:next w:val="6"/>
    <w:link w:val="49"/>
    <w:unhideWhenUsed/>
    <w:qFormat/>
    <w:uiPriority w:val="99"/>
    <w:rPr>
      <w:b/>
      <w:bCs/>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qFormat/>
    <w:uiPriority w:val="22"/>
    <w:rPr>
      <w:rFonts w:ascii="Times New Roman" w:hAnsi="Times New Roman" w:eastAsia="宋体" w:cs="Times New Roman"/>
      <w:b/>
      <w:bCs/>
    </w:rPr>
  </w:style>
  <w:style w:type="character" w:styleId="20">
    <w:name w:val="Hyperlink"/>
    <w:unhideWhenUsed/>
    <w:qFormat/>
    <w:uiPriority w:val="99"/>
    <w:rPr>
      <w:rFonts w:ascii="Times New Roman" w:hAnsi="Times New Roman" w:eastAsia="宋体" w:cs="Times New Roman"/>
      <w:color w:val="0000FF"/>
      <w:u w:val="single"/>
    </w:rPr>
  </w:style>
  <w:style w:type="character" w:styleId="21">
    <w:name w:val="annotation reference"/>
    <w:unhideWhenUsed/>
    <w:qFormat/>
    <w:uiPriority w:val="99"/>
    <w:rPr>
      <w:rFonts w:ascii="Times New Roman" w:hAnsi="Times New Roman" w:eastAsia="宋体" w:cs="Times New Roman"/>
      <w:sz w:val="21"/>
      <w:szCs w:val="21"/>
    </w:rPr>
  </w:style>
  <w:style w:type="character" w:styleId="22">
    <w:name w:val="footnote reference"/>
    <w:semiHidden/>
    <w:unhideWhenUsed/>
    <w:qFormat/>
    <w:uiPriority w:val="99"/>
    <w:rPr>
      <w:rFonts w:ascii="Times New Roman" w:hAnsi="Times New Roman" w:eastAsia="宋体" w:cs="Times New Roman"/>
      <w:vertAlign w:val="superscript"/>
    </w:rPr>
  </w:style>
  <w:style w:type="character" w:customStyle="1" w:styleId="23">
    <w:name w:val="批注文字 字符"/>
    <w:qFormat/>
    <w:uiPriority w:val="99"/>
    <w:rPr>
      <w:rFonts w:ascii="Times New Roman" w:hAnsi="Times New Roman" w:eastAsia="宋体" w:cs="Times New Roman"/>
    </w:rPr>
  </w:style>
  <w:style w:type="character" w:customStyle="1" w:styleId="24">
    <w:name w:val="标题 3 字符"/>
    <w:qFormat/>
    <w:uiPriority w:val="1"/>
    <w:rPr>
      <w:rFonts w:ascii="宋体" w:hAnsi="Times New Roman" w:eastAsia="宋体" w:cs="Times New Roman"/>
      <w:b/>
      <w:bCs/>
      <w:kern w:val="0"/>
      <w:sz w:val="20"/>
      <w:szCs w:val="21"/>
    </w:rPr>
  </w:style>
  <w:style w:type="character" w:customStyle="1" w:styleId="25">
    <w:name w:val="脚注文本 字符1"/>
    <w:semiHidden/>
    <w:qFormat/>
    <w:uiPriority w:val="99"/>
    <w:rPr>
      <w:rFonts w:ascii="Times New Roman" w:hAnsi="Times New Roman" w:eastAsia="宋体" w:cs="Times New Roman"/>
      <w:sz w:val="18"/>
      <w:szCs w:val="18"/>
    </w:rPr>
  </w:style>
  <w:style w:type="character" w:customStyle="1" w:styleId="26">
    <w:name w:val="标题 2 字符"/>
    <w:qFormat/>
    <w:uiPriority w:val="9"/>
    <w:rPr>
      <w:rFonts w:ascii="Cambria" w:hAnsi="Cambria" w:eastAsia="宋体" w:cs="Times New Roman"/>
      <w:b/>
      <w:bCs/>
      <w:kern w:val="0"/>
      <w:sz w:val="32"/>
      <w:szCs w:val="32"/>
    </w:rPr>
  </w:style>
  <w:style w:type="character" w:customStyle="1" w:styleId="27">
    <w:name w:val="正文文本 字符"/>
    <w:qFormat/>
    <w:uiPriority w:val="1"/>
    <w:rPr>
      <w:rFonts w:ascii="宋体" w:hAnsi="Times New Roman" w:eastAsia="宋体" w:cs="Times New Roman"/>
      <w:kern w:val="0"/>
      <w:sz w:val="20"/>
      <w:szCs w:val="21"/>
    </w:rPr>
  </w:style>
  <w:style w:type="character" w:customStyle="1" w:styleId="28">
    <w:name w:val="脚注文本 字符"/>
    <w:semiHidden/>
    <w:qFormat/>
    <w:uiPriority w:val="99"/>
    <w:rPr>
      <w:rFonts w:ascii="Times New Roman" w:hAnsi="Times New Roman" w:eastAsia="宋体" w:cs="Times New Roman"/>
      <w:kern w:val="2"/>
      <w:sz w:val="18"/>
      <w:szCs w:val="18"/>
    </w:rPr>
  </w:style>
  <w:style w:type="character" w:customStyle="1" w:styleId="29">
    <w:name w:val="批注主题 字符"/>
    <w:semiHidden/>
    <w:qFormat/>
    <w:uiPriority w:val="99"/>
    <w:rPr>
      <w:rFonts w:ascii="Times New Roman" w:hAnsi="Times New Roman" w:eastAsia="宋体" w:cs="Times New Roman"/>
      <w:b/>
      <w:bCs/>
    </w:rPr>
  </w:style>
  <w:style w:type="character" w:customStyle="1" w:styleId="30">
    <w:name w:val="日期 字符"/>
    <w:basedOn w:val="18"/>
    <w:semiHidden/>
    <w:qFormat/>
    <w:uiPriority w:val="99"/>
    <w:rPr>
      <w:rFonts w:ascii="Times New Roman" w:hAnsi="Times New Roman" w:eastAsia="宋体" w:cs="Times New Roman"/>
    </w:rPr>
  </w:style>
  <w:style w:type="character" w:customStyle="1" w:styleId="31">
    <w:name w:val="标题 1 字符"/>
    <w:qFormat/>
    <w:uiPriority w:val="1"/>
    <w:rPr>
      <w:rFonts w:ascii="黑体" w:hAnsi="Times New Roman" w:eastAsia="黑体" w:cs="Times New Roman"/>
      <w:b/>
      <w:bCs/>
      <w:kern w:val="0"/>
      <w:sz w:val="36"/>
      <w:szCs w:val="36"/>
    </w:rPr>
  </w:style>
  <w:style w:type="character" w:customStyle="1" w:styleId="32">
    <w:name w:val="页脚 字符"/>
    <w:qFormat/>
    <w:uiPriority w:val="99"/>
    <w:rPr>
      <w:rFonts w:ascii="Times New Roman" w:hAnsi="Times New Roman" w:eastAsia="宋体" w:cs="Times New Roman"/>
      <w:kern w:val="0"/>
      <w:sz w:val="18"/>
      <w:szCs w:val="18"/>
    </w:rPr>
  </w:style>
  <w:style w:type="character" w:customStyle="1" w:styleId="33">
    <w:name w:val="页眉 字符"/>
    <w:qFormat/>
    <w:uiPriority w:val="99"/>
    <w:rPr>
      <w:rFonts w:ascii="Times New Roman" w:hAnsi="Times New Roman" w:eastAsia="宋体" w:cs="Times New Roman"/>
      <w:kern w:val="0"/>
      <w:sz w:val="18"/>
      <w:szCs w:val="18"/>
    </w:rPr>
  </w:style>
  <w:style w:type="character" w:customStyle="1" w:styleId="34">
    <w:name w:val="批注框文本 字符"/>
    <w:semiHidden/>
    <w:qFormat/>
    <w:uiPriority w:val="99"/>
    <w:rPr>
      <w:rFonts w:ascii="Times New Roman" w:hAnsi="Times New Roman" w:eastAsia="宋体" w:cs="Times New Roman"/>
      <w:kern w:val="0"/>
      <w:sz w:val="18"/>
      <w:szCs w:val="18"/>
    </w:rPr>
  </w:style>
  <w:style w:type="paragraph" w:customStyle="1" w:styleId="35">
    <w:name w:val="Table Paragraph"/>
    <w:basedOn w:val="1"/>
    <w:qFormat/>
    <w:uiPriority w:val="1"/>
    <w:pPr>
      <w:autoSpaceDE w:val="0"/>
      <w:autoSpaceDN w:val="0"/>
      <w:adjustRightInd w:val="0"/>
      <w:jc w:val="left"/>
    </w:pPr>
    <w:rPr>
      <w:kern w:val="0"/>
      <w:sz w:val="24"/>
      <w:szCs w:val="24"/>
    </w:rPr>
  </w:style>
  <w:style w:type="paragraph" w:customStyle="1" w:styleId="36">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7">
    <w:name w:val="List Paragraph"/>
    <w:basedOn w:val="1"/>
    <w:qFormat/>
    <w:uiPriority w:val="72"/>
    <w:pPr>
      <w:ind w:firstLine="420" w:firstLineChars="200"/>
    </w:pPr>
  </w:style>
  <w:style w:type="paragraph" w:customStyle="1" w:styleId="38">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9">
    <w:name w:val="标题 1 字符1"/>
    <w:link w:val="3"/>
    <w:qFormat/>
    <w:uiPriority w:val="1"/>
    <w:rPr>
      <w:rFonts w:ascii="黑体" w:hAnsi="Times New Roman" w:eastAsia="黑体" w:cs="黑体"/>
      <w:b/>
      <w:bCs/>
      <w:kern w:val="0"/>
      <w:sz w:val="36"/>
      <w:szCs w:val="36"/>
    </w:rPr>
  </w:style>
  <w:style w:type="character" w:customStyle="1" w:styleId="40">
    <w:name w:val="标题 2 字符1"/>
    <w:link w:val="4"/>
    <w:qFormat/>
    <w:uiPriority w:val="9"/>
    <w:rPr>
      <w:rFonts w:ascii="Cambria" w:hAnsi="Cambria" w:eastAsia="宋体" w:cs="Times New Roman"/>
      <w:b/>
      <w:bCs/>
      <w:sz w:val="32"/>
      <w:szCs w:val="32"/>
    </w:rPr>
  </w:style>
  <w:style w:type="character" w:customStyle="1" w:styleId="41">
    <w:name w:val="标题 3 字符1"/>
    <w:link w:val="5"/>
    <w:qFormat/>
    <w:uiPriority w:val="1"/>
    <w:rPr>
      <w:rFonts w:ascii="宋体" w:hAnsi="Times New Roman" w:eastAsia="宋体" w:cs="宋体"/>
      <w:b/>
      <w:bCs/>
      <w:kern w:val="0"/>
      <w:szCs w:val="21"/>
    </w:rPr>
  </w:style>
  <w:style w:type="character" w:customStyle="1" w:styleId="42">
    <w:name w:val="批注文字 字符1"/>
    <w:link w:val="6"/>
    <w:qFormat/>
    <w:uiPriority w:val="99"/>
    <w:rPr>
      <w:rFonts w:ascii="Times New Roman" w:hAnsi="Times New Roman" w:eastAsia="宋体" w:cs="Times New Roman"/>
      <w:kern w:val="2"/>
      <w:sz w:val="21"/>
      <w:szCs w:val="22"/>
    </w:rPr>
  </w:style>
  <w:style w:type="character" w:customStyle="1" w:styleId="43">
    <w:name w:val="正文文本 字符1"/>
    <w:link w:val="7"/>
    <w:qFormat/>
    <w:uiPriority w:val="1"/>
    <w:rPr>
      <w:rFonts w:ascii="宋体" w:hAnsi="Times New Roman" w:eastAsia="宋体" w:cs="宋体"/>
      <w:kern w:val="0"/>
      <w:szCs w:val="21"/>
    </w:rPr>
  </w:style>
  <w:style w:type="character" w:customStyle="1" w:styleId="44">
    <w:name w:val="日期 字符1"/>
    <w:basedOn w:val="18"/>
    <w:link w:val="8"/>
    <w:semiHidden/>
    <w:qFormat/>
    <w:uiPriority w:val="99"/>
    <w:rPr>
      <w:rFonts w:ascii="Times New Roman" w:hAnsi="Times New Roman" w:eastAsia="宋体" w:cs="Times New Roman"/>
    </w:rPr>
  </w:style>
  <w:style w:type="character" w:customStyle="1" w:styleId="45">
    <w:name w:val="批注框文本 字符1"/>
    <w:link w:val="9"/>
    <w:semiHidden/>
    <w:qFormat/>
    <w:uiPriority w:val="99"/>
    <w:rPr>
      <w:rFonts w:ascii="Times New Roman" w:hAnsi="Times New Roman" w:eastAsia="宋体" w:cs="Times New Roman"/>
      <w:sz w:val="18"/>
      <w:szCs w:val="18"/>
    </w:rPr>
  </w:style>
  <w:style w:type="character" w:customStyle="1" w:styleId="46">
    <w:name w:val="页脚 字符1"/>
    <w:link w:val="10"/>
    <w:qFormat/>
    <w:uiPriority w:val="99"/>
    <w:rPr>
      <w:rFonts w:ascii="Times New Roman" w:hAnsi="Times New Roman" w:eastAsia="宋体" w:cs="Times New Roman"/>
      <w:sz w:val="18"/>
      <w:szCs w:val="18"/>
    </w:rPr>
  </w:style>
  <w:style w:type="character" w:customStyle="1" w:styleId="47">
    <w:name w:val="页眉 字符1"/>
    <w:link w:val="11"/>
    <w:qFormat/>
    <w:uiPriority w:val="99"/>
    <w:rPr>
      <w:rFonts w:ascii="Times New Roman" w:hAnsi="Times New Roman" w:eastAsia="宋体" w:cs="Times New Roman"/>
      <w:sz w:val="18"/>
      <w:szCs w:val="18"/>
    </w:rPr>
  </w:style>
  <w:style w:type="character" w:customStyle="1" w:styleId="48">
    <w:name w:val="脚注文本 字符2"/>
    <w:link w:val="12"/>
    <w:semiHidden/>
    <w:qFormat/>
    <w:uiPriority w:val="99"/>
    <w:rPr>
      <w:rFonts w:ascii="Times New Roman" w:hAnsi="Times New Roman" w:eastAsia="宋体" w:cs="Times New Roman"/>
      <w:kern w:val="2"/>
      <w:sz w:val="18"/>
      <w:szCs w:val="18"/>
    </w:rPr>
  </w:style>
  <w:style w:type="character" w:customStyle="1" w:styleId="49">
    <w:name w:val="批注主题 字符1"/>
    <w:link w:val="15"/>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20856</Words>
  <Characters>21792</Characters>
  <Lines>243</Lines>
  <Paragraphs>68</Paragraphs>
  <TotalTime>1</TotalTime>
  <ScaleCrop>false</ScaleCrop>
  <LinksUpToDate>false</LinksUpToDate>
  <CharactersWithSpaces>22062</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sylc</cp:lastModifiedBy>
  <cp:lastPrinted>2024-07-15T08:58:00Z</cp:lastPrinted>
  <dcterms:modified xsi:type="dcterms:W3CDTF">2025-11-14T07:24:15Z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3D9DA4FEC1AC4898A5CD8A2776F83D6F</vt:lpwstr>
  </property>
</Properties>
</file>