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w:t>
      </w:r>
      <w:bookmarkStart w:id="0" w:name="_GoBack"/>
      <w:bookmarkEnd w:id="0"/>
      <w:r>
        <w:rPr>
          <w:rFonts w:hint="eastAsia" w:ascii="楷体" w:hAnsi="楷体" w:eastAsia="楷体"/>
          <w:b/>
          <w:color w:val="auto"/>
          <w:sz w:val="28"/>
          <w:szCs w:val="28"/>
          <w:lang w:eastAsia="zh-CN"/>
        </w:rPr>
        <w:t>债权245期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cs="楷体"/>
          <w:b/>
          <w:bCs w:val="0"/>
          <w:color w:val="auto"/>
          <w:sz w:val="21"/>
          <w:szCs w:val="21"/>
        </w:rPr>
      </w:pPr>
      <w:r>
        <w:rPr>
          <w:rFonts w:hint="eastAsia" w:ascii="楷体" w:hAnsi="楷体" w:eastAsia="楷体" w:cs="楷体"/>
          <w:b/>
          <w:bCs w:val="0"/>
          <w:color w:val="auto"/>
          <w:sz w:val="21"/>
          <w:szCs w:val="21"/>
        </w:rPr>
        <w:t>①融资方还款履约能力可能的变化导致的信用风险。②债务人提前还款或逾期还款的风险。③保证人未履行保证义务的风险等。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结构性存款的特殊风险：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1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①</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市场风险。结构性存款挂钩的境内外债券、股票、利率、汇率、指数等标的受相关国家或地区的金融市场和经济趋势的影响，收益存在不确定性。</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2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②</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3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③</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利率风险。结构性存款如挂钩特定债券或债券指数，可能因相关利率变动而导致产品收益发生变化。</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4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④</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汇率风险。结构性存款如挂钩境外证券资产，可能面临以非人民币计价的各类资产受汇率波动影响而引起人民币估值下的理财产品资产净值波动的风险。</w:t>
      </w:r>
      <w:r>
        <w:rPr>
          <w:rFonts w:hint="default" w:ascii="楷体" w:hAnsi="楷体" w:eastAsia="楷体"/>
          <w:b/>
          <w:color w:val="auto"/>
          <w:sz w:val="21"/>
          <w:szCs w:val="21"/>
          <w:u w:val="none"/>
          <w:lang w:val="en-US" w:eastAsia="zh-CN"/>
        </w:rPr>
        <w:fldChar w:fldCharType="begin"/>
      </w:r>
      <w:r>
        <w:rPr>
          <w:rFonts w:hint="default" w:ascii="楷体" w:hAnsi="楷体" w:eastAsia="楷体"/>
          <w:b/>
          <w:color w:val="auto"/>
          <w:sz w:val="21"/>
          <w:szCs w:val="21"/>
          <w:u w:val="none"/>
          <w:lang w:val="en-US" w:eastAsia="zh-CN"/>
        </w:rPr>
        <w:instrText xml:space="preserve"> = 5 \* GB3 \* MERGEFORMAT </w:instrText>
      </w:r>
      <w:r>
        <w:rPr>
          <w:rFonts w:hint="default" w:ascii="楷体" w:hAnsi="楷体" w:eastAsia="楷体"/>
          <w:b/>
          <w:color w:val="auto"/>
          <w:sz w:val="21"/>
          <w:szCs w:val="21"/>
          <w:u w:val="none"/>
          <w:lang w:val="en-US" w:eastAsia="zh-CN"/>
        </w:rPr>
        <w:fldChar w:fldCharType="separate"/>
      </w:r>
      <w:r>
        <w:rPr>
          <w:rFonts w:hint="eastAsia" w:ascii="楷体" w:hAnsi="楷体" w:eastAsia="楷体"/>
          <w:b/>
          <w:color w:val="auto"/>
          <w:sz w:val="21"/>
          <w:szCs w:val="21"/>
          <w:u w:val="none"/>
        </w:rPr>
        <w:t>⑤</w:t>
      </w:r>
      <w:r>
        <w:rPr>
          <w:rFonts w:hint="default" w:ascii="楷体" w:hAnsi="楷体" w:eastAsia="楷体"/>
          <w:b/>
          <w:color w:val="auto"/>
          <w:sz w:val="21"/>
          <w:szCs w:val="21"/>
          <w:u w:val="none"/>
          <w:lang w:val="en-US" w:eastAsia="zh-CN"/>
        </w:rPr>
        <w:fldChar w:fldCharType="end"/>
      </w:r>
      <w:r>
        <w:rPr>
          <w:rFonts w:hint="default" w:ascii="楷体" w:hAnsi="楷体" w:eastAsia="楷体"/>
          <w:b/>
          <w:color w:val="auto"/>
          <w:sz w:val="21"/>
          <w:szCs w:val="21"/>
          <w:u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numPr>
          <w:ilvl w:val="0"/>
          <w:numId w:val="3"/>
        </w:numPr>
        <w:tabs>
          <w:tab w:val="left" w:pos="742"/>
        </w:tabs>
        <w:rPr>
          <w:rFonts w:hint="eastAsia" w:ascii="楷体" w:hAnsi="楷体" w:eastAsia="楷体"/>
          <w:color w:val="auto"/>
          <w:sz w:val="21"/>
          <w:szCs w:val="21"/>
          <w:lang w:val="en-US" w:eastAsia="zh-CN"/>
        </w:rPr>
      </w:pPr>
      <w:r>
        <w:rPr>
          <w:rFonts w:hint="eastAsia" w:ascii="楷体" w:hAnsi="楷体" w:eastAsia="楷体"/>
          <w:color w:val="auto"/>
          <w:sz w:val="21"/>
          <w:szCs w:val="21"/>
          <w:lang w:val="en-US" w:eastAsia="zh-CN"/>
        </w:rPr>
        <w:t>黄金、黄金主题股票、黄金ETF基金等黄金类资产的特殊风险：</w:t>
      </w:r>
    </w:p>
    <w:p>
      <w:pPr>
        <w:pStyle w:val="13"/>
        <w:spacing w:before="0" w:beforeAutospacing="0" w:after="0" w:afterAutospacing="0"/>
        <w:ind w:firstLine="422" w:firstLineChars="200"/>
        <w:jc w:val="both"/>
        <w:rPr>
          <w:rFonts w:hint="eastAsia" w:ascii="楷体" w:hAnsi="楷体" w:eastAsia="楷体"/>
          <w:b/>
          <w:color w:val="auto"/>
          <w:sz w:val="21"/>
          <w:szCs w:val="21"/>
          <w:u w:val="none"/>
        </w:rPr>
      </w:pPr>
      <w:r>
        <w:rPr>
          <w:rFonts w:hint="eastAsia" w:ascii="楷体" w:hAnsi="楷体" w:eastAsia="楷体"/>
          <w:b/>
          <w:color w:val="auto"/>
          <w:sz w:val="21"/>
          <w:szCs w:val="21"/>
          <w:u w:val="none"/>
        </w:rPr>
        <w:t>影响黄金类资产的价格的主要因素包括但不限于：①黄金的供给与需求；②投资者的黄金交易行为；③外汇汇率；④全球和地区性政治经济环境的变化等。</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31281"/>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361D"/>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23F35"/>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9F1431"/>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D75307"/>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0312A"/>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66263"/>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D97039"/>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4F38E1"/>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B2262"/>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44376"/>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91F1A"/>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3992"/>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4F0B6B"/>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DF61AFD"/>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4841</Words>
  <Characters>4845</Characters>
  <Lines>243</Lines>
  <Paragraphs>68</Paragraphs>
  <TotalTime>13</TotalTime>
  <ScaleCrop>false</ScaleCrop>
  <LinksUpToDate>false</LinksUpToDate>
  <CharactersWithSpaces>5044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2025-11-12T07:54:55Z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