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w:t>
      </w:r>
      <w:bookmarkStart w:id="0" w:name="_GoBack"/>
      <w:bookmarkEnd w:id="0"/>
      <w:r>
        <w:rPr>
          <w:rFonts w:hint="eastAsia" w:ascii="楷体" w:hAnsi="楷体" w:eastAsia="楷体"/>
          <w:b/>
          <w:color w:val="auto"/>
          <w:sz w:val="28"/>
          <w:szCs w:val="28"/>
          <w:lang w:eastAsia="zh-CN"/>
        </w:rPr>
        <w:t>债权252期优选2年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eastAsia" w:ascii="楷体" w:hAnsi="楷体" w:eastAsia="楷体" w:cs="楷体"/>
          <w:b/>
          <w:bCs w:val="0"/>
          <w:color w:val="auto"/>
          <w:sz w:val="21"/>
          <w:szCs w:val="21"/>
          <w:highlight w:val="none"/>
          <w:lang w:val="en-US" w:eastAsia="zh-CN"/>
        </w:rPr>
      </w:pP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1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2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3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4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5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0F0848"/>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77CAA"/>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975EB9"/>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330FD"/>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D178F"/>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C26CD2"/>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044F8"/>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8442F7"/>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95B9F"/>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C74D1"/>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42E50"/>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50066C"/>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52098"/>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63FC9"/>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2025-11-06T02:49:41Z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