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恒源封闭债权244期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4"/>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①融资方还款履约能力可能的变化导致的信用风险。②债务人提前还款或逾期还款的风险。③保证人未履行保证义务的风险等。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pStyle w:val="14"/>
        <w:spacing w:before="0" w:beforeAutospacing="0" w:after="0" w:afterAutospacing="0"/>
        <w:ind w:firstLine="422" w:firstLineChars="200"/>
        <w:jc w:val="both"/>
        <w:rPr>
          <w:rFonts w:hint="eastAsia" w:ascii="楷体" w:hAnsi="楷体" w:eastAsia="楷体"/>
          <w:b/>
          <w:color w:val="auto"/>
          <w:sz w:val="21"/>
          <w:szCs w:val="21"/>
          <w:u w:val="none"/>
        </w:rPr>
      </w:pP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1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①</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市场风险。结构性存款挂钩的境内外债券、股票、利率、汇率、指数等标的受相关国家或地区的金融市场和经济趋势的影响，收益存在不确定性。</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2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②</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3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③</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利率风险。结构性存款如挂钩特定债券或债券指数，可能因相关利率变动而导致产品收益发生变化。</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4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④</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汇率风险。结构性存款如挂钩境外证券资产，可能面临以非人民币计价的各类资产受汇率波动影响而引起人民币估值下的理财产品资产净值波动的风险。</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5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⑤</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黄金、黄金主题股票、黄金ETF基金等黄金类资产的特殊风险：</w:t>
      </w:r>
    </w:p>
    <w:p>
      <w:pPr>
        <w:pStyle w:val="14"/>
        <w:spacing w:before="0" w:beforeAutospacing="0" w:after="0" w:afterAutospacing="0"/>
        <w:ind w:firstLine="422" w:firstLineChars="200"/>
        <w:jc w:val="both"/>
        <w:rPr>
          <w:rFonts w:hint="eastAsia" w:ascii="楷体" w:hAnsi="楷体" w:eastAsia="楷体"/>
          <w:b/>
          <w:color w:val="auto"/>
          <w:sz w:val="21"/>
          <w:szCs w:val="21"/>
          <w:u w:val="none"/>
        </w:rPr>
      </w:pPr>
      <w:r>
        <w:rPr>
          <w:rFonts w:hint="eastAsia" w:ascii="楷体" w:hAnsi="楷体" w:eastAsia="楷体"/>
          <w:b/>
          <w:color w:val="auto"/>
          <w:sz w:val="21"/>
          <w:szCs w:val="21"/>
          <w:u w:val="none"/>
        </w:rPr>
        <w:t>影响黄金类资产的价格的主要因素包括但不限于：①黄金的供给与需求；②投资者的黄金交易行为；③外汇汇率；④全球和地区性政治经济环境的变化等。</w:t>
      </w:r>
    </w:p>
    <w:p>
      <w:pPr>
        <w:pStyle w:val="14"/>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4"/>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4"/>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pStyle w:val="14"/>
        <w:spacing w:before="0" w:beforeAutospacing="0" w:after="0" w:afterAutospacing="0" w:line="360" w:lineRule="auto"/>
        <w:jc w:val="both"/>
        <w:rPr>
          <w:rFonts w:ascii="楷体" w:hAnsi="楷体" w:eastAsia="楷体"/>
        </w:rPr>
      </w:pP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苏银理财恒源封闭债权244期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w:t>
      </w:r>
      <w:r>
        <w:rPr>
          <w:rFonts w:hint="eastAsia" w:ascii="楷体" w:hAnsi="楷体" w:eastAsia="楷体"/>
          <w:sz w:val="21"/>
          <w:szCs w:val="21"/>
          <w:lang w:val="en-US" w:eastAsia="zh-CN"/>
        </w:rPr>
        <w:t>投资范围</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恒源封闭债权244期</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苏银理财恒源封闭债权244期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Z7003125000279，</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A份额：苏银理财恒源封闭债权244期13月A/J10108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C份额：苏银理财恒源封闭债权244期13月C/J10109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D份额：苏银理财恒源封闭债权244期13月D/J10110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E份额：苏银理财恒源封闭债权244期13月E/J10111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F份额：苏银理财恒源封闭债权244期13月F/J10112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G份额：苏银理财恒源封闭债权244期13月G/J10113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I份额：苏银理财恒源封闭债权244期13月I/J10114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J份额：苏银理财恒源封闭债权244期13月J/J10115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K份额：苏银理财恒源封闭债权244期13月K/J10116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L份额：苏银理财恒源封闭债权244期13月L/J10117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M份额：苏银理财恒源封闭债权244期13月M/J10118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N份额：苏银理财恒源封闭债权244期13月N/J10119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Z份额：苏银理财恒源封闭债权244期13月Z/J10120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JS份额：苏银理财恒源封闭债权244期13月JS鑫福款/J10121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北部湾银行专属份额：苏银理财恒源封闭债权244期13月（北部湾银行专属）/J10122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芙蓉锦程·优选份额：苏银理财恒源封闭债权244期13月（芙蓉锦程·优选）/J10123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O份额：苏银理财恒源封闭债权244期13月O/J10124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H份额：苏银理财恒源封闭债权244期13月H/J10125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M份额面向个人销售；其他份额面向个人和机构投资者销售。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A/D/F/G/I/J/K/L/N/Z/JS/北部湾银行专属/芙蓉锦程·优选/O/H份额：1元/1元的整数倍；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C/M份额：10,000元/10,000元的整数倍；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12</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18</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产品成立日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2025年11月19日，如管理人调整募集期，则产品成立日将相应调整，以管理人公告为准。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6</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12</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8</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384</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2.55%-2.95%；C份额：2.60%-3.00%；D份额：2.55%-2.95%；E份额：2.65%-3.05%；F份额：2.55%-2.95%；G份额：2.45%-2.85%；I份额：2.55%-2.95%；J份额：2.50%-2.90%；K份额：2.70%-3.10%；L份额：2.60%-3.00%；M份额：2.40%-2.80%；N份额：2.65%-3.05%；Z份额：2.65%-3.05%；JS份额：2.55%-2.95%；北部湾银行专属份额：2.45%-2.85%；芙蓉锦程 ·优选份额：2.60%-3.00%；O份额：2.60%-3.00%；H份额：2.35%-2.75%。</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M份额：0.35%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北部湾银行专属份额：0.30%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芙蓉锦程·优选份额：0.15%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O份额：0.15%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北部湾银行专属份额：0.10%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芙蓉锦程·优选份额：0.10%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O份额：0.10%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D份额：宁波东海银行股份有限公司/广州农村商业银行股份有限公司/武汉农村商业银行股份有限公司/宁波通商银行股份有限公司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E份额：江苏银行股份有限公司/江苏常熟农村商业银行股份有限公司/苏银理财有限责任公司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北京农村商业银行股份有限公司/青岛银行股份有限公司/秦皇岛银行股份有限公司/上海浦东发展银行股份有限公司/宁夏银行股份有限公司/广州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舟山普陀农村商业银行股份有限公司/浙江桐庐农村商业银行股份有限公司/浙江禾城农村商业银行股份有限公司/浙江温岭农村商业银行股份有限公司/浙江海盐农村商业银行股份有限公司/浙江南浔农村商业银行股份有限公司/浙江永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桐庐农村商业银行股份有限公司/浙江新昌农村商业银行股份有限公司/浙江武义农村商业银行股份有限公司/浙江平湖农村商业银行股份有限公司/浙江龙游农村商业银行股份有限公司/浙江兰溪农村商业银行股份有限公司/浙江南浔农村商业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K份额：青岛银行股份有限公司/日照银行股份有限公司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L份额：青岛银行股份有限公司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N份额：浙江舟山定海海洋农村商业银行股份有限公司/浙江舟山普陀农村商业银行股份有限公司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Z份额：莱商银行股份有限公司/郑州银行股份有限公司/齐鲁银行股份有限公司/青岛银行股份有限公司/兰州银行股份有限公司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江苏江南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北部湾银行专属份额：广西北部湾银行股份有限公司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芙蓉锦程·优选份额：成都银行股份有限公司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O份额：徽商银行股份有限公司</w:t>
      </w:r>
      <w:bookmarkStart w:id="1" w:name="_GoBack"/>
      <w:bookmarkEnd w:id="1"/>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产品份额累计净值：指理财产品份额的单位净值与理财产品成立后历次累计单位收益分配的总和。</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7"/>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7"/>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4274D"/>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9C6927"/>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83D94"/>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897F26"/>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C02744"/>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D301A9"/>
    <w:rsid w:val="1DED2DDA"/>
    <w:rsid w:val="1DF72EE2"/>
    <w:rsid w:val="1E0D3222"/>
    <w:rsid w:val="1E117340"/>
    <w:rsid w:val="1E120BA4"/>
    <w:rsid w:val="1E15341A"/>
    <w:rsid w:val="1E194B86"/>
    <w:rsid w:val="1E1A5164"/>
    <w:rsid w:val="1E253B42"/>
    <w:rsid w:val="1E277F02"/>
    <w:rsid w:val="1E2834F7"/>
    <w:rsid w:val="1E3A163E"/>
    <w:rsid w:val="1E3A526C"/>
    <w:rsid w:val="1E3C4E01"/>
    <w:rsid w:val="1E494532"/>
    <w:rsid w:val="1E5555F8"/>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1E4258"/>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B85F9C"/>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3730E"/>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94C50"/>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40CC6"/>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4C9"/>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2D4545"/>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3284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1F424B"/>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763F6"/>
    <w:rsid w:val="3F092939"/>
    <w:rsid w:val="3F0F0A0C"/>
    <w:rsid w:val="3F0F1E55"/>
    <w:rsid w:val="3F144291"/>
    <w:rsid w:val="3F1A5060"/>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1473B9"/>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15D5B"/>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9F738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EA15BE"/>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2B70D0"/>
    <w:rsid w:val="5A3A032E"/>
    <w:rsid w:val="5A3B6E8B"/>
    <w:rsid w:val="5A3F220C"/>
    <w:rsid w:val="5A4E3CF8"/>
    <w:rsid w:val="5A567C3A"/>
    <w:rsid w:val="5A5B1AE2"/>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A39FB"/>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453AB3"/>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47F0C"/>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3E693A"/>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D5567"/>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8408F"/>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3BC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261AE"/>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08481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B7036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9E6961"/>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paragraph" w:styleId="6">
    <w:name w:val="annotation text"/>
    <w:basedOn w:val="1"/>
    <w:link w:val="42"/>
    <w:unhideWhenUsed/>
    <w:qFormat/>
    <w:uiPriority w:val="99"/>
    <w:pPr>
      <w:jc w:val="left"/>
    </w:pPr>
  </w:style>
  <w:style w:type="paragraph" w:styleId="7">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8">
    <w:name w:val="Date"/>
    <w:basedOn w:val="1"/>
    <w:next w:val="1"/>
    <w:link w:val="44"/>
    <w:unhideWhenUsed/>
    <w:qFormat/>
    <w:uiPriority w:val="99"/>
    <w:pPr>
      <w:ind w:left="100" w:leftChars="2500"/>
    </w:pPr>
  </w:style>
  <w:style w:type="paragraph" w:styleId="9">
    <w:name w:val="Balloon Text"/>
    <w:basedOn w:val="1"/>
    <w:link w:val="45"/>
    <w:unhideWhenUsed/>
    <w:qFormat/>
    <w:uiPriority w:val="99"/>
    <w:rPr>
      <w:kern w:val="0"/>
      <w:sz w:val="18"/>
      <w:szCs w:val="18"/>
    </w:rPr>
  </w:style>
  <w:style w:type="paragraph" w:styleId="10">
    <w:name w:val="footer"/>
    <w:basedOn w:val="1"/>
    <w:link w:val="46"/>
    <w:unhideWhenUsed/>
    <w:qFormat/>
    <w:uiPriority w:val="99"/>
    <w:pPr>
      <w:tabs>
        <w:tab w:val="center" w:pos="4153"/>
        <w:tab w:val="right" w:pos="8306"/>
      </w:tabs>
      <w:snapToGrid w:val="0"/>
      <w:jc w:val="left"/>
    </w:pPr>
    <w:rPr>
      <w:kern w:val="0"/>
      <w:sz w:val="18"/>
      <w:szCs w:val="18"/>
    </w:rPr>
  </w:style>
  <w:style w:type="paragraph" w:styleId="11">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footnote text"/>
    <w:basedOn w:val="1"/>
    <w:link w:val="48"/>
    <w:semiHidden/>
    <w:unhideWhenUsed/>
    <w:qFormat/>
    <w:uiPriority w:val="99"/>
    <w:pPr>
      <w:snapToGrid w:val="0"/>
      <w:jc w:val="left"/>
    </w:pPr>
    <w:rPr>
      <w:sz w:val="18"/>
      <w:szCs w:val="18"/>
    </w:rPr>
  </w:style>
  <w:style w:type="paragraph" w:styleId="13">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6"/>
    <w:next w:val="6"/>
    <w:link w:val="49"/>
    <w:unhideWhenUsed/>
    <w:qFormat/>
    <w:uiPriority w:val="99"/>
    <w:rPr>
      <w:b/>
      <w:bCs/>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7"/>
    <w:qFormat/>
    <w:uiPriority w:val="1"/>
    <w:rPr>
      <w:rFonts w:ascii="宋体" w:hAnsi="Times New Roman" w:eastAsia="宋体" w:cs="宋体"/>
      <w:kern w:val="0"/>
      <w:szCs w:val="21"/>
    </w:rPr>
  </w:style>
  <w:style w:type="character" w:customStyle="1" w:styleId="44">
    <w:name w:val="日期 字符1"/>
    <w:basedOn w:val="18"/>
    <w:link w:val="8"/>
    <w:semiHidden/>
    <w:qFormat/>
    <w:uiPriority w:val="99"/>
    <w:rPr>
      <w:rFonts w:ascii="Times New Roman" w:hAnsi="Times New Roman" w:eastAsia="宋体" w:cs="Times New Roman"/>
    </w:rPr>
  </w:style>
  <w:style w:type="character" w:customStyle="1" w:styleId="45">
    <w:name w:val="批注框文本 字符1"/>
    <w:link w:val="9"/>
    <w:semiHidden/>
    <w:qFormat/>
    <w:uiPriority w:val="99"/>
    <w:rPr>
      <w:rFonts w:ascii="Times New Roman" w:hAnsi="Times New Roman" w:eastAsia="宋体" w:cs="Times New Roman"/>
      <w:sz w:val="18"/>
      <w:szCs w:val="18"/>
    </w:rPr>
  </w:style>
  <w:style w:type="character" w:customStyle="1" w:styleId="46">
    <w:name w:val="页脚 字符1"/>
    <w:link w:val="10"/>
    <w:qFormat/>
    <w:uiPriority w:val="99"/>
    <w:rPr>
      <w:rFonts w:ascii="Times New Roman" w:hAnsi="Times New Roman" w:eastAsia="宋体" w:cs="Times New Roman"/>
      <w:sz w:val="18"/>
      <w:szCs w:val="18"/>
    </w:rPr>
  </w:style>
  <w:style w:type="character" w:customStyle="1" w:styleId="47">
    <w:name w:val="页眉 字符1"/>
    <w:link w:val="11"/>
    <w:qFormat/>
    <w:uiPriority w:val="99"/>
    <w:rPr>
      <w:rFonts w:ascii="Times New Roman" w:hAnsi="Times New Roman" w:eastAsia="宋体" w:cs="Times New Roman"/>
      <w:sz w:val="18"/>
      <w:szCs w:val="18"/>
    </w:rPr>
  </w:style>
  <w:style w:type="character" w:customStyle="1" w:styleId="48">
    <w:name w:val="脚注文本 字符2"/>
    <w:link w:val="12"/>
    <w:semiHidden/>
    <w:qFormat/>
    <w:uiPriority w:val="99"/>
    <w:rPr>
      <w:rFonts w:ascii="Times New Roman" w:hAnsi="Times New Roman" w:eastAsia="宋体" w:cs="Times New Roman"/>
      <w:kern w:val="2"/>
      <w:sz w:val="18"/>
      <w:szCs w:val="18"/>
    </w:rPr>
  </w:style>
  <w:style w:type="character" w:customStyle="1" w:styleId="49">
    <w:name w:val="批注主题 字符1"/>
    <w:link w:val="15"/>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20856</Words>
  <Characters>21792</Characters>
  <Lines>243</Lines>
  <Paragraphs>68</Paragraphs>
  <TotalTime>0</TotalTime>
  <ScaleCrop>false</ScaleCrop>
  <LinksUpToDate>false</LinksUpToDate>
  <CharactersWithSpaces>22062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2025-11-07T01:20:05Z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