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480"/>
        <w:jc w:val="center"/>
        <w:rPr>
          <w:rFonts w:ascii="仿宋_GB2312" w:hAnsi="宋体" w:eastAsia="仿宋_GB2312"/>
          <w:b/>
          <w:bCs/>
          <w:sz w:val="28"/>
          <w:szCs w:val="28"/>
        </w:rPr>
      </w:pPr>
      <w:r>
        <w:rPr>
          <w:rFonts w:hint="eastAsia" w:ascii="仿宋_GB2312" w:hAnsi="宋体" w:eastAsia="仿宋_GB2312"/>
          <w:b/>
          <w:bCs/>
          <w:sz w:val="28"/>
          <w:szCs w:val="28"/>
        </w:rPr>
        <w:t>代理销售理财产品要素表和代销费率</w:t>
      </w:r>
    </w:p>
    <w:tbl>
      <w:tblPr>
        <w:tblStyle w:val="7"/>
        <w:tblW w:w="85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33"/>
        <w:gridCol w:w="60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产品名称</w:t>
            </w:r>
          </w:p>
        </w:tc>
        <w:tc>
          <w:tcPr>
            <w:tcW w:w="6095" w:type="dxa"/>
            <w:vAlign w:val="center"/>
          </w:tcPr>
          <w:p>
            <w:pPr>
              <w:spacing w:line="320" w:lineRule="exact"/>
              <w:jc w:val="both"/>
              <w:rPr>
                <w:rFonts w:hint="default" w:ascii="仿宋_GB2312" w:hAnsi="仿宋" w:eastAsia="仿宋_GB2312"/>
                <w:bCs/>
                <w:kern w:val="0"/>
                <w:sz w:val="20"/>
                <w:szCs w:val="21"/>
                <w:lang w:val="en-US" w:eastAsia="zh-CN"/>
              </w:rPr>
            </w:pPr>
            <w:r>
              <w:rPr>
                <w:rFonts w:hint="eastAsia" w:ascii="楷体" w:hAnsi="楷体" w:eastAsia="楷体" w:cs="宋体"/>
                <w:spacing w:val="-2"/>
                <w:sz w:val="20"/>
                <w:szCs w:val="20"/>
                <w:lang w:val="en-US" w:eastAsia="zh-CN"/>
              </w:rPr>
              <w:t>苏银理财恒源封闭债权226期优选2年</w:t>
            </w:r>
            <w:r>
              <w:rPr>
                <w:rFonts w:hint="eastAsia" w:ascii="楷体" w:hAnsi="楷体" w:eastAsia="楷体" w:cs="宋体"/>
                <w:spacing w:val="-2"/>
                <w:sz w:val="20"/>
                <w:szCs w:val="20"/>
                <w:lang w:val="en-US" w:eastAsia="zh-CN"/>
              </w:rPr>
              <w:br w:type="textWrapping"/>
            </w:r>
            <w:r>
              <w:rPr>
                <w:rFonts w:hint="eastAsia" w:ascii="楷体" w:hAnsi="楷体" w:eastAsia="楷体" w:cs="宋体"/>
                <w:spacing w:val="-2"/>
                <w:sz w:val="20"/>
                <w:szCs w:val="20"/>
                <w:lang w:val="en-US" w:eastAsia="zh-CN"/>
              </w:rPr>
              <w:t>E份额：苏银理财恒源封闭债权226期优选2年E/J08324</w:t>
            </w:r>
            <w:r>
              <w:rPr>
                <w:rFonts w:hint="eastAsia" w:ascii="楷体" w:hAnsi="楷体" w:eastAsia="楷体" w:cs="宋体"/>
                <w:spacing w:val="-2"/>
                <w:sz w:val="20"/>
                <w:szCs w:val="20"/>
                <w:lang w:val="en-US" w:eastAsia="zh-CN"/>
              </w:rPr>
              <w:br w:type="textWrapping"/>
            </w:r>
            <w:r>
              <w:rPr>
                <w:rFonts w:hint="eastAsia" w:ascii="楷体" w:hAnsi="楷体" w:eastAsia="楷体" w:cs="宋体"/>
                <w:spacing w:val="-2"/>
                <w:sz w:val="20"/>
                <w:szCs w:val="20"/>
                <w:lang w:val="en-US" w:eastAsia="zh-CN"/>
              </w:rPr>
              <w:t>G份额：苏银理财恒源封闭债权226期优选2年G/J08326</w:t>
            </w:r>
            <w:r>
              <w:rPr>
                <w:rFonts w:hint="eastAsia" w:ascii="楷体" w:hAnsi="楷体" w:eastAsia="楷体" w:cs="宋体"/>
                <w:spacing w:val="-2"/>
                <w:sz w:val="20"/>
                <w:szCs w:val="20"/>
                <w:lang w:val="en-US" w:eastAsia="zh-CN"/>
              </w:rPr>
              <w:br w:type="textWrapping"/>
            </w:r>
            <w:r>
              <w:rPr>
                <w:rFonts w:hint="eastAsia" w:ascii="楷体" w:hAnsi="楷体" w:eastAsia="楷体" w:cs="宋体"/>
                <w:spacing w:val="-2"/>
                <w:sz w:val="20"/>
                <w:szCs w:val="20"/>
                <w:lang w:val="en-US" w:eastAsia="zh-CN"/>
              </w:rPr>
              <w:t>JS鑫福款份额：苏银理财恒源封闭债权226期优选2年JS鑫福款/J08332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理财信息登记系统</w:t>
            </w:r>
          </w:p>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产品编码</w:t>
            </w:r>
          </w:p>
        </w:tc>
        <w:tc>
          <w:tcPr>
            <w:tcW w:w="6095" w:type="dxa"/>
            <w:vAlign w:val="center"/>
          </w:tcPr>
          <w:p>
            <w:pPr>
              <w:spacing w:line="320" w:lineRule="exact"/>
              <w:jc w:val="both"/>
              <w:rPr>
                <w:rFonts w:ascii="仿宋_GB2312" w:hAnsi="仿宋" w:eastAsia="仿宋_GB2312"/>
                <w:kern w:val="0"/>
                <w:sz w:val="20"/>
                <w:szCs w:val="21"/>
              </w:rPr>
            </w:pPr>
            <w:r>
              <w:rPr>
                <w:rFonts w:hint="eastAsia" w:ascii="楷体" w:hAnsi="楷体" w:eastAsia="楷体" w:cs="宋体"/>
                <w:spacing w:val="-2"/>
                <w:sz w:val="20"/>
                <w:szCs w:val="20"/>
                <w:lang w:val="en-US" w:eastAsia="zh-CN"/>
              </w:rPr>
              <w:t>Z7003125000250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产品类型</w:t>
            </w:r>
          </w:p>
        </w:tc>
        <w:tc>
          <w:tcPr>
            <w:tcW w:w="6095" w:type="dxa"/>
            <w:vAlign w:val="center"/>
          </w:tcPr>
          <w:p>
            <w:pPr>
              <w:spacing w:line="320" w:lineRule="exact"/>
              <w:jc w:val="both"/>
              <w:rPr>
                <w:rFonts w:ascii="仿宋_GB2312" w:hAnsi="仿宋" w:eastAsia="仿宋_GB2312"/>
                <w:kern w:val="0"/>
                <w:sz w:val="20"/>
                <w:szCs w:val="21"/>
              </w:rPr>
            </w:pPr>
            <w:r>
              <w:rPr>
                <w:rFonts w:hint="eastAsia" w:ascii="楷体" w:hAnsi="楷体" w:eastAsia="楷体" w:cs="宋体"/>
                <w:spacing w:val="-2"/>
                <w:sz w:val="20"/>
                <w:szCs w:val="20"/>
                <w:lang w:val="en-US" w:eastAsia="zh-CN"/>
              </w:rPr>
              <w:t>固定收益类、公募、封闭式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募集期/开放期</w:t>
            </w:r>
          </w:p>
        </w:tc>
        <w:tc>
          <w:tcPr>
            <w:tcW w:w="6095" w:type="dxa"/>
            <w:vAlign w:val="center"/>
          </w:tcPr>
          <w:p>
            <w:pPr>
              <w:spacing w:line="320" w:lineRule="exact"/>
              <w:jc w:val="both"/>
              <w:rPr>
                <w:rFonts w:ascii="仿宋_GB2312" w:hAnsi="仿宋" w:eastAsia="仿宋_GB2312"/>
                <w:bCs/>
                <w:kern w:val="0"/>
                <w:sz w:val="20"/>
                <w:szCs w:val="21"/>
              </w:rPr>
            </w:pPr>
            <w:r>
              <w:rPr>
                <w:rFonts w:hint="eastAsia" w:ascii="楷体" w:hAnsi="楷体" w:eastAsia="楷体" w:cs="宋体"/>
                <w:spacing w:val="-2"/>
                <w:sz w:val="20"/>
                <w:szCs w:val="20"/>
                <w:lang w:val="en-US" w:eastAsia="zh-CN"/>
              </w:rPr>
              <w:t>2025年9月25日至2025年10月9日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成立日/份额确认日</w:t>
            </w:r>
          </w:p>
        </w:tc>
        <w:tc>
          <w:tcPr>
            <w:tcW w:w="6095" w:type="dxa"/>
            <w:vAlign w:val="center"/>
          </w:tcPr>
          <w:p>
            <w:pPr>
              <w:spacing w:line="320" w:lineRule="exact"/>
              <w:jc w:val="both"/>
              <w:rPr>
                <w:rFonts w:ascii="仿宋_GB2312" w:hAnsi="仿宋" w:eastAsia="仿宋_GB2312"/>
                <w:kern w:val="0"/>
                <w:sz w:val="20"/>
                <w:szCs w:val="21"/>
              </w:rPr>
            </w:pPr>
            <w:r>
              <w:rPr>
                <w:rFonts w:hint="eastAsia" w:ascii="楷体" w:hAnsi="楷体" w:eastAsia="楷体" w:cs="宋体"/>
                <w:spacing w:val="-2"/>
                <w:sz w:val="20"/>
                <w:szCs w:val="20"/>
                <w:lang w:val="en-US" w:eastAsia="zh-CN"/>
              </w:rPr>
              <w:t>2025年10月10日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到期日</w:t>
            </w:r>
          </w:p>
        </w:tc>
        <w:tc>
          <w:tcPr>
            <w:tcW w:w="6095" w:type="dxa"/>
            <w:vAlign w:val="center"/>
          </w:tcPr>
          <w:p>
            <w:pPr>
              <w:spacing w:line="320" w:lineRule="exact"/>
              <w:jc w:val="both"/>
              <w:rPr>
                <w:rFonts w:ascii="仿宋_GB2312" w:hAnsi="仿宋" w:eastAsia="仿宋_GB2312"/>
                <w:kern w:val="0"/>
                <w:sz w:val="20"/>
                <w:szCs w:val="21"/>
              </w:rPr>
            </w:pPr>
            <w:r>
              <w:rPr>
                <w:rFonts w:hint="eastAsia" w:ascii="楷体" w:hAnsi="楷体" w:eastAsia="楷体" w:cs="宋体"/>
                <w:spacing w:val="-2"/>
                <w:sz w:val="20"/>
                <w:szCs w:val="20"/>
                <w:lang w:val="en-US" w:eastAsia="zh-CN"/>
              </w:rPr>
              <w:t>2027年10月27日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存续期限</w:t>
            </w:r>
          </w:p>
        </w:tc>
        <w:tc>
          <w:tcPr>
            <w:tcW w:w="6095" w:type="dxa"/>
            <w:vAlign w:val="center"/>
          </w:tcPr>
          <w:p>
            <w:pPr>
              <w:spacing w:line="320" w:lineRule="exact"/>
              <w:jc w:val="both"/>
              <w:rPr>
                <w:rFonts w:ascii="仿宋_GB2312" w:hAnsi="仿宋" w:eastAsia="仿宋_GB2312"/>
                <w:kern w:val="0"/>
                <w:sz w:val="20"/>
                <w:szCs w:val="21"/>
              </w:rPr>
            </w:pPr>
            <w:r>
              <w:rPr>
                <w:rFonts w:hint="eastAsia" w:ascii="楷体" w:hAnsi="楷体" w:eastAsia="楷体" w:cs="宋体"/>
                <w:spacing w:val="-2"/>
                <w:sz w:val="20"/>
                <w:szCs w:val="20"/>
                <w:lang w:val="en-US" w:eastAsia="zh-CN"/>
              </w:rPr>
              <w:t>747天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投资起点</w:t>
            </w:r>
          </w:p>
        </w:tc>
        <w:tc>
          <w:tcPr>
            <w:tcW w:w="6095" w:type="dxa"/>
            <w:vAlign w:val="center"/>
          </w:tcPr>
          <w:p>
            <w:pPr>
              <w:spacing w:line="320" w:lineRule="exact"/>
              <w:jc w:val="both"/>
              <w:rPr>
                <w:rFonts w:hint="eastAsia" w:ascii="仿宋_GB2312" w:hAnsi="仿宋" w:eastAsia="仿宋_GB2312"/>
                <w:bCs/>
                <w:kern w:val="0"/>
                <w:sz w:val="20"/>
                <w:szCs w:val="21"/>
              </w:rPr>
            </w:pPr>
            <w:r>
              <w:rPr>
                <w:rFonts w:hint="eastAsia" w:ascii="楷体" w:hAnsi="楷体" w:eastAsia="楷体" w:cs="宋体"/>
                <w:spacing w:val="-2"/>
                <w:sz w:val="20"/>
                <w:szCs w:val="20"/>
                <w:lang w:val="en-US" w:eastAsia="zh-CN"/>
              </w:rPr>
              <w:t>E份额:认购起点3000000.00元，追加金额为10000.00元的整数倍。或与产品说明书保持一致。</w:t>
            </w:r>
            <w:r>
              <w:rPr>
                <w:rFonts w:hint="eastAsia" w:ascii="楷体" w:hAnsi="楷体" w:eastAsia="楷体" w:cs="宋体"/>
                <w:spacing w:val="-2"/>
                <w:sz w:val="20"/>
                <w:szCs w:val="20"/>
                <w:lang w:val="en-US" w:eastAsia="zh-CN"/>
              </w:rPr>
              <w:br w:type="textWrapping"/>
            </w:r>
            <w:r>
              <w:rPr>
                <w:rFonts w:hint="eastAsia" w:ascii="楷体" w:hAnsi="楷体" w:eastAsia="楷体" w:cs="宋体"/>
                <w:spacing w:val="-2"/>
                <w:sz w:val="20"/>
                <w:szCs w:val="20"/>
                <w:lang w:val="en-US" w:eastAsia="zh-CN"/>
              </w:rPr>
              <w:t>G份额:认购起点1.00元，追加金额为1.00元的整数倍。</w:t>
            </w:r>
            <w:r>
              <w:rPr>
                <w:rFonts w:hint="eastAsia" w:ascii="楷体" w:hAnsi="楷体" w:eastAsia="楷体" w:cs="宋体"/>
                <w:spacing w:val="-2"/>
                <w:sz w:val="20"/>
                <w:szCs w:val="20"/>
                <w:lang w:val="en-US" w:eastAsia="zh-CN"/>
              </w:rPr>
              <w:br w:type="textWrapping"/>
            </w:r>
            <w:r>
              <w:rPr>
                <w:rFonts w:hint="eastAsia" w:ascii="楷体" w:hAnsi="楷体" w:eastAsia="楷体" w:cs="宋体"/>
                <w:spacing w:val="-2"/>
                <w:sz w:val="20"/>
                <w:szCs w:val="20"/>
                <w:lang w:val="en-US" w:eastAsia="zh-CN"/>
              </w:rPr>
              <w:t>JS鑫福款份额:认购起点1.00元，追加金额为1.00元的整数倍。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销售规模</w:t>
            </w:r>
          </w:p>
        </w:tc>
        <w:tc>
          <w:tcPr>
            <w:tcW w:w="6095" w:type="dxa"/>
            <w:vAlign w:val="center"/>
          </w:tcPr>
          <w:p>
            <w:pPr>
              <w:spacing w:line="320" w:lineRule="exact"/>
              <w:jc w:val="both"/>
              <w:rPr>
                <w:rFonts w:ascii="仿宋_GB2312" w:hAnsi="仿宋" w:eastAsia="仿宋_GB2312"/>
                <w:kern w:val="0"/>
                <w:sz w:val="20"/>
                <w:szCs w:val="21"/>
              </w:rPr>
            </w:pPr>
            <w:r>
              <w:rPr>
                <w:rFonts w:hint="eastAsia" w:ascii="楷体" w:hAnsi="楷体" w:eastAsia="楷体"/>
                <w:sz w:val="20"/>
                <w:szCs w:val="20"/>
                <w:lang w:val="en-US" w:eastAsia="zh-CN"/>
              </w:rPr>
              <w:t>管理人可依据产品及市场情况对额度进行调整并及时与销售机构进行沟通，具体额度以管理人实际释放为准。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投资范围</w:t>
            </w:r>
          </w:p>
        </w:tc>
        <w:tc>
          <w:tcPr>
            <w:tcW w:w="6095" w:type="dxa"/>
            <w:vAlign w:val="center"/>
          </w:tcPr>
          <w:p>
            <w:pPr>
              <w:spacing w:line="320" w:lineRule="exact"/>
              <w:jc w:val="both"/>
              <w:rPr>
                <w:rFonts w:ascii="仿宋_GB2312" w:hAnsi="仿宋" w:eastAsia="仿宋_GB2312"/>
                <w:bCs/>
                <w:kern w:val="0"/>
                <w:sz w:val="20"/>
                <w:szCs w:val="21"/>
              </w:rPr>
            </w:pPr>
            <w:r>
              <w:rPr>
                <w:rFonts w:hint="eastAsia" w:ascii="楷体" w:hAnsi="楷体" w:eastAsia="楷体" w:cs="宋体"/>
                <w:spacing w:val="-2"/>
                <w:sz w:val="20"/>
                <w:szCs w:val="20"/>
                <w:lang w:val="en-US" w:eastAsia="zh-CN"/>
              </w:rPr>
              <w:t>本理财产品直接或间接投资于货币市场工具、债券、非标准化债权类资产和监管机构允许投资的其他资产（如纳入权益类资产核算的永续债等，不含金融衍生品）。具体资产投资比例为：货币市场工具、债券、非标准化债权类资产等固定收益类资产占产品资产总值比例80%-100%，其中非标准化债权类资产合计投资比例不高于产品净资产50%，非标准化债权类资产底层资产仅为消费类贷款债权资产；符合监管要求的其他资产占产品资产总值比例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风险评级</w:t>
            </w:r>
          </w:p>
        </w:tc>
        <w:tc>
          <w:tcPr>
            <w:tcW w:w="6095" w:type="dxa"/>
            <w:vAlign w:val="center"/>
          </w:tcPr>
          <w:p>
            <w:pPr>
              <w:spacing w:line="320" w:lineRule="exact"/>
              <w:jc w:val="both"/>
              <w:rPr>
                <w:rFonts w:hint="eastAsia" w:ascii="仿宋_GB2312" w:hAnsi="仿宋" w:eastAsia="仿宋_GB2312"/>
                <w:bCs/>
                <w:kern w:val="0"/>
                <w:sz w:val="20"/>
                <w:szCs w:val="21"/>
              </w:rPr>
            </w:pPr>
            <w:r>
              <w:rPr>
                <w:rFonts w:hint="eastAsia" w:ascii="楷体" w:hAnsi="楷体" w:eastAsia="楷体" w:cs="宋体"/>
                <w:spacing w:val="-2"/>
                <w:sz w:val="20"/>
                <w:szCs w:val="20"/>
                <w:lang w:val="en-US" w:eastAsia="zh-CN"/>
              </w:rPr>
              <w:t>二级（中低风险）</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hint="default" w:ascii="仿宋_GB2312" w:hAnsi="仿宋" w:eastAsia="仿宋_GB2312"/>
                <w:b/>
                <w:kern w:val="0"/>
                <w:sz w:val="20"/>
                <w:szCs w:val="21"/>
                <w:lang w:val="en-US" w:eastAsia="zh-CN"/>
              </w:rPr>
            </w:pPr>
            <w:r>
              <w:rPr>
                <w:rFonts w:hint="eastAsia" w:ascii="仿宋_GB2312" w:hAnsi="仿宋" w:eastAsia="仿宋_GB2312"/>
                <w:b/>
                <w:kern w:val="0"/>
                <w:sz w:val="20"/>
                <w:szCs w:val="21"/>
              </w:rPr>
              <w:t>代销服务费率</w:t>
            </w:r>
            <w:r>
              <w:rPr>
                <w:rFonts w:hint="eastAsia" w:ascii="仿宋_GB2312" w:hAnsi="仿宋" w:eastAsia="仿宋_GB2312"/>
                <w:b/>
                <w:kern w:val="0"/>
                <w:sz w:val="20"/>
                <w:szCs w:val="21"/>
                <w:lang w:val="en-US" w:eastAsia="zh-CN"/>
              </w:rPr>
              <w:t>及生效时间</w:t>
            </w:r>
          </w:p>
        </w:tc>
        <w:tc>
          <w:tcPr>
            <w:tcW w:w="6095" w:type="dxa"/>
            <w:vAlign w:val="center"/>
          </w:tcPr>
          <w:p>
            <w:pPr>
              <w:spacing w:line="320" w:lineRule="exact"/>
              <w:jc w:val="both"/>
              <w:rPr>
                <w:rFonts w:hint="eastAsia" w:ascii="楷体" w:hAnsi="楷体" w:eastAsia="楷体" w:cs="宋体"/>
                <w:spacing w:val="-2"/>
                <w:sz w:val="20"/>
                <w:szCs w:val="20"/>
                <w:lang w:val="en-US" w:eastAsia="zh-CN"/>
              </w:rPr>
            </w:pPr>
            <w:r>
              <w:rPr>
                <w:rFonts w:hint="eastAsia" w:ascii="楷体" w:hAnsi="楷体" w:eastAsia="楷体" w:cs="宋体"/>
                <w:spacing w:val="-2"/>
                <w:sz w:val="20"/>
                <w:szCs w:val="20"/>
                <w:lang w:val="en-US" w:eastAsia="zh-CN"/>
              </w:rPr>
              <w:t>E份额:0.15%年</w:t>
            </w:r>
            <w:r>
              <w:rPr>
                <w:rFonts w:hint="eastAsia" w:ascii="楷体" w:hAnsi="楷体" w:eastAsia="楷体" w:cs="宋体"/>
                <w:spacing w:val="-2"/>
                <w:sz w:val="20"/>
                <w:szCs w:val="20"/>
                <w:lang w:val="en-US" w:eastAsia="zh-CN"/>
              </w:rPr>
              <w:br w:type="textWrapping"/>
            </w:r>
            <w:r>
              <w:rPr>
                <w:rFonts w:hint="eastAsia" w:ascii="楷体" w:hAnsi="楷体" w:eastAsia="楷体" w:cs="宋体"/>
                <w:spacing w:val="-2"/>
                <w:sz w:val="20"/>
                <w:szCs w:val="20"/>
                <w:lang w:val="en-US" w:eastAsia="zh-CN"/>
              </w:rPr>
              <w:t>G份额:0.3%年</w:t>
            </w:r>
            <w:r>
              <w:rPr>
                <w:rFonts w:hint="eastAsia" w:ascii="楷体" w:hAnsi="楷体" w:eastAsia="楷体" w:cs="宋体"/>
                <w:spacing w:val="-2"/>
                <w:sz w:val="20"/>
                <w:szCs w:val="20"/>
                <w:lang w:val="en-US" w:eastAsia="zh-CN"/>
              </w:rPr>
              <w:br w:type="textWrapping"/>
            </w:r>
            <w:r>
              <w:rPr>
                <w:rFonts w:hint="eastAsia" w:ascii="楷体" w:hAnsi="楷体" w:eastAsia="楷体" w:cs="宋体"/>
                <w:spacing w:val="-2"/>
                <w:sz w:val="20"/>
                <w:szCs w:val="20"/>
                <w:lang w:val="en-US" w:eastAsia="zh-CN"/>
              </w:rPr>
              <w:t>JS鑫福款份额:0.2%年</w:t>
            </w:r>
          </w:p>
          <w:p>
            <w:pPr>
              <w:spacing w:line="320" w:lineRule="exact"/>
              <w:jc w:val="both"/>
              <w:rPr>
                <w:rFonts w:hint="eastAsia" w:ascii="楷体" w:hAnsi="楷体" w:eastAsia="楷体" w:cs="宋体"/>
                <w:spacing w:val="-2"/>
                <w:sz w:val="20"/>
                <w:szCs w:val="20"/>
                <w:lang w:val="en-US" w:eastAsia="zh-CN"/>
              </w:rPr>
            </w:pPr>
            <w:r>
              <w:rPr>
                <w:rFonts w:hint="eastAsia" w:ascii="楷体" w:hAnsi="楷体" w:eastAsia="楷体" w:cs="宋体"/>
                <w:spacing w:val="-2"/>
                <w:sz w:val="20"/>
                <w:szCs w:val="20"/>
                <w:lang w:val="en-US" w:eastAsia="zh-CN"/>
              </w:rPr>
              <w:t>自上架销售日起执行，之后如有调整则另行约定</w:t>
            </w:r>
          </w:p>
          <w:p>
            <w:pPr>
              <w:spacing w:line="320" w:lineRule="exact"/>
              <w:jc w:val="both"/>
              <w:rPr>
                <w:rFonts w:hint="eastAsia" w:ascii="仿宋_GB2312" w:hAnsi="仿宋" w:eastAsia="仿宋_GB2312"/>
                <w:bCs/>
                <w:kern w:val="0"/>
                <w:sz w:val="20"/>
                <w:szCs w:val="21"/>
              </w:rPr>
            </w:pPr>
            <w:r>
              <w:rPr>
                <w:rFonts w:hint="eastAsia" w:ascii="楷体" w:hAnsi="楷体" w:eastAsia="楷体" w:cs="宋体"/>
                <w:spacing w:val="-2"/>
                <w:sz w:val="20"/>
                <w:szCs w:val="20"/>
                <w:lang w:val="en-US" w:eastAsia="zh-CN"/>
              </w:rPr>
              <w:t>如代销服务费超过销售服务费，则超出部分通过投资管理费分成进行差额补足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业绩比较基准</w:t>
            </w:r>
          </w:p>
        </w:tc>
        <w:tc>
          <w:tcPr>
            <w:tcW w:w="6095" w:type="dxa"/>
            <w:vAlign w:val="center"/>
          </w:tcPr>
          <w:p>
            <w:pPr>
              <w:spacing w:line="320" w:lineRule="exact"/>
              <w:jc w:val="both"/>
              <w:rPr>
                <w:rFonts w:hint="default" w:ascii="仿宋_GB2312" w:hAnsi="仿宋" w:eastAsia="仿宋_GB2312"/>
                <w:bCs/>
                <w:kern w:val="0"/>
                <w:sz w:val="20"/>
                <w:szCs w:val="21"/>
                <w:lang w:val="en-US" w:eastAsia="zh-CN"/>
              </w:rPr>
            </w:pPr>
            <w:r>
              <w:rPr>
                <w:rFonts w:hint="eastAsia" w:ascii="楷体" w:hAnsi="楷体" w:eastAsia="楷体" w:cs="宋体"/>
                <w:spacing w:val="-2"/>
                <w:sz w:val="20"/>
                <w:szCs w:val="20"/>
                <w:lang w:val="en-US" w:eastAsia="zh-CN"/>
              </w:rPr>
              <w:t>E份额：2.85%-3.25%，2025年10月10日</w:t>
            </w:r>
            <w:r>
              <w:rPr>
                <w:rFonts w:hint="eastAsia" w:ascii="楷体" w:hAnsi="楷体" w:eastAsia="楷体" w:cs="宋体"/>
                <w:spacing w:val="-2"/>
                <w:sz w:val="20"/>
                <w:szCs w:val="20"/>
                <w:lang w:val="en-US" w:eastAsia="zh-CN"/>
              </w:rPr>
              <w:br w:type="textWrapping"/>
            </w:r>
            <w:r>
              <w:rPr>
                <w:rFonts w:hint="eastAsia" w:ascii="楷体" w:hAnsi="楷体" w:eastAsia="楷体" w:cs="宋体"/>
                <w:spacing w:val="-2"/>
                <w:sz w:val="20"/>
                <w:szCs w:val="20"/>
                <w:lang w:val="en-US" w:eastAsia="zh-CN"/>
              </w:rPr>
              <w:t>G份额：2.60%-3.00%，2025年10月10日</w:t>
            </w:r>
            <w:r>
              <w:rPr>
                <w:rFonts w:hint="eastAsia" w:ascii="楷体" w:hAnsi="楷体" w:eastAsia="楷体" w:cs="宋体"/>
                <w:spacing w:val="-2"/>
                <w:sz w:val="20"/>
                <w:szCs w:val="20"/>
                <w:lang w:val="en-US" w:eastAsia="zh-CN"/>
              </w:rPr>
              <w:br w:type="textWrapping"/>
            </w:r>
            <w:r>
              <w:rPr>
                <w:rFonts w:hint="eastAsia" w:ascii="楷体" w:hAnsi="楷体" w:eastAsia="楷体" w:cs="宋体"/>
                <w:spacing w:val="-2"/>
                <w:sz w:val="20"/>
                <w:szCs w:val="20"/>
                <w:lang w:val="en-US" w:eastAsia="zh-CN"/>
              </w:rPr>
              <w:t>JS鑫福款份额：2.70%-3.10%，2025年10月10日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理财产品资金募集账户</w:t>
            </w:r>
          </w:p>
        </w:tc>
        <w:tc>
          <w:tcPr>
            <w:tcW w:w="6095" w:type="dxa"/>
            <w:vAlign w:val="center"/>
          </w:tcPr>
          <w:p>
            <w:pPr>
              <w:spacing w:line="320" w:lineRule="exact"/>
              <w:jc w:val="both"/>
              <w:rPr>
                <w:rFonts w:ascii="仿宋_GB2312" w:hAnsi="仿宋" w:eastAsia="仿宋_GB2312"/>
                <w:kern w:val="0"/>
                <w:sz w:val="20"/>
                <w:szCs w:val="21"/>
              </w:rPr>
            </w:pPr>
            <w:r>
              <w:rPr>
                <w:rFonts w:hint="eastAsia" w:ascii="楷体" w:hAnsi="楷体" w:eastAsia="楷体"/>
                <w:sz w:val="20"/>
                <w:szCs w:val="20"/>
                <w:lang w:val="en-US" w:eastAsia="zh-CN"/>
              </w:rPr>
              <w:t>户名：苏银理财有限责任公司</w:t>
            </w:r>
            <w:r>
              <w:rPr>
                <w:rFonts w:hint="eastAsia" w:ascii="楷体" w:hAnsi="楷体" w:eastAsia="楷体"/>
                <w:sz w:val="20"/>
                <w:szCs w:val="20"/>
                <w:lang w:val="en-US" w:eastAsia="zh-CN"/>
              </w:rPr>
              <w:br w:type="textWrapping"/>
            </w:r>
            <w:r>
              <w:rPr>
                <w:rFonts w:hint="eastAsia" w:ascii="楷体" w:hAnsi="楷体" w:eastAsia="楷体"/>
                <w:sz w:val="20"/>
                <w:szCs w:val="20"/>
                <w:lang w:val="en-US" w:eastAsia="zh-CN"/>
              </w:rPr>
              <w:t>开户行：江苏银行南京河西支行</w:t>
            </w:r>
            <w:r>
              <w:rPr>
                <w:rFonts w:hint="eastAsia" w:ascii="楷体" w:hAnsi="楷体" w:eastAsia="楷体"/>
                <w:sz w:val="20"/>
                <w:szCs w:val="20"/>
                <w:lang w:val="en-US" w:eastAsia="zh-CN"/>
              </w:rPr>
              <w:br w:type="textWrapping"/>
            </w:r>
            <w:r>
              <w:rPr>
                <w:rFonts w:hint="eastAsia" w:ascii="楷体" w:hAnsi="楷体" w:eastAsia="楷体"/>
                <w:sz w:val="20"/>
                <w:szCs w:val="20"/>
                <w:lang w:val="en-US" w:eastAsia="zh-CN"/>
              </w:rPr>
              <w:t>账号：31120188000183568</w:t>
            </w:r>
            <w:r>
              <w:rPr>
                <w:rFonts w:hint="eastAsia" w:ascii="楷体" w:hAnsi="楷体" w:eastAsia="楷体"/>
                <w:sz w:val="20"/>
                <w:szCs w:val="20"/>
                <w:lang w:val="en-US" w:eastAsia="zh-CN"/>
              </w:rPr>
              <w:br w:type="textWrapping"/>
            </w:r>
            <w:r>
              <w:rPr>
                <w:rFonts w:hint="eastAsia" w:ascii="楷体" w:hAnsi="楷体" w:eastAsia="楷体"/>
                <w:sz w:val="20"/>
                <w:szCs w:val="20"/>
                <w:lang w:val="en-US" w:eastAsia="zh-CN"/>
              </w:rPr>
              <w:t>大额支付系统行号：313301098112</w:t>
            </w:r>
            <w:r>
              <w:rPr>
                <w:rFonts w:hint="eastAsia" w:ascii="楷体" w:hAnsi="楷体" w:eastAsia="楷体"/>
                <w:sz w:val="20"/>
                <w:szCs w:val="20"/>
                <w:lang w:val="en-US" w:eastAsia="zh-CN"/>
              </w:rPr>
              <w:br w:type="textWrapping"/>
            </w:r>
            <w:r>
              <w:rPr>
                <w:rFonts w:hint="eastAsia" w:ascii="楷体" w:hAnsi="楷体" w:eastAsia="楷体"/>
                <w:sz w:val="20"/>
                <w:szCs w:val="20"/>
                <w:lang w:val="en-US" w:eastAsia="zh-CN"/>
              </w:rPr>
              <w:t>请将客户购买资金划付至理财产品资金募集账户。</w:t>
            </w:r>
          </w:p>
        </w:tc>
      </w:tr>
    </w:tbl>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panose1 w:val="03000509000000000000"/>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方正黑体简体">
    <w:panose1 w:val="03000509000000000000"/>
    <w:charset w:val="86"/>
    <w:family w:val="auto"/>
    <w:pitch w:val="default"/>
    <w:sig w:usb0="00000001" w:usb1="080E0000" w:usb2="00000000" w:usb3="00000000" w:csb0="00040000" w:csb1="00000000"/>
  </w:font>
  <w:font w:name="方正仿宋简体">
    <w:panose1 w:val="03000509000000000000"/>
    <w:charset w:val="86"/>
    <w:family w:val="auto"/>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dit="readOnly"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Q0Y2ZkZmYwOGI2NjMyN2Y1MGRkN2I1N2YzNTFiODUifQ=="/>
  </w:docVars>
  <w:rsids>
    <w:rsidRoot w:val="002A2567"/>
    <w:rsid w:val="00010F42"/>
    <w:rsid w:val="000113E6"/>
    <w:rsid w:val="00052377"/>
    <w:rsid w:val="00057434"/>
    <w:rsid w:val="00065392"/>
    <w:rsid w:val="000E38DB"/>
    <w:rsid w:val="000E6CFF"/>
    <w:rsid w:val="00101AA4"/>
    <w:rsid w:val="00114388"/>
    <w:rsid w:val="00170593"/>
    <w:rsid w:val="00176281"/>
    <w:rsid w:val="002148AC"/>
    <w:rsid w:val="0024209E"/>
    <w:rsid w:val="0025550A"/>
    <w:rsid w:val="00275F5B"/>
    <w:rsid w:val="0028562B"/>
    <w:rsid w:val="00293B10"/>
    <w:rsid w:val="002A2567"/>
    <w:rsid w:val="002B7653"/>
    <w:rsid w:val="002E6FED"/>
    <w:rsid w:val="0032647D"/>
    <w:rsid w:val="00333333"/>
    <w:rsid w:val="0046135D"/>
    <w:rsid w:val="004B7FB0"/>
    <w:rsid w:val="004E33D0"/>
    <w:rsid w:val="004E5080"/>
    <w:rsid w:val="0056072C"/>
    <w:rsid w:val="005760D9"/>
    <w:rsid w:val="005961EE"/>
    <w:rsid w:val="005B5166"/>
    <w:rsid w:val="005E2815"/>
    <w:rsid w:val="00630DB3"/>
    <w:rsid w:val="00632197"/>
    <w:rsid w:val="006362A9"/>
    <w:rsid w:val="00664413"/>
    <w:rsid w:val="00684268"/>
    <w:rsid w:val="0069230F"/>
    <w:rsid w:val="006A5CBD"/>
    <w:rsid w:val="006A65E8"/>
    <w:rsid w:val="006B27D0"/>
    <w:rsid w:val="006C193C"/>
    <w:rsid w:val="006C5EBB"/>
    <w:rsid w:val="00711FD3"/>
    <w:rsid w:val="007170EE"/>
    <w:rsid w:val="00727ACF"/>
    <w:rsid w:val="0076761C"/>
    <w:rsid w:val="00770137"/>
    <w:rsid w:val="00784AB7"/>
    <w:rsid w:val="007A6607"/>
    <w:rsid w:val="007B0D4C"/>
    <w:rsid w:val="007B1461"/>
    <w:rsid w:val="007B6E4B"/>
    <w:rsid w:val="007F206C"/>
    <w:rsid w:val="008328F6"/>
    <w:rsid w:val="00842F8B"/>
    <w:rsid w:val="008540BA"/>
    <w:rsid w:val="00856BF3"/>
    <w:rsid w:val="00881866"/>
    <w:rsid w:val="008D3ED6"/>
    <w:rsid w:val="009101F9"/>
    <w:rsid w:val="009A0346"/>
    <w:rsid w:val="009A1AF8"/>
    <w:rsid w:val="009E7B4C"/>
    <w:rsid w:val="00A906FA"/>
    <w:rsid w:val="00A910F5"/>
    <w:rsid w:val="00AA0947"/>
    <w:rsid w:val="00AB1D60"/>
    <w:rsid w:val="00AC583D"/>
    <w:rsid w:val="00AD2E79"/>
    <w:rsid w:val="00B02B03"/>
    <w:rsid w:val="00B1592B"/>
    <w:rsid w:val="00B319EE"/>
    <w:rsid w:val="00B413CE"/>
    <w:rsid w:val="00B83FFB"/>
    <w:rsid w:val="00BF3E58"/>
    <w:rsid w:val="00C31F29"/>
    <w:rsid w:val="00C45E8F"/>
    <w:rsid w:val="00C60226"/>
    <w:rsid w:val="00CA3C4F"/>
    <w:rsid w:val="00CC7B3A"/>
    <w:rsid w:val="00CD3F45"/>
    <w:rsid w:val="00D01AE4"/>
    <w:rsid w:val="00D05774"/>
    <w:rsid w:val="00D21E34"/>
    <w:rsid w:val="00D51886"/>
    <w:rsid w:val="00D52D58"/>
    <w:rsid w:val="00D73153"/>
    <w:rsid w:val="00DB4113"/>
    <w:rsid w:val="00DD192B"/>
    <w:rsid w:val="00DD33E2"/>
    <w:rsid w:val="00E33E54"/>
    <w:rsid w:val="00E35FF6"/>
    <w:rsid w:val="00E4703A"/>
    <w:rsid w:val="00E54B72"/>
    <w:rsid w:val="00E57EC5"/>
    <w:rsid w:val="00E826A7"/>
    <w:rsid w:val="00EA0946"/>
    <w:rsid w:val="00ED12A7"/>
    <w:rsid w:val="00ED43F9"/>
    <w:rsid w:val="00EE0A93"/>
    <w:rsid w:val="00F260DE"/>
    <w:rsid w:val="00F62F17"/>
    <w:rsid w:val="00F9419D"/>
    <w:rsid w:val="00FC400B"/>
    <w:rsid w:val="00FE7B1A"/>
    <w:rsid w:val="028A3BB2"/>
    <w:rsid w:val="03D65E86"/>
    <w:rsid w:val="046105BC"/>
    <w:rsid w:val="06401339"/>
    <w:rsid w:val="06793881"/>
    <w:rsid w:val="07B87D87"/>
    <w:rsid w:val="0A432992"/>
    <w:rsid w:val="0A903EE9"/>
    <w:rsid w:val="0AB874ED"/>
    <w:rsid w:val="0B594E14"/>
    <w:rsid w:val="0E797E2D"/>
    <w:rsid w:val="0F3777F4"/>
    <w:rsid w:val="101D0A51"/>
    <w:rsid w:val="10966C62"/>
    <w:rsid w:val="10AF1053"/>
    <w:rsid w:val="12855B59"/>
    <w:rsid w:val="13BA219D"/>
    <w:rsid w:val="13DA76BF"/>
    <w:rsid w:val="14942C64"/>
    <w:rsid w:val="164B7BB9"/>
    <w:rsid w:val="17651C94"/>
    <w:rsid w:val="17676752"/>
    <w:rsid w:val="17AE3C6A"/>
    <w:rsid w:val="1B1A77CC"/>
    <w:rsid w:val="231A4E9E"/>
    <w:rsid w:val="25811599"/>
    <w:rsid w:val="286277EF"/>
    <w:rsid w:val="287357A1"/>
    <w:rsid w:val="28D52C13"/>
    <w:rsid w:val="29981D19"/>
    <w:rsid w:val="2A1E2E0C"/>
    <w:rsid w:val="2B671A15"/>
    <w:rsid w:val="2C90490A"/>
    <w:rsid w:val="2E1D603E"/>
    <w:rsid w:val="2EA11CC6"/>
    <w:rsid w:val="2EAC638E"/>
    <w:rsid w:val="3106203F"/>
    <w:rsid w:val="33CE7DB3"/>
    <w:rsid w:val="34A824F3"/>
    <w:rsid w:val="38B65A54"/>
    <w:rsid w:val="395E53F7"/>
    <w:rsid w:val="39693A3D"/>
    <w:rsid w:val="39922C7A"/>
    <w:rsid w:val="39EE147E"/>
    <w:rsid w:val="3B7641EF"/>
    <w:rsid w:val="3C8D161D"/>
    <w:rsid w:val="3C986236"/>
    <w:rsid w:val="3CC2681C"/>
    <w:rsid w:val="3E2F3672"/>
    <w:rsid w:val="3F8867C0"/>
    <w:rsid w:val="418B07BE"/>
    <w:rsid w:val="43085C7E"/>
    <w:rsid w:val="43B10892"/>
    <w:rsid w:val="43BF6278"/>
    <w:rsid w:val="44D336CE"/>
    <w:rsid w:val="46D05241"/>
    <w:rsid w:val="4A9B7F39"/>
    <w:rsid w:val="4AD60AAD"/>
    <w:rsid w:val="4BA7217E"/>
    <w:rsid w:val="4C443877"/>
    <w:rsid w:val="4CCA51C9"/>
    <w:rsid w:val="4DD24899"/>
    <w:rsid w:val="4EA96EEA"/>
    <w:rsid w:val="501657FE"/>
    <w:rsid w:val="50276B11"/>
    <w:rsid w:val="54184849"/>
    <w:rsid w:val="553C6D8A"/>
    <w:rsid w:val="555F79A1"/>
    <w:rsid w:val="57DC32AE"/>
    <w:rsid w:val="58333693"/>
    <w:rsid w:val="58EA0034"/>
    <w:rsid w:val="594A1F01"/>
    <w:rsid w:val="59960976"/>
    <w:rsid w:val="5BA40524"/>
    <w:rsid w:val="5BDA0AF0"/>
    <w:rsid w:val="5CEA03DC"/>
    <w:rsid w:val="5E551CA4"/>
    <w:rsid w:val="616131B7"/>
    <w:rsid w:val="623B0EA7"/>
    <w:rsid w:val="636A4497"/>
    <w:rsid w:val="63AB315B"/>
    <w:rsid w:val="64A23136"/>
    <w:rsid w:val="65B965B3"/>
    <w:rsid w:val="67E27E18"/>
    <w:rsid w:val="68231BCC"/>
    <w:rsid w:val="696919D6"/>
    <w:rsid w:val="6CD22065"/>
    <w:rsid w:val="6D86178F"/>
    <w:rsid w:val="6DDB2D36"/>
    <w:rsid w:val="6E2E2CFB"/>
    <w:rsid w:val="70805AE0"/>
    <w:rsid w:val="71100D86"/>
    <w:rsid w:val="714D105F"/>
    <w:rsid w:val="7297547D"/>
    <w:rsid w:val="7406301C"/>
    <w:rsid w:val="76BB67A1"/>
    <w:rsid w:val="76E56A66"/>
    <w:rsid w:val="772B227B"/>
    <w:rsid w:val="781C3771"/>
    <w:rsid w:val="7B0504E8"/>
    <w:rsid w:val="7B177F53"/>
    <w:rsid w:val="7F536D0A"/>
    <w:rsid w:val="7F8F02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240" w:lineRule="atLeast"/>
    </w:pPr>
    <w:rPr>
      <w:rFonts w:ascii="Calibri" w:hAnsi="Calibri"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1"/>
    <w:pPr>
      <w:autoSpaceDE w:val="0"/>
      <w:autoSpaceDN w:val="0"/>
      <w:adjustRightInd w:val="0"/>
      <w:spacing w:before="162"/>
      <w:ind w:left="120"/>
      <w:jc w:val="left"/>
    </w:pPr>
    <w:rPr>
      <w:rFonts w:ascii="宋体" w:hAnsi="Times New Roman"/>
      <w:kern w:val="0"/>
      <w:sz w:val="20"/>
      <w:szCs w:val="21"/>
    </w:rPr>
  </w:style>
  <w:style w:type="paragraph" w:styleId="3">
    <w:name w:val="Balloon Text"/>
    <w:basedOn w:val="1"/>
    <w:link w:val="11"/>
    <w:semiHidden/>
    <w:unhideWhenUsed/>
    <w:qFormat/>
    <w:uiPriority w:val="99"/>
    <w:pPr>
      <w:spacing w:line="240" w:lineRule="auto"/>
    </w:pPr>
    <w:rPr>
      <w:sz w:val="18"/>
      <w:szCs w:val="18"/>
    </w:rPr>
  </w:style>
  <w:style w:type="paragraph" w:styleId="4">
    <w:name w:val="footer"/>
    <w:basedOn w:val="1"/>
    <w:link w:val="10"/>
    <w:unhideWhenUsed/>
    <w:qFormat/>
    <w:uiPriority w:val="99"/>
    <w:pPr>
      <w:widowControl w:val="0"/>
      <w:tabs>
        <w:tab w:val="center" w:pos="4153"/>
        <w:tab w:val="right" w:pos="8306"/>
      </w:tabs>
      <w:snapToGrid w:val="0"/>
      <w:spacing w:line="240" w:lineRule="auto"/>
    </w:pPr>
    <w:rPr>
      <w:rFonts w:asciiTheme="minorHAnsi" w:hAnsiTheme="minorHAnsi" w:eastAsiaTheme="minorEastAsia" w:cstheme="minorBidi"/>
      <w:sz w:val="18"/>
      <w:szCs w:val="18"/>
    </w:rPr>
  </w:style>
  <w:style w:type="paragraph" w:styleId="5">
    <w:name w:val="header"/>
    <w:basedOn w:val="1"/>
    <w:link w:val="9"/>
    <w:unhideWhenUsed/>
    <w:qFormat/>
    <w:uiPriority w:val="99"/>
    <w:pPr>
      <w:widowControl w:val="0"/>
      <w:pBdr>
        <w:bottom w:val="single" w:color="auto" w:sz="6" w:space="1"/>
      </w:pBdr>
      <w:tabs>
        <w:tab w:val="center" w:pos="4153"/>
        <w:tab w:val="right" w:pos="8306"/>
      </w:tabs>
      <w:snapToGrid w:val="0"/>
      <w:spacing w:line="240" w:lineRule="auto"/>
      <w:jc w:val="center"/>
    </w:pPr>
    <w:rPr>
      <w:rFonts w:asciiTheme="minorHAnsi" w:hAnsiTheme="minorHAnsi" w:eastAsiaTheme="minorEastAsia" w:cstheme="minorBidi"/>
      <w:sz w:val="18"/>
      <w:szCs w:val="18"/>
    </w:rPr>
  </w:style>
  <w:style w:type="table" w:styleId="7">
    <w:name w:val="Table Grid"/>
    <w:basedOn w:val="6"/>
    <w:qFormat/>
    <w:uiPriority w:val="0"/>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页眉 字符"/>
    <w:basedOn w:val="8"/>
    <w:link w:val="5"/>
    <w:qFormat/>
    <w:uiPriority w:val="99"/>
    <w:rPr>
      <w:sz w:val="18"/>
      <w:szCs w:val="18"/>
    </w:rPr>
  </w:style>
  <w:style w:type="character" w:customStyle="1" w:styleId="10">
    <w:name w:val="页脚 字符"/>
    <w:basedOn w:val="8"/>
    <w:link w:val="4"/>
    <w:qFormat/>
    <w:uiPriority w:val="99"/>
    <w:rPr>
      <w:sz w:val="18"/>
      <w:szCs w:val="18"/>
    </w:rPr>
  </w:style>
  <w:style w:type="character" w:customStyle="1" w:styleId="11">
    <w:name w:val="批注框文本 字符"/>
    <w:basedOn w:val="8"/>
    <w:link w:val="3"/>
    <w:semiHidden/>
    <w:qFormat/>
    <w:uiPriority w:val="99"/>
    <w:rPr>
      <w:rFonts w:ascii="Calibri" w:hAnsi="Calibri" w:eastAsia="宋体" w:cs="Times New Roman"/>
      <w:sz w:val="18"/>
      <w:szCs w:val="18"/>
    </w:rPr>
  </w:style>
  <w:style w:type="paragraph" w:customStyle="1" w:styleId="12">
    <w:name w:val="Table Paragraph"/>
    <w:basedOn w:val="1"/>
    <w:qFormat/>
    <w:uiPriority w:val="1"/>
    <w:pPr>
      <w:autoSpaceDE w:val="0"/>
      <w:autoSpaceDN w:val="0"/>
      <w:adjustRightInd w:val="0"/>
      <w:jc w:val="left"/>
    </w:pPr>
    <w:rPr>
      <w:rFonts w:ascii="Times New Roman" w:hAnsi="Times New Roman" w:cs="Times New Roman"/>
      <w:kern w:val="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630</Words>
  <Characters>838</Characters>
  <Lines>5</Lines>
  <Paragraphs>1</Paragraphs>
  <TotalTime>0</TotalTime>
  <ScaleCrop>false</ScaleCrop>
  <LinksUpToDate>false</LinksUpToDate>
  <CharactersWithSpaces>838</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2022-05-25T01:21:00Z</dcterms:created>
  <dc:creator>cyx</dc:creator>
  <cp:lastModifiedBy>jsyh</cp:lastModifiedBy>
  <cp:lastPrinted>2022-11-07T01:50:00Z</cp:lastPrinted>
  <dcterms:modified xsi:type="dcterms:W3CDTF">2025-09-18T10:37:46Z</dcterms:modified>
  <cp:revision>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5B77E7CEEC58BC6AFAE8886BEB80DBEB">
    <vt:lpwstr>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</vt:lpwstr>
  </property>
  <property fmtid="{D5CDD505-2E9C-101B-9397-08002B2CF9AE}" pid="3" name="KSOProductBuildVer">
    <vt:lpwstr>2052-11.8.2.11734</vt:lpwstr>
  </property>
  <property fmtid="{D5CDD505-2E9C-101B-9397-08002B2CF9AE}" pid="4" name="ICV">
    <vt:lpwstr>D1FABE1D99244126A82E4C98837F3785</vt:lpwstr>
  </property>
</Properties>
</file>