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恒源封闭债权224期优选2年</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b/>
          <w:bCs w:val="0"/>
          <w:color w:val="auto"/>
          <w:sz w:val="21"/>
          <w:szCs w:val="21"/>
        </w:rPr>
      </w:pPr>
      <w:r>
        <w:rPr>
          <w:rFonts w:hint="default" w:ascii="Calibri" w:hAnsi="Calibri" w:eastAsia="楷体" w:cs="Calibri"/>
          <w:b/>
          <w:bCs w:val="0"/>
          <w:color w:val="auto"/>
          <w:sz w:val="21"/>
          <w:szCs w:val="21"/>
        </w:rPr>
        <w:t>①</w:t>
      </w:r>
      <w:r>
        <w:rPr>
          <w:rFonts w:hint="eastAsia" w:ascii="楷体" w:hAnsi="楷体" w:eastAsia="楷体"/>
          <w:b/>
          <w:bCs w:val="0"/>
          <w:color w:val="auto"/>
          <w:sz w:val="21"/>
          <w:szCs w:val="21"/>
        </w:rPr>
        <w:t>融资方还款履约能力可能的变化导致的信用风险。</w:t>
      </w:r>
      <w:r>
        <w:rPr>
          <w:rFonts w:hint="default" w:ascii="Calibri" w:hAnsi="Calibri" w:eastAsia="楷体" w:cs="Calibri"/>
          <w:b/>
          <w:bCs w:val="0"/>
          <w:color w:val="auto"/>
          <w:sz w:val="21"/>
          <w:szCs w:val="21"/>
        </w:rPr>
        <w:t>②</w:t>
      </w:r>
      <w:r>
        <w:rPr>
          <w:rFonts w:hint="eastAsia" w:ascii="楷体" w:hAnsi="楷体" w:eastAsia="楷体"/>
          <w:b/>
          <w:bCs w:val="0"/>
          <w:color w:val="auto"/>
          <w:sz w:val="21"/>
          <w:szCs w:val="21"/>
        </w:rPr>
        <w:t>债务人提前还款或逾期还款的风险。</w:t>
      </w:r>
      <w:r>
        <w:rPr>
          <w:rFonts w:hint="default" w:ascii="Calibri" w:hAnsi="Calibri" w:eastAsia="楷体" w:cs="Calibri"/>
          <w:b/>
          <w:bCs w:val="0"/>
          <w:color w:val="auto"/>
          <w:sz w:val="21"/>
          <w:szCs w:val="21"/>
        </w:rPr>
        <w:t>③</w:t>
      </w:r>
      <w:r>
        <w:rPr>
          <w:rFonts w:hint="eastAsia" w:ascii="楷体" w:hAnsi="楷体" w:eastAsia="楷体"/>
          <w:b/>
          <w:bCs w:val="0"/>
          <w:color w:val="auto"/>
          <w:sz w:val="21"/>
          <w:szCs w:val="21"/>
        </w:rPr>
        <w:t>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both"/>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pPr>
        <w:jc w:val="center"/>
        <w:rPr>
          <w:rFonts w:hint="eastAsia" w:ascii="楷体" w:hAnsi="楷体" w:eastAsia="楷体"/>
          <w:b/>
          <w:color w:val="auto"/>
          <w:sz w:val="28"/>
          <w:szCs w:val="28"/>
          <w:lang w:eastAsia="zh-CN"/>
        </w:rPr>
      </w:pPr>
      <w:r>
        <w:rPr>
          <w:rFonts w:hint="eastAsia" w:ascii="楷体" w:hAnsi="楷体" w:eastAsia="楷体"/>
          <w:b/>
          <w:sz w:val="36"/>
          <w:szCs w:val="36"/>
        </w:rPr>
        <w:br w:type="page"/>
      </w:r>
      <w:bookmarkStart w:id="0" w:name="_Hlk168577216"/>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苏银理财恒源封闭债权224期优选2年</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5"/>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在购买本理财产品前，投资者应确保自己完全理解该项投资的性质和所涉及的风险，详细了解和审慎评估该理财产品的资金</w:t>
      </w:r>
      <w:r>
        <w:rPr>
          <w:rFonts w:hint="eastAsia" w:ascii="楷体" w:hAnsi="楷体" w:eastAsia="楷体"/>
          <w:sz w:val="21"/>
          <w:szCs w:val="21"/>
          <w:lang w:val="en-US" w:eastAsia="zh-CN"/>
        </w:rPr>
        <w:t>投向</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5"/>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恒源封闭债权224期优选2年</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5"/>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5"/>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苏银理财恒源封闭债权224期优选2年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Z7003125000234，</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A份额：苏银理财恒源封闭债权224期优选2年A/J07832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B份额：苏银理财恒源封闭债权224期优选2年B/J07833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C份额：苏银理财恒源封闭债权224期优选2年C/J07834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D份额：苏银理财恒源封闭债权224期优选2年D/J07835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E份额：苏银理财恒源封闭债权224期优选2年E/J07836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F份额：苏银理财恒源封闭债权224期优选2年F/J07837</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G份额：苏银理财恒源封闭债权224期优选2年G/J07838</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H份额：苏银理财恒源封闭债权224期优选2年H/J07839</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I份额：苏银理财恒源封闭债权224期优选2年I/J07840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J份额：苏银理财恒源封闭债权224期优选2年J/J07841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K份额：苏银理财恒源封闭债权224期优选2年K/J07842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Z份额：苏银理财恒源封闭债权224期优选2年Z/J07843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JS份额：苏银理财恒源封闭债权224期优选2年JS鑫福款/J07844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 ·优选份额：苏银理财恒源封闭债权224期优选2年（芙蓉锦程 ·优选）/J07845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6"/>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H份额面向个人销售；其他份额面向个人和机构投资者销售。</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9"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A/B/D/F/G/J/K/Z/JS/芙蓉锦程 ·优选份额：1元/1元的整数倍；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C/H/I份额：10,000元/10,000元的整数倍；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11</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17</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产品成立日/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份额登记日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2025年9月18日，如管理人调整募集期，则产品成立日/份额登记日将相应调整，以管理人公告为准。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7</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13</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755</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2.75%-3.15%，B份额：2.70%-3.10%，C份额：2.80%-3.20%，D份额：2.70%-3.10%，E份额：2.85%-3.25%，F份额：2.75%-3.15%，G份额：2.60%-3.00%，H份额：2.65%-3.05%，I份额：2.90%-3.30%，J份额：2.70%-3.10%，K份额：2.65%-3.05%，Z份额：2.85%-3.25%，JS份额：2.70%-3.10%，芙蓉锦程 ·优选份额：2.80%-3.20%。</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I份额：0.14%</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I份额：0.01%</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·优选份额：0.10%</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5"/>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A份额：江苏姜堰农村商业银行股份有限公司/江苏高淳农村商业银行股份有限公司/江苏常熟农村商业银行股份有限公司/江苏海安农村商业银行股份有限公司/苏银理财有限责任公司/江苏银行股份有限公司</w:t>
      </w:r>
    </w:p>
    <w:p>
      <w:pPr>
        <w:numPr>
          <w:ilvl w:val="-1"/>
          <w:numId w:val="0"/>
        </w:numPr>
        <w:tabs>
          <w:tab w:val="left" w:pos="993"/>
        </w:tabs>
        <w:ind w:left="0" w:leftChars="0" w:firstLine="420" w:firstLineChars="200"/>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B份额：上海银行股份有限公司/重庆三峡银行股份有限公司/徽商银行股份有限公司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bookmarkStart w:id="1" w:name="_GoBack"/>
      <w:bookmarkEnd w:id="1"/>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D份额：宁波通商银行股份有限公司/广州农村商业银行股份有限公司/宁波东海银行股份有限公司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E份额：江苏银行股份有限公司/苏银理财有限责任公司/宁波通商银行股份有限公司/江苏常熟农村商业银行股份有限公司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F份额：莱商银行股份有限公司/威海银行股份有限公司/潍坊银行股份有限公司/齐鲁银行股份有限公司/嘉兴银行股份有限公司/甘肃银行股份有限公司/青岛银行股份有限公司/北京农村商业银行股份有限公司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G份额：江苏苏州农村商业银行股份有限公司/江苏沛县农村商业银行股份有限公司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岱山农村商业银行股份有限公司/杭州联合农村商业银行股份有限公司/浙江萧山农村商业银行股份有限公司/湖州吴兴农村商业银行股份有限公司/浙江淳安农村商业银行股份有限公司/浙江舟山定海海洋农村商业银行股份有限公司/浙江杭州余杭农村商业银行股份有限公司/浙江文成农村商业银行股份有限公司/浙江青田农村商业银行股份有限公司/浙江兰溪农村商业银行股份有限公司/浙江温州瓯海农村商业银行股份有限公司/浙江嘉善农村商业银行股份有限公司/浙江永嘉农村商业银行股份有限公司/浙江绍兴瑞丰农村商业银行股份有限公司/浙江温州龙湾农村商业银行股份有限公司/浙江乐清农村商业银行股份有限公司/浙江德清农村商业银行股份有限公司/浙江桐乡农村商业银行股份有限公司/浙江上虞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浙江平湖农村商业银行股份有限公司/浙江武义农村商业银行股份有限公司/浙江新昌农村商业银行股份有限公司/浙江衢州柯城农村商业银行股份有限公司/浙江海盐农村商业银行股份有限公司/山西银行股份有限公司/浙江海宁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Z份额：郑州银行股份有限公司/莱商银行股份有限公司/青岛银行股份有限公司/齐鲁银行股份有限公司/嘉兴银行股份有限公司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紫金农村商业银行股份有限公司/江苏建湖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溧水农村商业银行股份有限公司/江苏张家港农村商业银行股份有限公司/江苏扬州农村商业银行股份有限公司/江苏大丰农村商业银行股份有限公司/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海安农村商业银行股份有限公司/江苏如东农村商业银行股份有限公司/江苏江南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 ·优选份额：成都银行股份有限公司</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10"/>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0"/>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10"/>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6"/>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6"/>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4"/>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4"/>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5"/>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9"/>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pPr>
        <w:ind w:firstLine="420" w:firstLineChars="200"/>
        <w:jc w:val="left"/>
        <w:rPr>
          <w:rFonts w:ascii="楷体" w:hAnsi="楷体" w:eastAsia="楷体"/>
        </w:rPr>
      </w:pP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p>
    <w:bookmarkEnd w:id="0"/>
    <w:p>
      <w:pPr>
        <w:rPr>
          <w:rFonts w:ascii="楷体" w:hAnsi="楷体" w:eastAsia="楷体"/>
          <w:b/>
          <w:sz w:val="36"/>
          <w:szCs w:val="36"/>
        </w:rPr>
      </w:pPr>
      <w:r>
        <w:rPr>
          <w:rFonts w:hint="eastAsia" w:ascii="楷体" w:hAnsi="楷体" w:eastAsia="楷体"/>
          <w:b/>
          <w:sz w:val="36"/>
          <w:szCs w:val="36"/>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1"/>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numPr>
          <w:ilvl w:val="0"/>
          <w:numId w:val="0"/>
        </w:numPr>
        <w:ind w:left="0" w:firstLine="527" w:firstLineChars="250"/>
        <w:jc w:val="left"/>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 xml:space="preserve">2. </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2. </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 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 xml:space="preserve">4. </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1"/>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D42F757"/>
    <w:multiLevelType w:val="singleLevel"/>
    <w:tmpl w:val="2D42F757"/>
    <w:lvl w:ilvl="0" w:tentative="0">
      <w:start w:val="2"/>
      <w:numFmt w:val="chineseCounting"/>
      <w:suff w:val="nothing"/>
      <w:lvlText w:val="（%1）"/>
      <w:lvlJc w:val="left"/>
      <w:rPr>
        <w:rFonts w:hint="eastAsia"/>
      </w:rPr>
    </w:lvl>
  </w:abstractNum>
  <w:abstractNum w:abstractNumId="10">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1">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5">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18"/>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2"/>
  </w:num>
  <w:num w:numId="7">
    <w:abstractNumId w:val="1"/>
  </w:num>
  <w:num w:numId="8">
    <w:abstractNumId w:val="0"/>
  </w:num>
  <w:num w:numId="9">
    <w:abstractNumId w:val="3"/>
  </w:num>
  <w:num w:numId="10">
    <w:abstractNumId w:val="19"/>
  </w:num>
  <w:num w:numId="11">
    <w:abstractNumId w:val="14"/>
  </w:num>
  <w:num w:numId="12">
    <w:abstractNumId w:val="13"/>
  </w:num>
  <w:num w:numId="13">
    <w:abstractNumId w:val="16"/>
  </w:num>
  <w:num w:numId="14">
    <w:abstractNumId w:val="20"/>
  </w:num>
  <w:num w:numId="15">
    <w:abstractNumId w:val="8"/>
  </w:num>
  <w:num w:numId="16">
    <w:abstractNumId w:val="5"/>
  </w:num>
  <w:num w:numId="17">
    <w:abstractNumId w:val="15"/>
  </w:num>
  <w:num w:numId="18">
    <w:abstractNumId w:val="4"/>
  </w:num>
  <w:num w:numId="19">
    <w:abstractNumId w:val="17"/>
  </w:num>
  <w:num w:numId="20">
    <w:abstractNumId w:val="1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6B5127"/>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0C423A"/>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77437"/>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2AEB"/>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B1CD4"/>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85133"/>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B835B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A1DD8"/>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64DC2"/>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2F91FC9"/>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946CE"/>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B66DC"/>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4E2A96"/>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47E3B"/>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2FB6723"/>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0E3DAA"/>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2"/>
    <w:unhideWhenUsed/>
    <w:qFormat/>
    <w:uiPriority w:val="99"/>
    <w:pPr>
      <w:jc w:val="left"/>
    </w:pPr>
  </w:style>
  <w:style w:type="paragraph" w:styleId="7">
    <w:name w:val="Date"/>
    <w:basedOn w:val="1"/>
    <w:next w:val="1"/>
    <w:link w:val="44"/>
    <w:unhideWhenUsed/>
    <w:qFormat/>
    <w:uiPriority w:val="99"/>
    <w:pPr>
      <w:ind w:left="100" w:leftChars="2500"/>
    </w:pPr>
  </w:style>
  <w:style w:type="paragraph" w:styleId="8">
    <w:name w:val="Balloon Text"/>
    <w:basedOn w:val="1"/>
    <w:link w:val="45"/>
    <w:unhideWhenUsed/>
    <w:qFormat/>
    <w:uiPriority w:val="99"/>
    <w:rPr>
      <w:kern w:val="0"/>
      <w:sz w:val="18"/>
      <w:szCs w:val="18"/>
    </w:rPr>
  </w:style>
  <w:style w:type="paragraph" w:styleId="9">
    <w:name w:val="footer"/>
    <w:basedOn w:val="1"/>
    <w:link w:val="46"/>
    <w:unhideWhenUsed/>
    <w:qFormat/>
    <w:uiPriority w:val="99"/>
    <w:pPr>
      <w:tabs>
        <w:tab w:val="center" w:pos="4153"/>
        <w:tab w:val="right" w:pos="8306"/>
      </w:tabs>
      <w:snapToGrid w:val="0"/>
      <w:jc w:val="left"/>
    </w:pPr>
    <w:rPr>
      <w:kern w:val="0"/>
      <w:sz w:val="18"/>
      <w:szCs w:val="18"/>
    </w:rPr>
  </w:style>
  <w:style w:type="paragraph" w:styleId="10">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8"/>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9"/>
    <w:unhideWhenUsed/>
    <w:qFormat/>
    <w:uiPriority w:val="99"/>
    <w:rPr>
      <w:b/>
      <w:bCs/>
    </w:rPr>
  </w:style>
  <w:style w:type="paragraph" w:styleId="15">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2"/>
    <w:qFormat/>
    <w:uiPriority w:val="1"/>
    <w:rPr>
      <w:rFonts w:ascii="宋体" w:hAnsi="Times New Roman" w:eastAsia="宋体" w:cs="宋体"/>
      <w:kern w:val="0"/>
      <w:szCs w:val="21"/>
    </w:rPr>
  </w:style>
  <w:style w:type="character" w:customStyle="1" w:styleId="44">
    <w:name w:val="日期 字符1"/>
    <w:basedOn w:val="18"/>
    <w:link w:val="7"/>
    <w:semiHidden/>
    <w:qFormat/>
    <w:uiPriority w:val="99"/>
    <w:rPr>
      <w:rFonts w:ascii="Times New Roman" w:hAnsi="Times New Roman" w:eastAsia="宋体" w:cs="Times New Roman"/>
    </w:rPr>
  </w:style>
  <w:style w:type="character" w:customStyle="1" w:styleId="45">
    <w:name w:val="批注框文本 字符1"/>
    <w:link w:val="8"/>
    <w:semiHidden/>
    <w:qFormat/>
    <w:uiPriority w:val="99"/>
    <w:rPr>
      <w:rFonts w:ascii="Times New Roman" w:hAnsi="Times New Roman" w:eastAsia="宋体" w:cs="Times New Roman"/>
      <w:sz w:val="18"/>
      <w:szCs w:val="18"/>
    </w:rPr>
  </w:style>
  <w:style w:type="character" w:customStyle="1" w:styleId="46">
    <w:name w:val="页脚 字符1"/>
    <w:link w:val="9"/>
    <w:qFormat/>
    <w:uiPriority w:val="99"/>
    <w:rPr>
      <w:rFonts w:ascii="Times New Roman" w:hAnsi="Times New Roman" w:eastAsia="宋体" w:cs="Times New Roman"/>
      <w:sz w:val="18"/>
      <w:szCs w:val="18"/>
    </w:rPr>
  </w:style>
  <w:style w:type="character" w:customStyle="1" w:styleId="47">
    <w:name w:val="页眉 字符1"/>
    <w:link w:val="10"/>
    <w:qFormat/>
    <w:uiPriority w:val="99"/>
    <w:rPr>
      <w:rFonts w:ascii="Times New Roman" w:hAnsi="Times New Roman" w:eastAsia="宋体" w:cs="Times New Roman"/>
      <w:sz w:val="18"/>
      <w:szCs w:val="18"/>
    </w:rPr>
  </w:style>
  <w:style w:type="character" w:customStyle="1" w:styleId="48">
    <w:name w:val="脚注文本 字符2"/>
    <w:link w:val="11"/>
    <w:semiHidden/>
    <w:qFormat/>
    <w:uiPriority w:val="99"/>
    <w:rPr>
      <w:rFonts w:ascii="Times New Roman" w:hAnsi="Times New Roman" w:eastAsia="宋体" w:cs="Times New Roman"/>
      <w:kern w:val="2"/>
      <w:sz w:val="18"/>
      <w:szCs w:val="18"/>
    </w:rPr>
  </w:style>
  <w:style w:type="character" w:customStyle="1" w:styleId="49">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20629</Words>
  <Characters>21571</Characters>
  <Lines>243</Lines>
  <Paragraphs>68</Paragraphs>
  <TotalTime>11</TotalTime>
  <ScaleCrop>false</ScaleCrop>
  <LinksUpToDate>false</LinksUpToDate>
  <CharactersWithSpaces>21841</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2025-09-02T10:47:41Z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