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恒源封闭债权223期优选2年</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bookmarkStart w:id="0" w:name="_GoBack"/>
      <w:bookmarkEnd w:id="0"/>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C26CD2"/>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63FC9"/>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2025-08-28T01:45:33Z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