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苏银理财恒源封闭债权208期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13月E份额：苏银理财恒源封闭债权208期13月E/J07814</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13月G份额：苏银理财恒源封闭债权208期13月G/J07816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13月JS鑫福款份额：苏银理财恒源封闭债权208期13月JS鑫福款/J07826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2025年9月9日至2025年9月16日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2026年10月13日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391天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bookmarkStart w:id="0" w:name="_GoBack"/>
            <w:bookmarkEnd w:id="0"/>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13月E份额：2.75%-3.15%，2025年9月17日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13月G份额：2.50%-2.90%，2025年9月17日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13月JS鑫福款份额：2.60%-3.00%，2025年9月17日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84314BE"/>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2025-09-08T02:05:36Z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