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恒源封闭债权208期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4"/>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4"/>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4"/>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4"/>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4"/>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苏银理财恒源封闭债权208期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恒源封闭债权208期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苏银理财恒源封闭债权208期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Z7003125000237，</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A份额：苏银理财恒源封闭债权208期13月A/J07810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B份额：苏银理财恒源封闭债权208期13月B/J07811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C份额：苏银理财恒源封闭债权208期13月C/J07812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D份额：苏银理财恒源封闭债权208期13月D/J07813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E份额：苏银理财恒源封闭债权208期13月E/J07814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F份额：苏银理财恒源封闭债权208期13月F/J07815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G份额：苏银理财恒源封闭债权208期13月G/J07816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H份额：苏银理财恒源封闭债权208期13月H/J07817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I份额：苏银理财恒源封闭债权208期13月I/J07818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J份额：苏银理财恒源封闭债权208期13月J/J07819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K份额：苏银理财恒源封闭债权208期13月K/J07820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L份额：苏银理财恒源封闭债权208期13月L/J07821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M份额：苏银理财恒源封闭债权208期13月M/J07822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N份额：苏银理财恒源封闭债权208期13月N/J07823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O份额：苏银理财恒源封闭债权208期13月O/J07824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Z份额：苏银理财恒源封闭债权208期13月Z/J07825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JS份额：苏银理财恒源封闭债权208期13月JS鑫福款/J07826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·优选份额：苏银理财恒源封闭债权208期13月（芙蓉锦程 ·优选）/J07827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A/B/D/F/G/H/I/J/K/L/N/O/Z/JS/芙蓉锦程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16</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2025年9月17日，如管理人调整募集期，则产品成立日/份额登记日将相应调整，以管理人公告为准。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13</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391</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2.65%-3.05%，B份额：2.60%-3.00%，C份额：2.70%-3.10%，D份额：2.60%-3.00%，E份额：2.75%-3.15%，F份额：2.60%-3.00%，G份额：2.50%-2.90%，H份额：2.40%-2.80%，I份额：2.60%-3.00%，J份额：2.55%-2.95%，K份额：2.75%-3.15%，L份额：2.65%-3.05%，M份额：2.40%-2.80%，N份额：2.70%-3.10%，O份额：2.80%-3.20%，Z份额：2.70%-3.10%，JS份额：2.60%-3.00%，芙蓉锦程 ·优选份额：2.65%-3.05%。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。其中D、O份额采用一次性提取模式，其他份额采用每日计提模式。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D份额：宁波通商银行股份有限公司/宁波东海银行股份有限公司/广州农村商业银行股份有限公司/武汉农村商业银行股份有限公司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E份额：江苏银行股份有限公司/江苏常熟农村商业银行股份有限公司/苏银理财有限责任公司/宁波通商银行股份有限公司/宁波东海银行股份有限公司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F份额：莱商银行股份有限公司/威海银行股份有限公司/潍坊银行股份有限公司/齐鲁银行股份有限公司/嘉兴银行股份有限公司/北京农村商业银行股份有限公司/青岛银行股份有限公司/徽商银行股份有限公司</w:t>
      </w:r>
      <w:bookmarkStart w:id="1" w:name="_GoBack"/>
      <w:bookmarkEnd w:id="1"/>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K份额：青岛银行股份有限公司/日照银行股份有限公司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L份额：青岛银行股份有限公司/浙江杭州余杭农村商业银行股份有限公司/浙江萧山农村商业银行股份有限公司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N份额：浙江海宁农村商业银行股份有限公司/浙江舟山定海海洋农村商业银行股份有限公司/浙江舟山普陀农村商业银行股份有限公司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O份额：武汉农村商业银行股份有限公司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897F26"/>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C02744"/>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0D3222"/>
    <w:rsid w:val="1E117340"/>
    <w:rsid w:val="1E120BA4"/>
    <w:rsid w:val="1E15341A"/>
    <w:rsid w:val="1E194B86"/>
    <w:rsid w:val="1E1A5164"/>
    <w:rsid w:val="1E253B42"/>
    <w:rsid w:val="1E277F02"/>
    <w:rsid w:val="1E2834F7"/>
    <w:rsid w:val="1E3A163E"/>
    <w:rsid w:val="1E3A526C"/>
    <w:rsid w:val="1E3C4E01"/>
    <w:rsid w:val="1E494532"/>
    <w:rsid w:val="1E5555F8"/>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1E4258"/>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B85F9C"/>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4C9"/>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B1AE2"/>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D5567"/>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261AE"/>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paragraph" w:styleId="6">
    <w:name w:val="annotation text"/>
    <w:basedOn w:val="1"/>
    <w:link w:val="42"/>
    <w:unhideWhenUsed/>
    <w:qFormat/>
    <w:uiPriority w:val="99"/>
    <w:pPr>
      <w:jc w:val="left"/>
    </w:pPr>
  </w:style>
  <w:style w:type="paragraph" w:styleId="7">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8">
    <w:name w:val="Date"/>
    <w:basedOn w:val="1"/>
    <w:next w:val="1"/>
    <w:link w:val="44"/>
    <w:unhideWhenUsed/>
    <w:qFormat/>
    <w:uiPriority w:val="99"/>
    <w:pPr>
      <w:ind w:left="100" w:leftChars="2500"/>
    </w:pPr>
  </w:style>
  <w:style w:type="paragraph" w:styleId="9">
    <w:name w:val="Balloon Text"/>
    <w:basedOn w:val="1"/>
    <w:link w:val="45"/>
    <w:unhideWhenUsed/>
    <w:qFormat/>
    <w:uiPriority w:val="99"/>
    <w:rPr>
      <w:kern w:val="0"/>
      <w:sz w:val="18"/>
      <w:szCs w:val="18"/>
    </w:rPr>
  </w:style>
  <w:style w:type="paragraph" w:styleId="10">
    <w:name w:val="footer"/>
    <w:basedOn w:val="1"/>
    <w:link w:val="46"/>
    <w:unhideWhenUsed/>
    <w:qFormat/>
    <w:uiPriority w:val="99"/>
    <w:pPr>
      <w:tabs>
        <w:tab w:val="center" w:pos="4153"/>
        <w:tab w:val="right" w:pos="8306"/>
      </w:tabs>
      <w:snapToGrid w:val="0"/>
      <w:jc w:val="left"/>
    </w:pPr>
    <w:rPr>
      <w:kern w:val="0"/>
      <w:sz w:val="18"/>
      <w:szCs w:val="18"/>
    </w:rPr>
  </w:style>
  <w:style w:type="paragraph" w:styleId="11">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link w:val="48"/>
    <w:semiHidden/>
    <w:unhideWhenUsed/>
    <w:qFormat/>
    <w:uiPriority w:val="99"/>
    <w:pPr>
      <w:snapToGrid w:val="0"/>
      <w:jc w:val="left"/>
    </w:pPr>
    <w:rPr>
      <w:sz w:val="18"/>
      <w:szCs w:val="18"/>
    </w:r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6"/>
    <w:next w:val="6"/>
    <w:link w:val="49"/>
    <w:unhideWhenUsed/>
    <w:qFormat/>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7"/>
    <w:qFormat/>
    <w:uiPriority w:val="1"/>
    <w:rPr>
      <w:rFonts w:ascii="宋体" w:hAnsi="Times New Roman" w:eastAsia="宋体" w:cs="宋体"/>
      <w:kern w:val="0"/>
      <w:szCs w:val="21"/>
    </w:rPr>
  </w:style>
  <w:style w:type="character" w:customStyle="1" w:styleId="44">
    <w:name w:val="日期 字符1"/>
    <w:basedOn w:val="18"/>
    <w:link w:val="8"/>
    <w:semiHidden/>
    <w:qFormat/>
    <w:uiPriority w:val="99"/>
    <w:rPr>
      <w:rFonts w:ascii="Times New Roman" w:hAnsi="Times New Roman" w:eastAsia="宋体" w:cs="Times New Roman"/>
    </w:rPr>
  </w:style>
  <w:style w:type="character" w:customStyle="1" w:styleId="45">
    <w:name w:val="批注框文本 字符1"/>
    <w:link w:val="9"/>
    <w:semiHidden/>
    <w:qFormat/>
    <w:uiPriority w:val="99"/>
    <w:rPr>
      <w:rFonts w:ascii="Times New Roman" w:hAnsi="Times New Roman" w:eastAsia="宋体" w:cs="Times New Roman"/>
      <w:sz w:val="18"/>
      <w:szCs w:val="18"/>
    </w:rPr>
  </w:style>
  <w:style w:type="character" w:customStyle="1" w:styleId="46">
    <w:name w:val="页脚 字符1"/>
    <w:link w:val="10"/>
    <w:qFormat/>
    <w:uiPriority w:val="99"/>
    <w:rPr>
      <w:rFonts w:ascii="Times New Roman" w:hAnsi="Times New Roman" w:eastAsia="宋体" w:cs="Times New Roman"/>
      <w:sz w:val="18"/>
      <w:szCs w:val="18"/>
    </w:rPr>
  </w:style>
  <w:style w:type="character" w:customStyle="1" w:styleId="47">
    <w:name w:val="页眉 字符1"/>
    <w:link w:val="11"/>
    <w:qFormat/>
    <w:uiPriority w:val="99"/>
    <w:rPr>
      <w:rFonts w:ascii="Times New Roman" w:hAnsi="Times New Roman" w:eastAsia="宋体" w:cs="Times New Roman"/>
      <w:sz w:val="18"/>
      <w:szCs w:val="18"/>
    </w:rPr>
  </w:style>
  <w:style w:type="character" w:customStyle="1" w:styleId="48">
    <w:name w:val="脚注文本 字符2"/>
    <w:link w:val="12"/>
    <w:semiHidden/>
    <w:qFormat/>
    <w:uiPriority w:val="99"/>
    <w:rPr>
      <w:rFonts w:ascii="Times New Roman" w:hAnsi="Times New Roman" w:eastAsia="宋体" w:cs="Times New Roman"/>
      <w:kern w:val="2"/>
      <w:sz w:val="18"/>
      <w:szCs w:val="18"/>
    </w:rPr>
  </w:style>
  <w:style w:type="character" w:customStyle="1" w:styleId="49">
    <w:name w:val="批注主题 字符1"/>
    <w:link w:val="15"/>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20856</Words>
  <Characters>21792</Characters>
  <Lines>243</Lines>
  <Paragraphs>68</Paragraphs>
  <TotalTime>0</TotalTime>
  <ScaleCrop>false</ScaleCrop>
  <LinksUpToDate>false</LinksUpToDate>
  <CharactersWithSpaces>22062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2025-09-02T11:05:02Z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