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color w:val="auto"/>
          <w:sz w:val="28"/>
          <w:szCs w:val="28"/>
          <w:lang w:eastAsia="zh-CN"/>
        </w:rPr>
      </w:pPr>
      <w:r>
        <w:rPr>
          <w:rFonts w:hint="eastAsia" w:ascii="楷体" w:hAnsi="楷体" w:eastAsia="楷体"/>
          <w:b/>
          <w:color w:val="auto"/>
          <w:sz w:val="28"/>
          <w:szCs w:val="28"/>
        </w:rPr>
        <w:t>“</w:t>
      </w:r>
      <w:r>
        <w:rPr>
          <w:rFonts w:hint="eastAsia" w:ascii="楷体" w:hAnsi="楷体" w:eastAsia="楷体"/>
          <w:b/>
          <w:color w:val="auto"/>
          <w:sz w:val="28"/>
          <w:szCs w:val="28"/>
          <w:lang w:eastAsia="zh-CN"/>
        </w:rPr>
        <w:t>苏银理财恒源封闭债权208期</w:t>
      </w:r>
      <w:r>
        <w:rPr>
          <w:rFonts w:hint="eastAsia" w:ascii="楷体" w:hAnsi="楷体" w:eastAsia="楷体"/>
          <w:b/>
          <w:color w:val="auto"/>
          <w:sz w:val="28"/>
          <w:szCs w:val="28"/>
        </w:rPr>
        <w:t>”理财产品</w:t>
      </w:r>
      <w:r>
        <w:rPr>
          <w:rFonts w:hint="eastAsia" w:ascii="楷体" w:hAnsi="楷体" w:eastAsia="楷体"/>
          <w:b/>
          <w:color w:val="auto"/>
          <w:sz w:val="28"/>
          <w:szCs w:val="28"/>
          <w:lang w:val="en-US" w:eastAsia="zh-CN"/>
        </w:rPr>
        <w:t>说明书</w:t>
      </w:r>
    </w:p>
    <w:p>
      <w:pPr>
        <w:jc w:val="center"/>
        <w:rPr>
          <w:rFonts w:hint="eastAsia" w:ascii="楷体" w:hAnsi="楷体" w:eastAsia="楷体"/>
          <w:b/>
          <w:color w:val="auto"/>
          <w:sz w:val="24"/>
          <w:szCs w:val="24"/>
        </w:rPr>
      </w:pPr>
      <w:r>
        <w:rPr>
          <w:rFonts w:hint="eastAsia" w:ascii="楷体" w:hAnsi="楷体" w:eastAsia="楷体" w:cs="宋体"/>
          <w:b/>
          <w:color w:val="auto"/>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1"/>
        </w:numPr>
        <w:ind w:left="420" w:leftChars="0" w:hanging="420" w:firstLineChars="0"/>
        <w:rPr>
          <w:rFonts w:ascii="楷体" w:hAnsi="楷体" w:eastAsia="楷体"/>
          <w:sz w:val="21"/>
          <w:szCs w:val="21"/>
        </w:rPr>
      </w:pPr>
      <w:r>
        <w:rPr>
          <w:rFonts w:hint="eastAsia" w:ascii="楷体" w:hAnsi="楷体" w:eastAsia="楷体"/>
          <w:sz w:val="21"/>
          <w:szCs w:val="21"/>
        </w:rPr>
        <w:t>在购买本理财产品前，投资者应确保自己完全理解该项投资的性质和所涉及的风险，详细了解和审慎评估该理财产品的资金</w:t>
      </w:r>
      <w:r>
        <w:rPr>
          <w:rFonts w:hint="eastAsia" w:ascii="楷体" w:hAnsi="楷体" w:eastAsia="楷体"/>
          <w:sz w:val="21"/>
          <w:szCs w:val="21"/>
          <w:lang w:val="en-US" w:eastAsia="zh-CN"/>
        </w:rPr>
        <w:t>投向</w:t>
      </w:r>
      <w:r>
        <w:rPr>
          <w:rFonts w:hint="eastAsia" w:ascii="楷体" w:hAnsi="楷体" w:eastAsia="楷体"/>
          <w:sz w:val="21"/>
          <w:szCs w:val="21"/>
        </w:rPr>
        <w:t>、风险类型等基本情况，在慎重考虑后自行决定购买与自身风险承受能力和资产管理需求匹配的理财产品。</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b/>
          <w:sz w:val="21"/>
          <w:szCs w:val="21"/>
          <w:u w:val="single"/>
        </w:rPr>
        <w:t>本理</w:t>
      </w:r>
      <w:r>
        <w:rPr>
          <w:rFonts w:hint="eastAsia" w:ascii="楷体" w:hAnsi="楷体" w:eastAsia="楷体" w:cs="Times New Roman"/>
          <w:b/>
          <w:sz w:val="21"/>
          <w:szCs w:val="21"/>
          <w:u w:val="single"/>
        </w:rPr>
        <w:t>财产品不保证本金及收益，您的本金可能因市场变动</w:t>
      </w:r>
      <w:r>
        <w:rPr>
          <w:rFonts w:hint="eastAsia" w:ascii="楷体" w:hAnsi="楷体" w:eastAsia="楷体" w:cs="Times New Roman"/>
          <w:b/>
          <w:sz w:val="21"/>
          <w:szCs w:val="21"/>
          <w:u w:val="single"/>
          <w:lang w:val="en-US" w:eastAsia="zh-CN"/>
        </w:rPr>
        <w:t>或者交易违约等事项</w:t>
      </w:r>
      <w:r>
        <w:rPr>
          <w:rFonts w:hint="eastAsia" w:ascii="楷体" w:hAnsi="楷体" w:eastAsia="楷体" w:cs="Times New Roman"/>
          <w:b/>
          <w:sz w:val="21"/>
          <w:szCs w:val="21"/>
          <w:u w:val="single"/>
        </w:rPr>
        <w:t>而蒙受相应损失，投资者应充分认识投资风险，谨慎投资</w:t>
      </w:r>
      <w:r>
        <w:rPr>
          <w:rFonts w:hint="eastAsia" w:ascii="楷体" w:hAnsi="楷体" w:eastAsia="楷体" w:cs="Times New Roman"/>
          <w:b/>
          <w:sz w:val="21"/>
          <w:szCs w:val="21"/>
          <w:u w:val="single"/>
          <w:lang w:eastAsia="zh-CN"/>
        </w:rPr>
        <w:t>。</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本理财产品过往业绩不代表其未来表现，不等于理财产品实际收益，投资须谨慎；理财非存款、产品有风险、投资须谨慎。</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本理财产品任何业绩比较基准</w:t>
      </w:r>
      <w:r>
        <w:rPr>
          <w:rFonts w:hint="eastAsia" w:ascii="楷体" w:hAnsi="楷体" w:eastAsia="楷体" w:cs="Times New Roman"/>
          <w:b/>
          <w:sz w:val="21"/>
          <w:szCs w:val="21"/>
          <w:u w:val="single"/>
          <w:lang w:val="en-US" w:eastAsia="zh-CN"/>
        </w:rPr>
        <w:t>及</w:t>
      </w:r>
      <w:r>
        <w:rPr>
          <w:rFonts w:hint="eastAsia" w:ascii="楷体" w:hAnsi="楷体" w:eastAsia="楷体" w:cs="Times New Roman"/>
          <w:b/>
          <w:sz w:val="21"/>
          <w:szCs w:val="21"/>
          <w:u w:val="single"/>
        </w:rPr>
        <w:t>类似表述均属不具有法律约束力的用语</w:t>
      </w:r>
      <w:r>
        <w:rPr>
          <w:rFonts w:hint="eastAsia" w:ascii="楷体" w:hAnsi="楷体" w:eastAsia="楷体" w:cs="Times New Roman"/>
          <w:b/>
          <w:sz w:val="21"/>
          <w:szCs w:val="21"/>
          <w:u w:val="single"/>
          <w:lang w:eastAsia="zh-CN"/>
        </w:rPr>
        <w:t>。</w:t>
      </w:r>
      <w:r>
        <w:rPr>
          <w:rFonts w:hint="eastAsia" w:ascii="楷体" w:hAnsi="楷体" w:eastAsia="楷体" w:cs="Times New Roman"/>
          <w:b/>
          <w:sz w:val="21"/>
          <w:szCs w:val="21"/>
          <w:u w:val="single"/>
        </w:rPr>
        <w:t>业绩比较基准</w:t>
      </w:r>
      <w:r>
        <w:rPr>
          <w:rFonts w:hint="eastAsia" w:ascii="楷体" w:hAnsi="楷体" w:eastAsia="楷体" w:cs="Times New Roman"/>
          <w:b/>
          <w:sz w:val="21"/>
          <w:szCs w:val="21"/>
          <w:u w:val="single"/>
          <w:lang w:val="en-US" w:eastAsia="zh-CN"/>
        </w:rPr>
        <w:t>为</w:t>
      </w:r>
      <w:r>
        <w:rPr>
          <w:rFonts w:hint="eastAsia" w:ascii="楷体" w:hAnsi="楷体" w:eastAsia="楷体" w:cs="Times New Roman"/>
          <w:b/>
          <w:sz w:val="21"/>
          <w:szCs w:val="21"/>
          <w:u w:val="single"/>
        </w:rPr>
        <w:t>管理人基于产品性质、投资策略、过往经验等因素对产品设定的投资目标。业绩比较基准不是预期收益率，不代表产品的未来表现和实际收益，不构成对产品收益的承诺。</w:t>
      </w:r>
    </w:p>
    <w:p>
      <w:pPr>
        <w:numPr>
          <w:ilvl w:val="0"/>
          <w:numId w:val="1"/>
        </w:numPr>
        <w:ind w:left="420" w:leftChars="0" w:hanging="420" w:firstLineChars="0"/>
        <w:rPr>
          <w:rFonts w:hint="eastAsia" w:ascii="楷体" w:hAnsi="楷体" w:eastAsia="楷体"/>
          <w:sz w:val="21"/>
          <w:szCs w:val="21"/>
        </w:rPr>
      </w:pPr>
      <w:r>
        <w:rPr>
          <w:rFonts w:hint="eastAsia" w:ascii="楷体" w:hAnsi="楷体" w:eastAsia="楷体"/>
          <w:sz w:val="21"/>
          <w:szCs w:val="21"/>
        </w:rPr>
        <w:t>《风险揭示书》、《理财产品说明书》、《理财产品投资协议书》、《投资者权益须知》、《理财产品（代理）销售协议书》共同构成本理财产品完整的不可分割的理财产品合同。</w:t>
      </w:r>
    </w:p>
    <w:p>
      <w:pPr>
        <w:numPr>
          <w:ilvl w:val="0"/>
          <w:numId w:val="1"/>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lang w:eastAsia="zh-CN"/>
        </w:rPr>
        <w:t>（</w:t>
      </w:r>
      <w:r>
        <w:rPr>
          <w:rFonts w:hint="eastAsia" w:ascii="楷体" w:hAnsi="楷体" w:eastAsia="楷体"/>
          <w:sz w:val="21"/>
          <w:szCs w:val="21"/>
          <w:lang w:val="en-US" w:eastAsia="zh-CN"/>
        </w:rPr>
        <w:t>如有）</w:t>
      </w:r>
      <w:r>
        <w:rPr>
          <w:rFonts w:hint="eastAsia" w:ascii="楷体" w:hAnsi="楷体" w:eastAsia="楷体"/>
          <w:sz w:val="21"/>
          <w:szCs w:val="21"/>
        </w:rPr>
        <w:t>、不可抗力风险</w:t>
      </w:r>
      <w:r>
        <w:rPr>
          <w:rFonts w:hint="eastAsia" w:ascii="楷体" w:hAnsi="楷体" w:eastAsia="楷体"/>
          <w:sz w:val="21"/>
          <w:szCs w:val="21"/>
          <w:lang w:eastAsia="zh-CN"/>
        </w:rPr>
        <w:t>、</w:t>
      </w:r>
      <w:r>
        <w:rPr>
          <w:rFonts w:hint="eastAsia" w:ascii="楷体" w:hAnsi="楷体" w:eastAsia="楷体"/>
          <w:sz w:val="21"/>
          <w:szCs w:val="21"/>
          <w:lang w:val="en-US" w:eastAsia="zh-CN"/>
        </w:rPr>
        <w:t>关联关系及关联交易风险、</w:t>
      </w:r>
      <w:r>
        <w:rPr>
          <w:rFonts w:hint="eastAsia" w:ascii="楷体" w:hAnsi="楷体" w:eastAsia="楷体"/>
          <w:sz w:val="21"/>
          <w:szCs w:val="21"/>
          <w:lang w:eastAsia="zh-CN"/>
        </w:rPr>
        <w:t>特定投资标的风险</w:t>
      </w:r>
      <w:r>
        <w:rPr>
          <w:rFonts w:hint="eastAsia" w:ascii="楷体" w:hAnsi="楷体" w:eastAsia="楷体"/>
          <w:sz w:val="21"/>
          <w:szCs w:val="21"/>
        </w:rPr>
        <w:t>等。请仔细阅读《“苏银理财</w:t>
      </w:r>
      <w:r>
        <w:rPr>
          <w:rFonts w:hint="eastAsia" w:ascii="楷体" w:hAnsi="楷体" w:eastAsia="楷体"/>
          <w:sz w:val="21"/>
          <w:szCs w:val="21"/>
          <w:lang w:eastAsia="zh-CN"/>
        </w:rPr>
        <w:t>恒源封闭债权208期</w:t>
      </w:r>
      <w:r>
        <w:rPr>
          <w:rFonts w:hint="eastAsia" w:ascii="楷体" w:hAnsi="楷体" w:eastAsia="楷体"/>
          <w:sz w:val="21"/>
          <w:szCs w:val="21"/>
        </w:rPr>
        <w:t>”理财产</w:t>
      </w:r>
      <w:r>
        <w:rPr>
          <w:rFonts w:hint="eastAsia" w:ascii="楷体" w:hAnsi="楷体" w:eastAsia="楷体"/>
          <w:sz w:val="21"/>
          <w:szCs w:val="21"/>
          <w:highlight w:val="none"/>
        </w:rPr>
        <w:t>品风险揭示书》的“风险揭示”部分。</w:t>
      </w:r>
    </w:p>
    <w:p>
      <w:pPr>
        <w:numPr>
          <w:ilvl w:val="0"/>
          <w:numId w:val="1"/>
        </w:numPr>
        <w:ind w:left="420" w:leftChars="0" w:hanging="420" w:firstLineChars="0"/>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numPr>
          <w:ilvl w:val="0"/>
          <w:numId w:val="1"/>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numPr>
          <w:ilvl w:val="0"/>
          <w:numId w:val="1"/>
        </w:numPr>
        <w:ind w:left="420" w:leftChars="0" w:hanging="420" w:firstLineChars="0"/>
        <w:rPr>
          <w:rFonts w:hint="eastAsia" w:ascii="楷体" w:hAnsi="楷体" w:eastAsia="楷体"/>
          <w:sz w:val="21"/>
          <w:szCs w:val="21"/>
        </w:rPr>
      </w:pPr>
      <w:r>
        <w:rPr>
          <w:rFonts w:hint="eastAsia" w:ascii="楷体" w:hAnsi="楷体" w:eastAsia="楷体"/>
          <w:sz w:val="21"/>
          <w:szCs w:val="21"/>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产品要素</w:t>
      </w:r>
    </w:p>
    <w:p>
      <w:pPr>
        <w:ind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为保护投资者合法权益，尊重投资者的知情权和自主选择权，现将本理财产品的基本要素说明如下：</w:t>
      </w:r>
    </w:p>
    <w:tbl>
      <w:tblPr>
        <w:tblStyle w:val="1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1"/>
              <w:ind w:left="55"/>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产品名称</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lang w:eastAsia="zh-CN"/>
              </w:rPr>
              <w:t>苏银理财恒源封闭债权208期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ind w:left="57"/>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理财产品登记编码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Z7003125000237，</w:t>
            </w:r>
            <w:r>
              <w:rPr>
                <w:rFonts w:hint="eastAsia" w:ascii="楷体" w:hAnsi="楷体" w:eastAsia="楷体" w:cs="宋体"/>
                <w:color w:val="auto"/>
                <w:spacing w:val="-2"/>
                <w:sz w:val="18"/>
                <w:szCs w:val="18"/>
              </w:rPr>
              <w:t>投资者可依据该编码在中国理财网</w:t>
            </w:r>
            <w:r>
              <w:rPr>
                <w:rFonts w:ascii="楷体" w:hAnsi="楷体" w:eastAsia="楷体" w:cs="宋体"/>
                <w:color w:val="auto"/>
                <w:spacing w:val="-2"/>
                <w:sz w:val="18"/>
                <w:szCs w:val="18"/>
              </w:rPr>
              <w:fldChar w:fldCharType="begin"/>
            </w:r>
            <w:r>
              <w:rPr>
                <w:rFonts w:ascii="楷体" w:hAnsi="楷体" w:eastAsia="楷体" w:cs="宋体"/>
                <w:color w:val="auto"/>
                <w:spacing w:val="-2"/>
                <w:sz w:val="18"/>
                <w:szCs w:val="18"/>
              </w:rPr>
              <w:instrText xml:space="preserve"> HYPERLINK "http://www.chinawealth.com.cn/" </w:instrText>
            </w:r>
            <w:r>
              <w:rPr>
                <w:rFonts w:ascii="楷体" w:hAnsi="楷体" w:eastAsia="楷体" w:cs="宋体"/>
                <w:color w:val="auto"/>
                <w:spacing w:val="-2"/>
                <w:sz w:val="18"/>
                <w:szCs w:val="18"/>
              </w:rPr>
              <w:fldChar w:fldCharType="separate"/>
            </w:r>
            <w:r>
              <w:rPr>
                <w:rFonts w:ascii="楷体" w:hAnsi="楷体" w:eastAsia="楷体" w:cs="宋体"/>
                <w:color w:val="auto"/>
                <w:spacing w:val="-2"/>
                <w:sz w:val="18"/>
                <w:szCs w:val="18"/>
              </w:rPr>
              <w:t>www.chinawealth.com.cn</w:t>
            </w:r>
            <w:r>
              <w:rPr>
                <w:rFonts w:ascii="楷体" w:hAnsi="楷体" w:eastAsia="楷体" w:cs="宋体"/>
                <w:color w:val="auto"/>
                <w:spacing w:val="-2"/>
                <w:sz w:val="18"/>
                <w:szCs w:val="18"/>
              </w:rPr>
              <w:fldChar w:fldCharType="end"/>
            </w:r>
            <w:r>
              <w:rPr>
                <w:rFonts w:hint="eastAsia" w:ascii="楷体" w:hAnsi="楷体" w:eastAsia="楷体" w:cs="宋体"/>
                <w:color w:val="auto"/>
                <w:spacing w:val="-2"/>
                <w:sz w:val="18"/>
                <w:szCs w:val="18"/>
              </w:rPr>
              <w:t>查询产品信息</w:t>
            </w:r>
            <w:r>
              <w:rPr>
                <w:rFonts w:hint="eastAsia" w:ascii="楷体" w:hAnsi="楷体" w:eastAsia="楷体" w:cs="宋体"/>
                <w:color w:val="auto"/>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highlight w:val="none"/>
              </w:rPr>
              <w:t>销售</w:t>
            </w:r>
            <w:r>
              <w:rPr>
                <w:rFonts w:hint="eastAsia" w:ascii="楷体" w:hAnsi="楷体" w:eastAsia="楷体" w:cs="宋体"/>
                <w:b/>
                <w:color w:val="auto"/>
                <w:spacing w:val="-2"/>
                <w:sz w:val="18"/>
                <w:szCs w:val="18"/>
                <w:highlight w:val="none"/>
                <w:lang w:val="en-US" w:eastAsia="zh-CN"/>
              </w:rPr>
              <w:t>名称</w:t>
            </w:r>
            <w:r>
              <w:rPr>
                <w:rFonts w:hint="eastAsia" w:ascii="楷体" w:hAnsi="楷体" w:eastAsia="楷体" w:cs="宋体"/>
                <w:b/>
                <w:color w:val="auto"/>
                <w:spacing w:val="-2"/>
                <w:sz w:val="18"/>
                <w:szCs w:val="18"/>
                <w:highlight w:val="none"/>
              </w:rPr>
              <w:t>/销售代码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A份额：苏银理财恒源封闭债权208期13月A/J07810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B份额：苏银理财恒源封闭债权208期13月B/J07811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C份额：苏银理财恒源封闭债权208期13月C/J07812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D份额：苏银理财恒源封闭债权208期13月D/J07813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E份额：苏银理财恒源封闭债权208期13月E/J07814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F份额：苏银理财恒源封闭债权208期13月F/J07815</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G份额：苏银理财恒源封闭债权208期13月G/J07816</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H份额：苏银理财恒源封闭债权208期13月H/J07817</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I份额：苏银理财恒源封闭债权208期13月I/J07818</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J份额：苏银理财恒源封闭债权208期13月J/J07819</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K份额：苏银理财恒源封闭债权208期13月K/J07820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L份额：苏银理财恒源封闭债权208期13月L/J07821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M份额：苏银理财恒源封闭债权208期13月M/J07822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N份额：苏银理财恒源封闭债权208期13月N/J07823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O份额：苏银理财恒源封闭债权208期13月O/J07824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Z份额：苏银理财恒源封闭债权208期13月Z/J07825</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JS份额：苏银理财恒源封闭债权208期13月JS鑫福款/J07826</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芙蓉锦程 ·优选份额：苏银理财恒源封闭债权208期13月（芙蓉锦程 ·优选）/J07827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rPr>
              <w:t>产品类型</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lang w:val="en-US" w:eastAsia="zh-CN"/>
              </w:rPr>
            </w:pPr>
            <w:r>
              <w:rPr>
                <w:rFonts w:hint="eastAsia" w:ascii="楷体" w:hAnsi="楷体" w:eastAsia="楷体" w:cs="宋体"/>
                <w:b/>
                <w:color w:val="auto"/>
                <w:spacing w:val="-2"/>
                <w:sz w:val="18"/>
                <w:szCs w:val="18"/>
                <w:u w:val="single"/>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产品内部风险评级</w:t>
            </w:r>
          </w:p>
        </w:tc>
        <w:tc>
          <w:tcPr>
            <w:tcW w:w="7937" w:type="dxa"/>
            <w:vAlign w:val="center"/>
          </w:tcPr>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6"/>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489"/>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keepNext w:val="0"/>
              <w:keepLines w:val="0"/>
              <w:pageBreakBefore w:val="0"/>
              <w:kinsoku/>
              <w:wordWrap/>
              <w:overflowPunct/>
              <w:topLinePunct w:val="0"/>
              <w:bidi w:val="0"/>
              <w:snapToGrid w:val="0"/>
              <w:spacing w:line="240" w:lineRule="auto"/>
              <w:ind w:left="57" w:leftChars="0" w:right="57" w:rightChars="0" w:firstLine="0" w:firstLineChars="0"/>
              <w:jc w:val="both"/>
              <w:textAlignment w:val="auto"/>
              <w:rPr>
                <w:rFonts w:hint="eastAsia" w:ascii="楷体" w:hAnsi="楷体" w:eastAsia="楷体" w:cs="宋体"/>
                <w:b/>
                <w:color w:val="auto"/>
                <w:spacing w:val="-2"/>
                <w:sz w:val="18"/>
                <w:szCs w:val="18"/>
                <w:u w:val="single"/>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销售对象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M份额面向个人销售；其他份额面向个人和机构投资者销售。</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其中C份额销售机构江苏银行仅限新资金客户、新客户及代发工资客户，具体以销售机构系统设置为准。新资金的达标条件为“客户前一日资产时点余额”较“前一月末资产月日均余额”的新增额大于5万元；新客户是指首次购买苏银理财理财产品的客户；</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kern w:val="0"/>
                <w:sz w:val="18"/>
                <w:szCs w:val="18"/>
                <w:highlight w:val="none"/>
                <w:lang w:val="en-US" w:eastAsia="zh-CN" w:bidi="ar-SA"/>
              </w:rPr>
              <w:t>E份额销售机构江苏银行仅限财富客户、私行客户、企业高管客户，江苏银行财富客户指在江苏银行日均资产大于等于200万元的个人客户，江苏银行私行客户指在江苏银行日均资产大于等于600万元的个人客户，企业高管客户是指与江苏银行有业务来往的企业的高管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4"/>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币种</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份额面值</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highlight w:val="none"/>
              </w:rPr>
              <w:t>计划发行规模</w:t>
            </w:r>
          </w:p>
        </w:tc>
        <w:tc>
          <w:tcPr>
            <w:tcW w:w="7937" w:type="dxa"/>
            <w:vAlign w:val="center"/>
          </w:tcPr>
          <w:p>
            <w:pPr>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val="0"/>
                <w:color w:val="auto"/>
                <w:spacing w:val="-2"/>
                <w:kern w:val="0"/>
                <w:sz w:val="18"/>
                <w:szCs w:val="18"/>
                <w:u w:val="none"/>
              </w:rPr>
            </w:pPr>
            <w:r>
              <w:rPr>
                <w:rFonts w:hint="eastAsia" w:ascii="楷体" w:hAnsi="楷体" w:eastAsia="楷体" w:cs="宋体"/>
                <w:color w:val="auto"/>
                <w:spacing w:val="-2"/>
                <w:kern w:val="0"/>
                <w:sz w:val="18"/>
                <w:szCs w:val="18"/>
                <w:highlight w:val="none"/>
                <w:lang w:val="en-US" w:eastAsia="zh-CN"/>
              </w:rPr>
              <w:t>本产品计划发行规模为20</w:t>
            </w:r>
            <w:r>
              <w:rPr>
                <w:rFonts w:hint="eastAsia" w:ascii="楷体" w:hAnsi="楷体" w:eastAsia="楷体" w:cs="宋体"/>
                <w:color w:val="auto"/>
                <w:spacing w:val="-2"/>
                <w:kern w:val="0"/>
                <w:sz w:val="18"/>
                <w:szCs w:val="18"/>
                <w:highlight w:val="none"/>
              </w:rPr>
              <w:t>亿</w:t>
            </w:r>
            <w:r>
              <w:rPr>
                <w:rFonts w:hint="eastAsia" w:ascii="楷体" w:hAnsi="楷体" w:eastAsia="楷体" w:cs="宋体"/>
                <w:color w:val="auto"/>
                <w:spacing w:val="-2"/>
                <w:kern w:val="0"/>
                <w:sz w:val="18"/>
                <w:szCs w:val="18"/>
                <w:highlight w:val="none"/>
                <w:lang w:val="en-US" w:eastAsia="zh-CN"/>
              </w:rPr>
              <w:t>元，</w:t>
            </w:r>
            <w:r>
              <w:rPr>
                <w:rFonts w:hint="eastAsia" w:ascii="楷体" w:hAnsi="楷体" w:eastAsia="楷体" w:cs="宋体"/>
                <w:color w:val="auto"/>
                <w:spacing w:val="-2"/>
                <w:kern w:val="0"/>
                <w:sz w:val="18"/>
                <w:szCs w:val="18"/>
                <w:highlight w:val="none"/>
              </w:rPr>
              <w:t>管理人有权</w:t>
            </w:r>
            <w:r>
              <w:rPr>
                <w:rFonts w:hint="eastAsia" w:ascii="楷体" w:hAnsi="楷体" w:eastAsia="楷体" w:cs="宋体"/>
                <w:color w:val="auto"/>
                <w:spacing w:val="-2"/>
                <w:kern w:val="0"/>
                <w:sz w:val="18"/>
                <w:szCs w:val="18"/>
                <w:highlight w:val="none"/>
                <w:lang w:val="en-US" w:eastAsia="zh-CN"/>
              </w:rPr>
              <w:t>根据实际需要</w:t>
            </w:r>
            <w:r>
              <w:rPr>
                <w:rFonts w:hint="eastAsia" w:ascii="楷体" w:hAnsi="楷体" w:eastAsia="楷体" w:cs="宋体"/>
                <w:color w:val="auto"/>
                <w:spacing w:val="-2"/>
                <w:kern w:val="0"/>
                <w:sz w:val="18"/>
                <w:szCs w:val="18"/>
                <w:highlight w:val="none"/>
              </w:rPr>
              <w:t>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lang w:val="en-US" w:eastAsia="zh-CN"/>
              </w:rPr>
            </w:pPr>
            <w:r>
              <w:rPr>
                <w:rFonts w:hint="eastAsia" w:ascii="楷体" w:hAnsi="楷体" w:eastAsia="楷体" w:cs="宋体"/>
                <w:b/>
                <w:color w:val="auto"/>
                <w:spacing w:val="-2"/>
                <w:sz w:val="18"/>
                <w:szCs w:val="18"/>
                <w:highlight w:val="none"/>
                <w:lang w:val="en-US" w:eastAsia="zh-CN"/>
              </w:rPr>
              <w:t>最低发行规模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9"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购买</w:t>
            </w:r>
            <w:r>
              <w:rPr>
                <w:rFonts w:hint="eastAsia" w:ascii="楷体" w:hAnsi="楷体" w:eastAsia="楷体" w:cs="宋体"/>
                <w:b/>
                <w:color w:val="auto"/>
                <w:spacing w:val="-2"/>
                <w:sz w:val="18"/>
                <w:szCs w:val="18"/>
              </w:rPr>
              <w:t>起点</w:t>
            </w:r>
            <w:r>
              <w:rPr>
                <w:rFonts w:ascii="楷体" w:hAnsi="楷体" w:eastAsia="楷体" w:cs="宋体"/>
                <w:b/>
                <w:color w:val="auto"/>
                <w:spacing w:val="-2"/>
                <w:sz w:val="18"/>
                <w:szCs w:val="18"/>
              </w:rPr>
              <w:t>/</w:t>
            </w:r>
            <w:r>
              <w:rPr>
                <w:rFonts w:hint="eastAsia" w:ascii="楷体" w:hAnsi="楷体" w:eastAsia="楷体" w:cs="宋体"/>
                <w:b/>
                <w:color w:val="auto"/>
                <w:spacing w:val="-2"/>
                <w:sz w:val="18"/>
                <w:szCs w:val="18"/>
              </w:rPr>
              <w:t>追加金额</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A/B/D/F/G/H/I/J/K/L/N/O/Z/JS/芙蓉锦程 ·优选份额：1元/1元的整数倍；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C/M份额：10,000元/10,000元的整数倍；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E份额：300,000元/10,000元的整数倍；</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highlight w:val="none"/>
              </w:rPr>
            </w:pPr>
            <w:r>
              <w:rPr>
                <w:rFonts w:hint="eastAsia" w:ascii="楷体" w:hAnsi="楷体" w:eastAsia="楷体"/>
                <w:sz w:val="18"/>
                <w:szCs w:val="18"/>
              </w:rPr>
              <w:t>苏银理财有权对上述起点金额</w:t>
            </w:r>
            <w:r>
              <w:rPr>
                <w:rFonts w:hint="eastAsia" w:ascii="楷体" w:hAnsi="楷体" w:eastAsia="楷体"/>
                <w:sz w:val="18"/>
                <w:szCs w:val="18"/>
                <w:highlight w:val="none"/>
              </w:rPr>
              <w:t>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w:t>
            </w:r>
            <w:r>
              <w:rPr>
                <w:rFonts w:hint="eastAsia" w:ascii="楷体" w:hAnsi="楷体" w:eastAsia="楷体"/>
                <w:sz w:val="18"/>
                <w:szCs w:val="18"/>
              </w:rPr>
              <w:t>调整，并在调整前进行公告。</w:t>
            </w:r>
            <w:r>
              <w:rPr>
                <w:rFonts w:hint="eastAsia" w:ascii="楷体" w:hAnsi="楷体" w:eastAsia="楷体"/>
                <w:sz w:val="18"/>
                <w:szCs w:val="18"/>
                <w:lang w:eastAsia="zh-CN"/>
              </w:rPr>
              <w:t>（</w:t>
            </w:r>
            <w:r>
              <w:rPr>
                <w:rFonts w:hint="eastAsia" w:ascii="楷体" w:hAnsi="楷体" w:eastAsia="楷体"/>
                <w:sz w:val="18"/>
                <w:szCs w:val="18"/>
              </w:rPr>
              <w:t>具体以销售机构设置为准</w:t>
            </w:r>
            <w:r>
              <w:rPr>
                <w:rFonts w:hint="eastAsia" w:ascii="楷体" w:hAnsi="楷体" w:eastAsia="楷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募集期</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日至202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16</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产品成立日/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份额登记日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2025年9月17日，如管理人调整募集期，则产品成立日/份额登记日将相应调整，以管理人公告为准。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到期日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6</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10</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13</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w:t>
            </w:r>
            <w:r>
              <w:rPr>
                <w:rFonts w:hint="eastAsia" w:ascii="楷体" w:hAnsi="楷体" w:eastAsia="楷体" w:cs="宋体"/>
                <w:color w:val="auto"/>
                <w:spacing w:val="-2"/>
                <w:sz w:val="18"/>
                <w:szCs w:val="18"/>
                <w:lang w:val="en-US" w:eastAsia="zh-CN"/>
              </w:rPr>
              <w:t>八</w:t>
            </w:r>
            <w:r>
              <w:rPr>
                <w:rFonts w:hint="eastAsia" w:ascii="楷体" w:hAnsi="楷体" w:eastAsia="楷体" w:cs="宋体"/>
                <w:color w:val="auto"/>
                <w:spacing w:val="-2"/>
                <w:sz w:val="18"/>
                <w:szCs w:val="18"/>
              </w:rPr>
              <w:t>、产品终止”。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产品存续期限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391</w:t>
            </w:r>
            <w:r>
              <w:rPr>
                <w:rFonts w:hint="eastAsia" w:ascii="楷体" w:hAnsi="楷体" w:eastAsia="楷体" w:cs="宋体"/>
                <w:color w:val="auto"/>
                <w:spacing w:val="-2"/>
                <w:sz w:val="18"/>
                <w:szCs w:val="18"/>
              </w:rPr>
              <w:t>天（以理财产品实际存续天数为准）</w:t>
            </w:r>
            <w:r>
              <w:rPr>
                <w:rFonts w:hint="eastAsia" w:ascii="楷体" w:hAnsi="楷体" w:eastAsia="楷体" w:cs="宋体"/>
                <w:color w:val="auto"/>
                <w:spacing w:val="-2"/>
                <w:sz w:val="18"/>
                <w:szCs w:val="18"/>
                <w:lang w:eastAsia="zh-CN"/>
              </w:rPr>
              <w:t>。</w:t>
            </w:r>
            <w:r>
              <w:rPr>
                <w:rFonts w:hint="eastAsia" w:ascii="楷体" w:hAnsi="楷体" w:eastAsia="楷体" w:cs="宋体"/>
                <w:b/>
                <w:bCs/>
                <w:color w:val="auto"/>
                <w:spacing w:val="-2"/>
                <w:sz w:val="18"/>
                <w:szCs w:val="18"/>
                <w:u w:val="single"/>
                <w:lang w:eastAsia="zh-CN"/>
              </w:rPr>
              <w:t>本产品运行期间，不开放申购、赎回。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持有份额上限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spacing w:val="-2"/>
                <w:kern w:val="0"/>
                <w:sz w:val="18"/>
                <w:szCs w:val="18"/>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业绩比较基准（年化）</w:t>
            </w:r>
          </w:p>
        </w:tc>
        <w:tc>
          <w:tcPr>
            <w:tcW w:w="7937" w:type="dxa"/>
            <w:vAlign w:val="center"/>
          </w:tcPr>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1.管理人</w:t>
            </w:r>
            <w:r>
              <w:rPr>
                <w:rFonts w:ascii="楷体" w:hAnsi="楷体" w:eastAsia="楷体" w:cs="宋体"/>
                <w:b/>
                <w:bCs/>
                <w:spacing w:val="-2"/>
                <w:sz w:val="18"/>
                <w:szCs w:val="18"/>
                <w:u w:val="single"/>
              </w:rPr>
              <w:t>参考过往投资经验，依据近期货币市场工具、债券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u w:val="single"/>
              </w:rPr>
              <w:t>等资产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w:t>
            </w:r>
            <w:r>
              <w:rPr>
                <w:rFonts w:hint="eastAsia" w:ascii="楷体" w:hAnsi="楷体" w:eastAsia="楷体" w:cs="宋体"/>
                <w:b/>
                <w:spacing w:val="-2"/>
                <w:sz w:val="18"/>
                <w:szCs w:val="18"/>
                <w:u w:val="single"/>
              </w:rPr>
              <w:t>在产品说明书约定的投资范围和投资比例内，</w:t>
            </w:r>
            <w:r>
              <w:rPr>
                <w:rFonts w:hint="eastAsia" w:ascii="楷体" w:hAnsi="楷体" w:eastAsia="楷体" w:cs="宋体"/>
                <w:b/>
                <w:spacing w:val="-2"/>
                <w:sz w:val="18"/>
                <w:szCs w:val="18"/>
                <w:highlight w:val="none"/>
                <w:u w:val="single"/>
              </w:rPr>
              <w:t>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spacing w:val="-2"/>
                <w:sz w:val="18"/>
                <w:szCs w:val="18"/>
                <w:highlight w:val="none"/>
                <w:u w:val="single"/>
                <w:lang w:val="en-US" w:eastAsia="zh-CN"/>
              </w:rPr>
              <w:t>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2"/>
                <w:sz w:val="18"/>
                <w:szCs w:val="18"/>
                <w:lang w:val="en-US" w:eastAsia="zh-CN" w:bidi="ar-SA"/>
              </w:rPr>
            </w:pPr>
            <w:r>
              <w:rPr>
                <w:rFonts w:hint="eastAsia" w:ascii="楷体" w:hAnsi="楷体" w:eastAsia="楷体" w:cs="宋体"/>
                <w:color w:val="auto"/>
                <w:spacing w:val="-2"/>
                <w:kern w:val="2"/>
                <w:sz w:val="18"/>
                <w:szCs w:val="18"/>
                <w:lang w:val="en-US" w:eastAsia="zh-CN" w:bidi="ar-SA"/>
              </w:rPr>
              <w:t>A份额：2.65%-3.05%，B份额：2.60%-3.00%，C份额：2.70%-3.10%，D份额：2.60%-3.00%，E份额：2.75%-3.15%，F份额：2.60%-3.00%，G份额：2.50%-2.90%，H份额：2.40%-2.80%，I份额：2.60%-3.00%，J份额：2.55%-2.95%，K份额：2.75%-3.15%，L份额：2.65%-3.05%，M份额：2.40%-2.80%，N份额：2.70%-3.10%，O份额：2.80%-3.20%，Z份额：2.70%-3.10%，JS份额：2.60%-3.00%，芙蓉锦程 ·优选份额：2.65%-3.05%。</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b/>
                <w:spacing w:val="-2"/>
                <w:sz w:val="18"/>
                <w:szCs w:val="18"/>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4"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产品费用</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val="en-US" w:eastAsia="zh-CN"/>
              </w:rPr>
            </w:pPr>
            <w:r>
              <w:rPr>
                <w:rFonts w:hint="eastAsia" w:ascii="楷体" w:hAnsi="楷体" w:eastAsia="楷体" w:cs="宋体"/>
                <w:color w:val="auto"/>
                <w:spacing w:val="-2"/>
                <w:sz w:val="18"/>
                <w:szCs w:val="18"/>
                <w:lang w:val="en-US" w:eastAsia="zh-CN"/>
              </w:rPr>
              <w:t>本产品费用包括托管费、销售服务费、投资管理费、超额业绩报酬（如有）以及产品运作和清算中产生的其他费用等。</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1.托管费率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：0.02%/年</w:t>
            </w:r>
            <w:r>
              <w:rPr>
                <w:rFonts w:hint="eastAsia" w:ascii="楷体" w:hAnsi="楷体" w:eastAsia="楷体" w:cs="宋体"/>
                <w:color w:val="auto"/>
                <w:spacing w:val="-2"/>
                <w:sz w:val="18"/>
                <w:szCs w:val="18"/>
                <w:lang w:eastAsia="zh-CN"/>
              </w:rPr>
              <w:t>。</w:t>
            </w:r>
          </w:p>
          <w:p>
            <w:pPr>
              <w:keepNext w:val="0"/>
              <w:keepLines w:val="0"/>
              <w:pageBreakBefore w:val="0"/>
              <w:wordWrap/>
              <w:topLinePunct w:val="0"/>
              <w:bidi w:val="0"/>
              <w:snapToGrid w:val="0"/>
              <w:spacing w:line="240" w:lineRule="auto"/>
              <w:ind w:left="57" w:right="57" w:rightChars="0"/>
              <w:textAlignment w:val="auto"/>
              <w:rPr>
                <w:rFonts w:hint="default" w:ascii="楷体" w:hAnsi="楷体" w:eastAsia="楷体" w:cs="宋体"/>
                <w:color w:val="auto"/>
                <w:spacing w:val="-2"/>
                <w:sz w:val="18"/>
                <w:szCs w:val="18"/>
                <w:lang w:val="en-US"/>
              </w:rPr>
            </w:pPr>
            <w:r>
              <w:rPr>
                <w:rFonts w:hint="eastAsia" w:ascii="楷体" w:hAnsi="楷体" w:eastAsia="楷体" w:cs="宋体"/>
                <w:color w:val="auto"/>
                <w:spacing w:val="-2"/>
                <w:sz w:val="18"/>
                <w:szCs w:val="18"/>
              </w:rPr>
              <w:t>2.销售服务费率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H份额：0.40%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L份额：0.10%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M份额：0.35%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N份额：0.05%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O份额：0.05%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·优选份额：0.15%</w:t>
            </w:r>
            <w:r>
              <w:rPr>
                <w:rFonts w:hint="eastAsia" w:ascii="楷体" w:hAnsi="楷体" w:eastAsia="楷体" w:cs="宋体"/>
                <w:color w:val="auto"/>
                <w:spacing w:val="-2"/>
                <w:sz w:val="18"/>
                <w:szCs w:val="18"/>
                <w:lang w:val="en-US" w:eastAsia="zh-CN"/>
              </w:rPr>
              <w:t>。其中D、O份额采用一次性提取模式，其他份额采用每日计提模式。</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3.投资管理费率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L份额：0.15%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M份额：0.15%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N份额：0.15%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O份额：0.05%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·优选份额：0.10%</w:t>
            </w:r>
            <w:r>
              <w:rPr>
                <w:rFonts w:hint="eastAsia" w:ascii="楷体" w:hAnsi="楷体" w:eastAsia="楷体" w:cs="宋体"/>
                <w:color w:val="auto"/>
                <w:spacing w:val="-2"/>
                <w:sz w:val="18"/>
                <w:szCs w:val="18"/>
                <w:lang w:val="en-US" w:eastAsia="zh-CN"/>
              </w:rPr>
              <w:t>。</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4.超额业绩报酬</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如有）</w:t>
            </w:r>
            <w:r>
              <w:rPr>
                <w:rFonts w:hint="eastAsia" w:ascii="楷体" w:hAnsi="楷体" w:eastAsia="楷体" w:cs="宋体"/>
                <w:color w:val="auto"/>
                <w:spacing w:val="-2"/>
                <w:sz w:val="18"/>
                <w:szCs w:val="18"/>
              </w:rPr>
              <w:t>：若产品各份额实际投资收益在扣除托管费、销售服务费、投资管理费等费用后超过各份额业绩比较基准</w:t>
            </w:r>
            <w:r>
              <w:rPr>
                <w:rFonts w:hint="eastAsia" w:ascii="楷体" w:hAnsi="楷体" w:eastAsia="楷体" w:cs="宋体"/>
                <w:color w:val="auto"/>
                <w:spacing w:val="-2"/>
                <w:sz w:val="18"/>
                <w:szCs w:val="18"/>
                <w:lang w:val="en-US" w:eastAsia="zh-CN"/>
              </w:rPr>
              <w:t>下限</w:t>
            </w:r>
            <w:r>
              <w:rPr>
                <w:rFonts w:hint="eastAsia" w:ascii="楷体" w:hAnsi="楷体" w:eastAsia="楷体" w:cs="宋体"/>
                <w:color w:val="auto"/>
                <w:spacing w:val="-2"/>
                <w:sz w:val="18"/>
                <w:szCs w:val="18"/>
              </w:rPr>
              <w:t>，产品管理人将按照超出部分的50%收取超额业绩报酬。产品存续期内理财产品将每日暂估超额业绩报酬，仅用于理财产品会计核算，并将扣除“暂估超额业绩报酬”后的理财产品份额净值按照说明书约定向投资者进行披露。理财产品实际收取的超额业绩报酬以到期日计提核算的数值为准。计算超额业绩报酬时，1年按365日计算。</w:t>
            </w:r>
          </w:p>
          <w:p>
            <w:pPr>
              <w:pStyle w:val="35"/>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keepNext w:val="0"/>
              <w:keepLines w:val="0"/>
              <w:pageBreakBefore w:val="0"/>
              <w:widowControl w:val="0"/>
              <w:numPr>
                <w:ilvl w:val="0"/>
                <w:numId w:val="0"/>
              </w:numPr>
              <w:wordWrap/>
              <w:topLinePunct w:val="0"/>
              <w:bidi w:val="0"/>
              <w:snapToGrid w:val="0"/>
              <w:spacing w:line="240" w:lineRule="auto"/>
              <w:ind w:right="57"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b/>
                <w:color w:val="auto"/>
                <w:spacing w:val="-2"/>
                <w:sz w:val="18"/>
                <w:szCs w:val="18"/>
                <w:lang w:val="en-US" w:eastAsia="zh-CN"/>
              </w:rPr>
              <w:t>收益分配</w:t>
            </w:r>
          </w:p>
        </w:tc>
        <w:tc>
          <w:tcPr>
            <w:tcW w:w="7937" w:type="dxa"/>
            <w:vAlign w:val="center"/>
          </w:tcPr>
          <w:p>
            <w:pPr>
              <w:keepNext w:val="0"/>
              <w:keepLines w:val="0"/>
              <w:pageBreakBefore w:val="0"/>
              <w:wordWrap/>
              <w:topLinePunct w:val="0"/>
              <w:bidi w:val="0"/>
              <w:snapToGrid w:val="0"/>
              <w:spacing w:line="240" w:lineRule="auto"/>
              <w:ind w:left="59" w:leftChars="0" w:right="73" w:rightChars="35"/>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color w:val="auto"/>
                <w:spacing w:val="-2"/>
                <w:sz w:val="18"/>
                <w:szCs w:val="18"/>
                <w:lang w:val="en-US" w:eastAsia="zh-CN"/>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lang w:val="en-US" w:eastAsia="zh-CN"/>
              </w:rPr>
              <w:t>税款</w:t>
            </w:r>
          </w:p>
        </w:tc>
        <w:tc>
          <w:tcPr>
            <w:tcW w:w="7937" w:type="dxa"/>
            <w:vAlign w:val="center"/>
          </w:tcPr>
          <w:p>
            <w:pPr>
              <w:keepNext w:val="0"/>
              <w:keepLines w:val="0"/>
              <w:pageBreakBefore w:val="0"/>
              <w:widowControl w:val="0"/>
              <w:wordWrap/>
              <w:topLinePunct w:val="0"/>
              <w:bidi w:val="0"/>
              <w:snapToGrid w:val="0"/>
              <w:spacing w:line="240" w:lineRule="auto"/>
              <w:ind w:left="42" w:leftChars="20" w:right="42" w:rightChars="20"/>
              <w:textAlignment w:val="auto"/>
              <w:rPr>
                <w:rFonts w:hint="eastAsia" w:ascii="楷体" w:hAnsi="楷体" w:eastAsia="楷体" w:cs="宋体"/>
                <w:spacing w:val="-2"/>
                <w:kern w:val="2"/>
                <w:sz w:val="18"/>
                <w:szCs w:val="18"/>
                <w:highlight w:val="none"/>
                <w:lang w:val="en-US" w:eastAsia="zh-CN" w:bidi="ar-SA"/>
              </w:rPr>
            </w:pPr>
            <w:r>
              <w:rPr>
                <w:rFonts w:hint="eastAsia" w:ascii="楷体" w:hAnsi="楷体" w:eastAsia="楷体" w:cs="宋体"/>
                <w:color w:val="auto"/>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产品管理人</w:t>
      </w:r>
    </w:p>
    <w:p>
      <w:pPr>
        <w:numPr>
          <w:ilvl w:val="-1"/>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1"/>
          <w:numId w:val="0"/>
        </w:numPr>
        <w:ind w:left="0" w:firstLine="420" w:firstLineChars="200"/>
        <w:rPr>
          <w:rFonts w:hint="eastAsia" w:ascii="楷体" w:hAnsi="楷体" w:eastAsia="楷体" w:cs="Times New Roman"/>
          <w:color w:val="auto"/>
          <w:sz w:val="21"/>
          <w:szCs w:val="21"/>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numPr>
          <w:ilvl w:val="0"/>
          <w:numId w:val="2"/>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b/>
          <w:color w:val="auto"/>
          <w:szCs w:val="21"/>
          <w:highlight w:val="none"/>
        </w:rPr>
        <w:t>产品托管人</w:t>
      </w:r>
    </w:p>
    <w:p>
      <w:pPr>
        <w:numPr>
          <w:ilvl w:val="0"/>
          <w:numId w:val="0"/>
        </w:numPr>
        <w:ind w:firstLine="420" w:firstLineChars="200"/>
        <w:rPr>
          <w:rFonts w:hint="default" w:ascii="楷体" w:hAnsi="楷体" w:eastAsia="楷体"/>
          <w:color w:val="auto"/>
          <w:sz w:val="21"/>
          <w:szCs w:val="21"/>
          <w:lang w:val="en-US" w:eastAsia="zh-CN"/>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numPr>
          <w:ilvl w:val="0"/>
          <w:numId w:val="2"/>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cs="Times New Roman"/>
          <w:b/>
          <w:color w:val="auto"/>
          <w:sz w:val="21"/>
          <w:szCs w:val="21"/>
          <w:highlight w:val="none"/>
        </w:rPr>
        <w:t>销售机构</w:t>
      </w:r>
    </w:p>
    <w:p>
      <w:pPr>
        <w:numPr>
          <w:ilvl w:val="-1"/>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A份额：江苏高淳农村商业银行股份有限公司/江苏姜堰农村商业银行股份有限公司/江苏常熟农村商业银行股份有限公司/苏银理财有限责任公司/江苏银行股份有限公司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B份额：上海银行股份有限公司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C份额：江苏银行股份有限公司/苏银理财有限责任公司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D份额：宁波通商银行股份有限公司/宁波东海银行股份有限公司/广州农村商业银行股份有限公司/武汉农村商业银行股份有限公司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E份额：江苏银行股份有限公司/江苏常熟农村商业银行股份有限公司/苏银理财有限责任公司/宁波通商银行股份有限公司/宁波东海银行股份有限公司</w:t>
      </w:r>
    </w:p>
    <w:p>
      <w:pPr>
        <w:numPr>
          <w:ilvl w:val="-1"/>
          <w:numId w:val="0"/>
        </w:numPr>
        <w:tabs>
          <w:tab w:val="left" w:pos="993"/>
        </w:tabs>
        <w:ind w:left="0" w:leftChars="0" w:firstLine="420" w:firstLineChars="200"/>
        <w:rPr>
          <w:rFonts w:hint="default"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F份额：莱商银行股份有限公司/威海银行股份有限公司/潍坊银行股份有限公司/齐鲁银行股份有限公司/嘉兴银行股份有限公司/北京农村商业银行股份有限公司/青岛银行股份有限公司/徽商银行股份有限公司</w:t>
      </w:r>
      <w:bookmarkStart w:id="0" w:name="_GoBack"/>
      <w:bookmarkEnd w:id="0"/>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G份额：江苏苏州农村商业银行股份有限公司/山西银行股份有限公司/交通银行股份有限公司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H份额：上海农村商业银行股份有限公司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I份额：浙江平湖农村商业银行股份有限公司/浙江乐清农村商业银行股份有限公司/杭州联合农村商业银行股份有限公司/浙江萧山农村商业银行股份有限公司/浙江永嘉农村商业银行股份有限公司/浙江嘉善农村商业银行股份有限公司/湖州吴兴农村商业银行股份有限公司/浙江淳安农村商业银行股份有限公司/浙江舟山定海海洋农村商业银行股份有限公司/浙江岱山农村商业银行股份有限公司/浙江绍兴瑞丰农村商业银行股份有限公司/浙江温州龙湾农村商业银行股份有限公司/浙江德清农村商业银行股份有限公司/浙江桐乡农村商业银行股份有限公司/浙江上虞农村商业银行股份有限公司/浙江温州瓯海农村商业银行股份有限公司/浙江兰溪农村商业银行股份有限公司/浙江青田农村商业银行股份有限公司/浙江文成农村商业银行股份有限公司/浙江杭州余杭农村商业银行股份有限公司/浙江舟山普陀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J份额：浙江桐庐农村商业银行股份有限公司/浙江新昌农村商业银行股份有限公司/浙江武义农村商业银行股份有限公司/浙江平湖农村商业银行股份有限公司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K份额：青岛银行股份有限公司/日照银行股份有限公司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L份额：青岛银行股份有限公司/浙江杭州余杭农村商业银行股份有限公司/浙江萧山农村商业银行股份有限公司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M份额：重庆农村商业银行股份有限公司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N份额：浙江海宁农村商业银行股份有限公司/浙江舟山定海海洋农村商业银行股份有限公司/浙江舟山普陀农村商业银行股份有限公司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O份额：武汉农村商业银行股份有限公司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Z份额：莱商银行股份有限公司/郑州银行股份有限公司/齐鲁银行股份有限公司/青岛银行股份有限公司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泗阳农村商业银行股份有限公司/江苏沛县农村商业银行股份有限公司/江苏灌云农村商业银行股份有限公司/江苏灌南农村商业银行股份有限公司/江苏泰兴农村商业银行股份有限公司/江苏仪征农村商业银行股份有限公司/江苏靖江农村商业银行股份有限公司/江苏海门农村商业银行股份有限公司/连云港东方农村商业银行股份有限公司/江苏江都农村商业银行股份有限公司/江苏常熟农村商业银行股份有限公司/江苏新沂农村商业银行股份有限公司/江苏如皋农村商业银行股份有限公司/江苏启东农村商业银行股份有限公司/徐州农村商业银行股份有限公司/江苏高邮农村商业银行股份有限公司/江苏沭阳农村商业银行股份有限公司/江苏民丰农村商业银行股份有限公司/江苏镇江农村商业银行股份有限公司/江苏海安农村商业银行股份有限公司/江苏苏州农村商业银行股份有限公司/江苏建湖农村商业银行股份有限公司/江苏淮安农村商业银行股份有限公司/江苏姜堰农村商业银行股份有限公司/江苏句容农村商业银行股份有限公司/江苏睢宁农村商业银行股份有限公司/江苏扬中农村商业银行股份有限公司/江苏丰县农村商业银行股份有限公司/江苏邳州农村商业银行股份有限公司/江苏宝应农村商业银行股份有限公司/江苏东海农村商业银行股份有限公司/江苏赣榆农村商业银行股份有限公司/江苏射阳农村商业银行股份有限公司/江苏阜宁农村商业银行股份有限公司/江苏东台农村商业银行股份有限公司/江苏盐城农村商业银行股份有限公司/江苏高淳农村商业银行股份有限公司/江苏紫金农村商业银行股份有限公司/江苏溧水农村商业银行股份有限公司/江苏大丰农村商业银行股份有限公司/江苏扬州农村商业银行股份有限公司/江苏张家港农村商业银行股份有限公司/江苏如东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 ·优选份额：成都银行股份有限公司</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工作日：</w:t>
      </w:r>
      <w:r>
        <w:rPr>
          <w:rFonts w:hint="eastAsia" w:ascii="楷体" w:hAnsi="楷体" w:eastAsia="楷体" w:cs="Calibri"/>
          <w:color w:val="auto"/>
          <w:sz w:val="21"/>
          <w:szCs w:val="21"/>
          <w:highlight w:val="none"/>
        </w:rPr>
        <w:t>指国家法定工作日。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交易日：</w:t>
      </w:r>
      <w:r>
        <w:rPr>
          <w:rFonts w:ascii="楷体" w:hAnsi="楷体" w:eastAsia="楷体" w:cs="Calibri"/>
          <w:color w:val="auto"/>
          <w:sz w:val="21"/>
          <w:szCs w:val="21"/>
        </w:rPr>
        <w:t>指上海证券交易所和深圳证券交易所的正常开盘交易日</w:t>
      </w:r>
      <w:r>
        <w:rPr>
          <w:rFonts w:hint="eastAsia" w:ascii="楷体" w:hAnsi="楷体" w:eastAsia="楷体" w:cs="Calibri"/>
          <w:color w:val="auto"/>
          <w:sz w:val="21"/>
          <w:szCs w:val="21"/>
        </w:rPr>
        <w:t>。</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份额登记日/份额确认日：指管理人对投资者提交的</w:t>
      </w:r>
      <w:r>
        <w:rPr>
          <w:rFonts w:hint="eastAsia" w:ascii="楷体" w:hAnsi="楷体" w:eastAsia="楷体" w:cs="Calibri"/>
          <w:color w:val="auto"/>
          <w:sz w:val="21"/>
          <w:szCs w:val="21"/>
          <w:lang w:val="en-US" w:eastAsia="zh-CN"/>
        </w:rPr>
        <w:t>购买</w:t>
      </w:r>
      <w:r>
        <w:rPr>
          <w:rFonts w:hint="eastAsia" w:ascii="楷体" w:hAnsi="楷体" w:eastAsia="楷体" w:cs="Calibri"/>
          <w:color w:val="auto"/>
          <w:sz w:val="21"/>
          <w:szCs w:val="21"/>
        </w:rPr>
        <w:t>申请进行份额登记的日期。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产品存续期：指自理财产品成立日起，至理财产品终止日的期间。</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投资管理</w:t>
      </w:r>
    </w:p>
    <w:p>
      <w:pPr>
        <w:numPr>
          <w:ilvl w:val="0"/>
          <w:numId w:val="6"/>
        </w:numPr>
        <w:tabs>
          <w:tab w:val="left" w:pos="993"/>
        </w:tabs>
        <w:ind w:left="0" w:firstLine="420" w:firstLineChars="200"/>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投资范围和比例</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6"/>
        </w:numPr>
        <w:tabs>
          <w:tab w:val="left" w:pos="993"/>
        </w:tabs>
        <w:ind w:left="0" w:firstLine="420" w:firstLineChars="20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拟投资</w:t>
      </w:r>
      <w:r>
        <w:rPr>
          <w:rFonts w:hint="eastAsia" w:ascii="楷体" w:hAnsi="楷体" w:eastAsia="楷体" w:cs="Calibri"/>
          <w:b w:val="0"/>
          <w:bCs w:val="0"/>
          <w:color w:val="auto"/>
          <w:sz w:val="21"/>
          <w:szCs w:val="21"/>
          <w:highlight w:val="none"/>
          <w:u w:val="none"/>
        </w:rPr>
        <w:t>非标准化债权类资产</w:t>
      </w:r>
    </w:p>
    <w:p>
      <w:pPr>
        <w:ind w:firstLine="420" w:firstLineChars="200"/>
        <w:rPr>
          <w:rFonts w:hint="eastAsia" w:ascii="楷体" w:hAnsi="楷体" w:eastAsia="楷体"/>
          <w:b w:val="0"/>
          <w:bCs/>
          <w:color w:val="auto"/>
          <w:sz w:val="21"/>
          <w:szCs w:val="21"/>
          <w:highlight w:val="none"/>
          <w:u w:val="none"/>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0"/>
          <w:numId w:val="0"/>
        </w:numPr>
        <w:ind w:left="0" w:leftChars="0" w:firstLine="420" w:firstLineChars="200"/>
        <w:rPr>
          <w:rFonts w:hint="default" w:ascii="楷体" w:hAnsi="楷体" w:eastAsia="楷体" w:cs="Times New Roman"/>
          <w:bCs/>
          <w:color w:val="auto"/>
          <w:sz w:val="21"/>
          <w:szCs w:val="21"/>
          <w:highlight w:val="none"/>
          <w:u w:val="none"/>
          <w:lang w:val="en-US" w:eastAsia="zh-CN"/>
        </w:rPr>
      </w:pPr>
      <w:r>
        <w:rPr>
          <w:rFonts w:hint="default" w:ascii="楷体" w:hAnsi="楷体" w:eastAsia="楷体" w:cs="Times New Roman"/>
          <w:bCs/>
          <w:color w:val="auto"/>
          <w:sz w:val="21"/>
          <w:szCs w:val="21"/>
          <w:highlight w:val="none"/>
          <w:u w:val="none"/>
          <w:lang w:val="en-US" w:eastAsia="zh-CN"/>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w:t>
      </w:r>
    </w:p>
    <w:p>
      <w:pPr>
        <w:numPr>
          <w:ilvl w:val="0"/>
          <w:numId w:val="0"/>
        </w:numPr>
        <w:ind w:left="0" w:leftChars="0" w:firstLine="420" w:firstLineChars="200"/>
        <w:rPr>
          <w:rFonts w:hint="default" w:ascii="楷体" w:hAnsi="楷体" w:eastAsia="楷体" w:cs="楷体"/>
          <w:b/>
          <w:bCs/>
          <w:kern w:val="2"/>
          <w:sz w:val="21"/>
          <w:szCs w:val="21"/>
          <w:u w:val="single"/>
          <w:lang w:val="en-US" w:eastAsia="zh-CN" w:bidi="ar-SA"/>
        </w:rPr>
      </w:pPr>
      <w:r>
        <w:rPr>
          <w:rFonts w:hint="eastAsia" w:ascii="楷体" w:hAnsi="楷体" w:eastAsia="楷体" w:cs="Times New Roman"/>
          <w:bCs/>
          <w:color w:val="auto"/>
          <w:sz w:val="21"/>
          <w:szCs w:val="21"/>
          <w:highlight w:val="none"/>
          <w:u w:val="none"/>
          <w:lang w:eastAsia="zh-CN"/>
        </w:rPr>
        <w:t>（1）-（2）各资产到期日不超过理财产品</w:t>
      </w:r>
      <w:r>
        <w:rPr>
          <w:rFonts w:hint="eastAsia" w:ascii="楷体" w:hAnsi="楷体" w:eastAsia="楷体" w:cs="Times New Roman"/>
          <w:bCs/>
          <w:color w:val="auto"/>
          <w:sz w:val="21"/>
          <w:szCs w:val="21"/>
          <w:highlight w:val="none"/>
          <w:u w:val="none"/>
          <w:lang w:val="en-US" w:eastAsia="zh-CN"/>
        </w:rPr>
        <w:t>到期日</w:t>
      </w:r>
      <w:r>
        <w:rPr>
          <w:rFonts w:hint="eastAsia" w:ascii="楷体" w:hAnsi="楷体" w:eastAsia="楷体" w:cs="Times New Roman"/>
          <w:bCs/>
          <w:color w:val="auto"/>
          <w:sz w:val="21"/>
          <w:szCs w:val="21"/>
          <w:highlight w:val="none"/>
          <w:u w:val="none"/>
          <w:lang w:eastAsia="zh-CN"/>
        </w:rPr>
        <w:t>，循环期不还本、摊还期过手摊还本息</w:t>
      </w:r>
      <w:r>
        <w:rPr>
          <w:rFonts w:hint="eastAsia" w:ascii="楷体" w:hAnsi="楷体" w:eastAsia="楷体" w:cs="Times New Roman"/>
          <w:bCs/>
          <w:color w:val="auto"/>
          <w:sz w:val="21"/>
          <w:szCs w:val="21"/>
          <w:highlight w:val="none"/>
          <w:u w:val="none"/>
          <w:lang w:val="en-US" w:eastAsia="zh-CN"/>
        </w:rPr>
        <w:t xml:space="preserve">。  </w:t>
      </w:r>
      <w:r>
        <w:rPr>
          <w:rFonts w:hint="eastAsia" w:ascii="楷体" w:hAnsi="楷体" w:eastAsia="楷体" w:cs="楷体"/>
          <w:b w:val="0"/>
          <w:bCs w:val="0"/>
          <w:kern w:val="2"/>
          <w:sz w:val="21"/>
          <w:szCs w:val="21"/>
          <w:u w:val="none"/>
          <w:lang w:val="en-US" w:eastAsia="zh-CN" w:bidi="ar-SA"/>
        </w:rPr>
        <w:t xml:space="preserve"> </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产品存续期内若本理财产品投资的个人贷款债权资产有所调整，管理人将选择优质企业作为融资人，且融资项目已履行管理人内部审批流程，融资人业务经营正常，融资项目还款来源明确，并在本理财产品的定期报告中披露。</w:t>
      </w:r>
    </w:p>
    <w:p>
      <w:pPr>
        <w:numPr>
          <w:ilvl w:val="0"/>
          <w:numId w:val="6"/>
        </w:numPr>
        <w:tabs>
          <w:tab w:val="left" w:pos="993"/>
        </w:tabs>
        <w:ind w:firstLine="0" w:firstLineChars="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highlight w:val="none"/>
          <w:lang w:val="en-US" w:eastAsia="zh-CN"/>
        </w:rPr>
        <w:t>投资合作机构</w:t>
      </w:r>
    </w:p>
    <w:p>
      <w:pPr>
        <w:numPr>
          <w:ilvl w:val="-1"/>
          <w:numId w:val="0"/>
        </w:num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p>
    <w:p>
      <w:pPr>
        <w:ind w:firstLine="420" w:firstLineChars="200"/>
        <w:rPr>
          <w:rFonts w:hint="eastAsia" w:ascii="楷体" w:hAnsi="楷体" w:eastAsia="楷体"/>
          <w:sz w:val="21"/>
          <w:szCs w:val="21"/>
        </w:rPr>
      </w:pPr>
      <w:r>
        <w:rPr>
          <w:rFonts w:hint="default" w:ascii="Calibri" w:hAnsi="Calibri" w:eastAsia="楷体" w:cs="Calibri"/>
          <w:sz w:val="21"/>
          <w:szCs w:val="21"/>
        </w:rPr>
        <w:t>①</w:t>
      </w:r>
      <w:r>
        <w:rPr>
          <w:rFonts w:hint="eastAsia" w:ascii="Calibri" w:hAnsi="Calibri" w:eastAsia="楷体" w:cs="Calibri"/>
          <w:sz w:val="21"/>
          <w:szCs w:val="21"/>
          <w:lang w:val="en-US" w:eastAsia="zh-CN"/>
        </w:rPr>
        <w:t>苏豪</w:t>
      </w:r>
      <w:r>
        <w:rPr>
          <w:rFonts w:hint="eastAsia" w:ascii="楷体" w:hAnsi="楷体" w:eastAsia="楷体"/>
          <w:sz w:val="21"/>
          <w:szCs w:val="21"/>
        </w:rPr>
        <w:t>弘业期货股份有限公司</w:t>
      </w:r>
      <w:r>
        <w:rPr>
          <w:rFonts w:hint="eastAsia" w:ascii="楷体" w:hAnsi="楷体" w:eastAsia="楷体"/>
          <w:sz w:val="21"/>
          <w:szCs w:val="21"/>
          <w:lang w:eastAsia="zh-CN"/>
        </w:rPr>
        <w:t>：</w:t>
      </w:r>
      <w:r>
        <w:rPr>
          <w:rFonts w:hint="eastAsia" w:ascii="楷体" w:hAnsi="楷体" w:eastAsia="楷体"/>
          <w:sz w:val="21"/>
          <w:szCs w:val="21"/>
        </w:rPr>
        <w:t>苏豪弘业期货股份有限公司成立于1995年，注册资本1,007,777,778元人民币，隶属于江苏省国资委全资拥有的国有企业江苏省苏豪控股集团有限公司。公司经营范围涵盖商品期货经纪、金融期货经纪、期货投资咨询、资产管理、基金销售业务。</w:t>
      </w:r>
      <w:r>
        <w:rPr>
          <w:rFonts w:hint="default" w:ascii="Calibri" w:hAnsi="Calibri" w:eastAsia="楷体" w:cs="Calibri"/>
          <w:sz w:val="21"/>
          <w:szCs w:val="21"/>
          <w:lang w:eastAsia="zh-CN"/>
        </w:rPr>
        <w:t>②</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sz w:val="21"/>
          <w:szCs w:val="21"/>
        </w:rPr>
        <w:t>③</w:t>
      </w:r>
      <w:r>
        <w:rPr>
          <w:rFonts w:hint="eastAsia" w:ascii="楷体" w:hAnsi="楷体" w:eastAsia="楷体"/>
          <w:sz w:val="21"/>
          <w:szCs w:val="21"/>
        </w:rPr>
        <w:t>创金合信基金管理有限公司</w:t>
      </w:r>
      <w:r>
        <w:rPr>
          <w:rFonts w:hint="eastAsia" w:ascii="楷体" w:hAnsi="楷体" w:eastAsia="楷体"/>
          <w:sz w:val="21"/>
          <w:szCs w:val="21"/>
          <w:lang w:eastAsia="zh-CN"/>
        </w:rPr>
        <w:t>：</w:t>
      </w:r>
      <w:r>
        <w:rPr>
          <w:rFonts w:hint="eastAsia" w:ascii="楷体" w:hAnsi="楷体" w:eastAsia="楷体"/>
          <w:sz w:val="21"/>
          <w:szCs w:val="21"/>
        </w:rPr>
        <w:t>创金合信基金管理有限公司成立于2014年7月9日，由第一创业证券股份有限公司、深圳市金合信投资合伙企业（有限合伙）共同发起设立，注册地为深圳。</w:t>
      </w:r>
      <w:r>
        <w:rPr>
          <w:rFonts w:hint="eastAsia" w:ascii="楷体" w:hAnsi="楷体" w:eastAsia="楷体" w:cs="楷体"/>
          <w:sz w:val="21"/>
          <w:szCs w:val="21"/>
        </w:rPr>
        <w:t>④</w:t>
      </w:r>
      <w:r>
        <w:rPr>
          <w:rFonts w:hint="eastAsia" w:ascii="楷体" w:hAnsi="楷体" w:eastAsia="楷体"/>
          <w:sz w:val="21"/>
          <w:szCs w:val="21"/>
        </w:rPr>
        <w:t>华鑫国际信托有限公司</w:t>
      </w:r>
      <w:r>
        <w:rPr>
          <w:rFonts w:hint="eastAsia" w:ascii="楷体" w:hAnsi="楷体" w:eastAsia="楷体"/>
          <w:sz w:val="21"/>
          <w:szCs w:val="21"/>
          <w:lang w:eastAsia="zh-CN"/>
        </w:rPr>
        <w:t>：</w:t>
      </w:r>
      <w:r>
        <w:rPr>
          <w:rFonts w:hint="eastAsia" w:ascii="楷体" w:hAnsi="楷体" w:eastAsia="楷体"/>
          <w:sz w:val="21"/>
          <w:szCs w:val="21"/>
        </w:rPr>
        <w:t>华鑫国际信托有限公司于2010年2月获得中国银行业监督管理委员会批准重新登记，并于同年3月正式挂牌开业，实际控制人为中国华电集团有限公司，注册资本73.95亿元。</w:t>
      </w:r>
      <w:r>
        <w:rPr>
          <w:rFonts w:hint="eastAsia" w:ascii="楷体" w:hAnsi="楷体" w:eastAsia="楷体" w:cs="楷体"/>
          <w:sz w:val="21"/>
          <w:szCs w:val="21"/>
        </w:rPr>
        <w:t>⑤</w:t>
      </w:r>
      <w:r>
        <w:rPr>
          <w:rFonts w:hint="eastAsia" w:ascii="楷体" w:hAnsi="楷体" w:eastAsia="楷体"/>
          <w:sz w:val="21"/>
          <w:szCs w:val="21"/>
        </w:rPr>
        <w:t>中国国际金融股份有限公司</w:t>
      </w:r>
      <w:r>
        <w:rPr>
          <w:rFonts w:hint="eastAsia" w:ascii="楷体" w:hAnsi="楷体" w:eastAsia="楷体"/>
          <w:sz w:val="21"/>
          <w:szCs w:val="21"/>
          <w:lang w:eastAsia="zh-CN"/>
        </w:rPr>
        <w:t>：</w:t>
      </w:r>
      <w:r>
        <w:rPr>
          <w:rFonts w:hint="eastAsia" w:ascii="楷体" w:hAnsi="楷体" w:eastAsia="楷体"/>
          <w:sz w:val="21"/>
          <w:szCs w:val="21"/>
        </w:rPr>
        <w:t>中国国际金融股份有限公司于1995年7月31日成立，实际控制人为中央汇金投资有限责任公司，注册资本4,827,256,868元。</w:t>
      </w:r>
    </w:p>
    <w:p>
      <w:pPr>
        <w:ind w:firstLine="420" w:firstLineChars="200"/>
        <w:rPr>
          <w:rFonts w:hint="eastAsia" w:ascii="楷体" w:hAnsi="楷体" w:eastAsia="楷体"/>
          <w:sz w:val="21"/>
          <w:szCs w:val="21"/>
          <w:highlight w:val="none"/>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numPr>
          <w:ilvl w:val="0"/>
          <w:numId w:val="6"/>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投资限制</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本理财产品投资于单只证券或单只公募证券投资基金的市值不超过本产品净资产的10%。</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rPr>
        <w:t>管理人发行的全部公募理财产品投资单只证券或者单只公募证券投资基金的市值不得超过该证券市值或者公募证券投资基金市值</w:t>
      </w:r>
      <w:r>
        <w:rPr>
          <w:rFonts w:hint="eastAsia" w:ascii="楷体" w:hAnsi="楷体" w:eastAsia="楷体"/>
          <w:color w:val="auto"/>
          <w:sz w:val="21"/>
          <w:szCs w:val="21"/>
          <w:highlight w:val="none"/>
        </w:rPr>
        <w:t>的30%。其中，管理人全部开放式公募理财产品投资单一上市公司发行的股票不得超过该上市公司可流通股票的15%。</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ascii="楷体" w:hAnsi="楷体" w:eastAsia="楷体"/>
          <w:color w:val="auto"/>
          <w:sz w:val="21"/>
          <w:szCs w:val="21"/>
        </w:rPr>
        <w:t>针对上述1、2</w:t>
      </w:r>
      <w:r>
        <w:rPr>
          <w:rFonts w:hint="eastAsia" w:ascii="楷体" w:hAnsi="楷体" w:eastAsia="楷体"/>
          <w:color w:val="auto"/>
          <w:sz w:val="21"/>
          <w:szCs w:val="21"/>
          <w:lang w:eastAsia="zh-CN"/>
        </w:rPr>
        <w:t>、</w:t>
      </w:r>
      <w:r>
        <w:rPr>
          <w:rFonts w:hint="eastAsia" w:ascii="楷体" w:hAnsi="楷体" w:eastAsia="楷体"/>
          <w:color w:val="auto"/>
          <w:sz w:val="21"/>
          <w:szCs w:val="21"/>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杠杆率</w:t>
      </w:r>
      <w:r>
        <w:rPr>
          <w:rFonts w:hint="eastAsia" w:ascii="楷体" w:hAnsi="楷体" w:eastAsia="楷体"/>
          <w:color w:val="auto"/>
          <w:sz w:val="21"/>
          <w:szCs w:val="21"/>
        </w:rPr>
        <w:t>不</w:t>
      </w:r>
      <w:r>
        <w:rPr>
          <w:rFonts w:hint="eastAsia" w:ascii="楷体" w:hAnsi="楷体" w:eastAsia="楷体"/>
          <w:color w:val="auto"/>
          <w:sz w:val="21"/>
          <w:szCs w:val="21"/>
          <w:highlight w:val="none"/>
        </w:rPr>
        <w:t>超过1</w:t>
      </w:r>
      <w:r>
        <w:rPr>
          <w:rFonts w:hint="eastAsia" w:ascii="楷体" w:hAnsi="楷体" w:eastAsia="楷体"/>
          <w:color w:val="auto"/>
          <w:sz w:val="21"/>
          <w:szCs w:val="21"/>
          <w:highlight w:val="none"/>
          <w:lang w:val="en-US" w:eastAsia="zh-CN"/>
        </w:rPr>
        <w:t>5</w:t>
      </w:r>
      <w:r>
        <w:rPr>
          <w:rFonts w:hint="eastAsia" w:ascii="楷体" w:hAnsi="楷体" w:eastAsia="楷体"/>
          <w:color w:val="auto"/>
          <w:sz w:val="21"/>
          <w:szCs w:val="21"/>
          <w:highlight w:val="none"/>
        </w:rPr>
        <w:t>0%。</w:t>
      </w:r>
    </w:p>
    <w:p>
      <w:pPr>
        <w:numPr>
          <w:ilvl w:val="0"/>
          <w:numId w:val="6"/>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投资管理调整</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lang w:val="en-US" w:eastAsia="zh-CN" w:bidi="ar-SA"/>
        </w:rPr>
      </w:pPr>
      <w:r>
        <w:rPr>
          <w:rFonts w:hint="eastAsia" w:ascii="楷体" w:hAnsi="楷体" w:eastAsia="楷体" w:cs="Times New Roman"/>
          <w:color w:val="auto"/>
          <w:kern w:val="2"/>
          <w:sz w:val="21"/>
          <w:szCs w:val="21"/>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lang w:val="en-US" w:eastAsia="zh-CN"/>
        </w:rPr>
      </w:pPr>
      <w:r>
        <w:rPr>
          <w:rFonts w:hint="eastAsia" w:ascii="楷体" w:hAnsi="楷体" w:eastAsia="楷体" w:cs="楷体"/>
          <w:color w:val="auto"/>
          <w:sz w:val="21"/>
          <w:szCs w:val="21"/>
        </w:rPr>
        <w:t>如监管有最新规定的，可参照监管规定</w:t>
      </w:r>
      <w:r>
        <w:rPr>
          <w:rFonts w:hint="eastAsia" w:ascii="楷体" w:hAnsi="楷体" w:eastAsia="楷体" w:cs="楷体"/>
          <w:color w:val="auto"/>
          <w:sz w:val="21"/>
          <w:szCs w:val="21"/>
          <w:lang w:val="en-US" w:eastAsia="zh-CN"/>
        </w:rPr>
        <w:t>执行</w:t>
      </w:r>
      <w:r>
        <w:rPr>
          <w:rFonts w:hint="eastAsia" w:ascii="楷体" w:hAnsi="楷体" w:eastAsia="楷体" w:cs="楷体"/>
          <w:color w:val="auto"/>
          <w:sz w:val="21"/>
          <w:szCs w:val="21"/>
        </w:rPr>
        <w:t>。</w:t>
      </w:r>
    </w:p>
    <w:p>
      <w:pPr>
        <w:numPr>
          <w:ilvl w:val="0"/>
          <w:numId w:val="2"/>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产品认购</w:t>
      </w:r>
    </w:p>
    <w:p>
      <w:pPr>
        <w:numPr>
          <w:ilvl w:val="0"/>
          <w:numId w:val="8"/>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0"/>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8"/>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ind w:firstLine="420" w:firstLineChars="200"/>
        <w:rPr>
          <w:rFonts w:hint="eastAsia" w:ascii="楷体" w:hAnsi="楷体" w:eastAsia="楷体"/>
          <w:color w:val="auto"/>
          <w:sz w:val="21"/>
          <w:szCs w:val="21"/>
        </w:rPr>
      </w:pPr>
      <w:r>
        <w:rPr>
          <w:rFonts w:ascii="楷体" w:hAnsi="楷体" w:eastAsia="楷体"/>
          <w:color w:val="auto"/>
          <w:sz w:val="21"/>
          <w:szCs w:val="21"/>
        </w:rPr>
        <w:t>认购份额=</w:t>
      </w:r>
      <w:r>
        <w:rPr>
          <w:rFonts w:hint="eastAsia" w:ascii="楷体" w:hAnsi="楷体" w:eastAsia="楷体"/>
          <w:color w:val="auto"/>
          <w:sz w:val="21"/>
          <w:szCs w:val="21"/>
        </w:rPr>
        <w:t>认购金额</w:t>
      </w:r>
      <w:r>
        <w:rPr>
          <w:rFonts w:ascii="楷体" w:hAnsi="楷体" w:eastAsia="楷体"/>
          <w:color w:val="auto"/>
          <w:sz w:val="21"/>
          <w:szCs w:val="21"/>
        </w:rPr>
        <w:t>/</w:t>
      </w:r>
      <w:r>
        <w:rPr>
          <w:rFonts w:hint="eastAsia" w:ascii="楷体" w:hAnsi="楷体" w:eastAsia="楷体"/>
          <w:color w:val="auto"/>
          <w:sz w:val="21"/>
          <w:szCs w:val="21"/>
        </w:rPr>
        <w:t>产品</w:t>
      </w:r>
      <w:r>
        <w:rPr>
          <w:rFonts w:hint="eastAsia" w:ascii="楷体" w:hAnsi="楷体" w:eastAsia="楷体"/>
          <w:color w:val="auto"/>
          <w:sz w:val="21"/>
          <w:szCs w:val="21"/>
          <w:lang w:val="en-US" w:eastAsia="zh-CN"/>
        </w:rPr>
        <w:t>份额面值，</w:t>
      </w:r>
      <w:r>
        <w:rPr>
          <w:rFonts w:ascii="楷体" w:hAnsi="楷体" w:eastAsia="楷体"/>
          <w:color w:val="auto"/>
          <w:sz w:val="21"/>
          <w:szCs w:val="21"/>
        </w:rPr>
        <w:t>认购份额</w:t>
      </w:r>
      <w:r>
        <w:rPr>
          <w:rFonts w:hint="eastAsia" w:ascii="楷体" w:hAnsi="楷体" w:eastAsia="楷体"/>
          <w:color w:val="auto"/>
          <w:sz w:val="21"/>
          <w:szCs w:val="21"/>
        </w:rPr>
        <w:t>以四舍五入的方法保留到小数点后两位。</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产品终止</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提前终止</w:t>
      </w:r>
    </w:p>
    <w:p>
      <w:pPr>
        <w:numPr>
          <w:ilvl w:val="0"/>
          <w:numId w:val="0"/>
        </w:numPr>
        <w:ind w:left="0" w:firstLine="420" w:firstLineChars="200"/>
        <w:rPr>
          <w:rFonts w:hint="eastAsia" w:ascii="楷体" w:hAnsi="楷体" w:eastAsia="楷体"/>
          <w:b w:val="0"/>
          <w:bCs w:val="0"/>
          <w:color w:val="auto"/>
          <w:sz w:val="21"/>
          <w:szCs w:val="21"/>
        </w:rPr>
      </w:pPr>
      <w:r>
        <w:rPr>
          <w:rFonts w:hint="eastAsia" w:ascii="楷体" w:hAnsi="楷体" w:eastAsia="楷体" w:cs="Calibri"/>
          <w:b w:val="0"/>
          <w:bCs w:val="0"/>
          <w:color w:val="auto"/>
          <w:sz w:val="21"/>
          <w:szCs w:val="21"/>
        </w:rPr>
        <w:t>在理财产品投资运作期间内，投资者无权要求提前终止该理财产品。在理财产品投资运作期间内，</w:t>
      </w:r>
      <w:r>
        <w:rPr>
          <w:rFonts w:hint="eastAsia" w:ascii="楷体" w:hAnsi="楷体" w:eastAsia="楷体" w:cs="Calibri"/>
          <w:b w:val="0"/>
          <w:bCs w:val="0"/>
          <w:color w:val="auto"/>
          <w:sz w:val="21"/>
          <w:szCs w:val="21"/>
          <w:lang w:val="en-US" w:eastAsia="zh-CN"/>
        </w:rPr>
        <w:t>包括但不限于</w:t>
      </w:r>
      <w:r>
        <w:rPr>
          <w:rFonts w:hint="eastAsia" w:ascii="楷体" w:hAnsi="楷体" w:eastAsia="楷体" w:cs="Calibri"/>
          <w:b w:val="0"/>
          <w:bCs w:val="0"/>
          <w:color w:val="auto"/>
          <w:sz w:val="21"/>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明确产品终止日</w:t>
      </w:r>
      <w:r>
        <w:rPr>
          <w:rFonts w:hint="eastAsia" w:ascii="楷体" w:hAnsi="楷体" w:eastAsia="楷体"/>
          <w:b w:val="0"/>
          <w:bCs w:val="0"/>
          <w:color w:val="auto"/>
          <w:sz w:val="21"/>
          <w:szCs w:val="21"/>
        </w:rPr>
        <w:t>。</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正常终止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投资者持有本理财产品至产品到期日，投资者的投资本金和收益（如有）将在产品到期后一次性支付。</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延期</w:t>
      </w:r>
      <w:r>
        <w:rPr>
          <w:rFonts w:hint="eastAsia" w:ascii="楷体" w:hAnsi="楷体" w:eastAsia="楷体" w:cs="Calibri"/>
          <w:color w:val="auto"/>
          <w:sz w:val="21"/>
          <w:szCs w:val="21"/>
          <w:lang w:val="en-US" w:eastAsia="zh-CN"/>
        </w:rPr>
        <w:t>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投资者可得资金计算</w:t>
      </w:r>
    </w:p>
    <w:p>
      <w:pPr>
        <w:ind w:firstLine="420" w:firstLineChars="200"/>
        <w:rPr>
          <w:rFonts w:hint="eastAsia" w:ascii="楷体" w:hAnsi="楷体" w:eastAsia="楷体"/>
          <w:b w:val="0"/>
          <w:bCs w:val="0"/>
          <w:color w:val="auto"/>
          <w:sz w:val="21"/>
          <w:szCs w:val="21"/>
        </w:rPr>
      </w:pPr>
      <w:r>
        <w:rPr>
          <w:rFonts w:hint="eastAsia" w:ascii="楷体" w:hAnsi="楷体" w:eastAsia="楷体"/>
          <w:b w:val="0"/>
          <w:bCs w:val="0"/>
          <w:color w:val="auto"/>
          <w:sz w:val="21"/>
          <w:szCs w:val="21"/>
        </w:rPr>
        <w:t>投资者可得资金=投资者持有份额×产品到期</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终止）</w:t>
      </w:r>
      <w:r>
        <w:rPr>
          <w:rFonts w:hint="eastAsia" w:ascii="楷体" w:hAnsi="楷体" w:eastAsia="楷体"/>
          <w:b w:val="0"/>
          <w:bCs w:val="0"/>
          <w:color w:val="auto"/>
          <w:sz w:val="21"/>
          <w:szCs w:val="21"/>
        </w:rPr>
        <w:t>时单位净值</w:t>
      </w:r>
      <w:r>
        <w:rPr>
          <w:rFonts w:hint="eastAsia" w:ascii="楷体" w:hAnsi="楷体" w:eastAsia="楷体"/>
          <w:b w:val="0"/>
          <w:bCs w:val="0"/>
          <w:color w:val="auto"/>
          <w:sz w:val="21"/>
          <w:szCs w:val="21"/>
          <w:lang w:val="en-US" w:eastAsia="zh-CN"/>
        </w:rPr>
        <w:t>-超额业绩报酬（如有）</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rPr>
        <w:t>投资者可得资金以四舍五入的方法保留到小数点后两位。</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终止</w:t>
      </w:r>
      <w:r>
        <w:rPr>
          <w:rFonts w:hint="eastAsia" w:ascii="楷体" w:hAnsi="楷体" w:eastAsia="楷体" w:cs="Calibri"/>
          <w:color w:val="auto"/>
          <w:sz w:val="21"/>
          <w:szCs w:val="21"/>
        </w:rPr>
        <w:t>清算</w:t>
      </w:r>
    </w:p>
    <w:p>
      <w:pPr>
        <w:ind w:firstLine="420" w:firstLineChars="200"/>
        <w:rPr>
          <w:rFonts w:hint="eastAsia"/>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w:t>
      </w:r>
      <w:r>
        <w:rPr>
          <w:rFonts w:hint="eastAsia" w:ascii="楷体" w:hAnsi="楷体" w:eastAsia="楷体" w:cs="Calibri"/>
          <w:color w:val="auto"/>
          <w:sz w:val="21"/>
          <w:szCs w:val="21"/>
          <w:lang w:val="en-US" w:eastAsia="zh-CN"/>
        </w:rPr>
        <w:t>非工作日</w:t>
      </w:r>
      <w:r>
        <w:rPr>
          <w:rFonts w:hint="eastAsia" w:ascii="楷体" w:hAnsi="楷体" w:eastAsia="楷体" w:cs="Calibri"/>
          <w:color w:val="auto"/>
          <w:sz w:val="21"/>
          <w:szCs w:val="21"/>
        </w:rPr>
        <w:t>则相应顺延。</w:t>
      </w:r>
    </w:p>
    <w:p>
      <w:pPr>
        <w:numPr>
          <w:ilvl w:val="0"/>
          <w:numId w:val="2"/>
        </w:numPr>
        <w:tabs>
          <w:tab w:val="left" w:pos="1134"/>
        </w:tabs>
        <w:ind w:left="420" w:leftChars="0" w:firstLine="0" w:firstLineChars="0"/>
        <w:rPr>
          <w:rFonts w:hint="eastAsia" w:ascii="楷体" w:hAnsi="楷体" w:eastAsia="楷体"/>
          <w:b/>
          <w:color w:val="auto"/>
          <w:sz w:val="21"/>
          <w:szCs w:val="21"/>
          <w:lang w:val="en-US" w:eastAsia="zh-CN"/>
        </w:rPr>
      </w:pPr>
      <w:r>
        <w:rPr>
          <w:rFonts w:hint="eastAsia" w:ascii="楷体" w:hAnsi="楷体" w:eastAsia="楷体"/>
          <w:b/>
          <w:color w:val="auto"/>
          <w:sz w:val="21"/>
          <w:szCs w:val="21"/>
          <w:lang w:val="en-US" w:eastAsia="zh-CN"/>
        </w:rPr>
        <w:t>情景示例</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numPr>
          <w:ilvl w:val="-1"/>
          <w:numId w:val="0"/>
        </w:numPr>
        <w:ind w:firstLine="422" w:firstLineChars="200"/>
        <w:rPr>
          <w:rFonts w:hint="eastAsia" w:ascii="楷体" w:hAnsi="楷体" w:eastAsia="楷体"/>
          <w:b/>
          <w:color w:val="auto"/>
          <w:sz w:val="21"/>
          <w:szCs w:val="21"/>
        </w:rPr>
      </w:pPr>
      <w:r>
        <w:rPr>
          <w:rFonts w:hint="eastAsia" w:ascii="楷体" w:hAnsi="楷体" w:eastAsia="楷体"/>
          <w:b/>
          <w:color w:val="auto"/>
          <w:sz w:val="21"/>
          <w:szCs w:val="21"/>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2"/>
        </w:numPr>
        <w:tabs>
          <w:tab w:val="left" w:pos="1428"/>
        </w:tabs>
        <w:ind w:left="420" w:leftChars="0" w:firstLine="0" w:firstLineChars="0"/>
        <w:rPr>
          <w:rFonts w:hint="eastAsia" w:ascii="楷体" w:hAnsi="楷体" w:eastAsia="楷体"/>
          <w:b/>
          <w:bCs w:val="0"/>
          <w:sz w:val="21"/>
          <w:szCs w:val="21"/>
          <w:highlight w:val="none"/>
        </w:rPr>
      </w:pPr>
      <w:r>
        <w:rPr>
          <w:rFonts w:hint="eastAsia" w:ascii="楷体" w:hAnsi="楷体" w:eastAsia="楷体"/>
          <w:b/>
          <w:bCs w:val="0"/>
          <w:color w:val="auto"/>
          <w:sz w:val="21"/>
          <w:szCs w:val="21"/>
          <w:lang w:val="en-US" w:eastAsia="zh-CN"/>
        </w:rPr>
        <w:t>产品费用</w:t>
      </w:r>
    </w:p>
    <w:p>
      <w:pPr>
        <w:numPr>
          <w:ilvl w:val="-1"/>
          <w:numId w:val="0"/>
        </w:numPr>
        <w:ind w:left="0" w:firstLine="420" w:firstLineChars="200"/>
        <w:rPr>
          <w:rFonts w:hint="default" w:ascii="楷体" w:hAnsi="楷体" w:eastAsia="楷体" w:cs="Calibri"/>
          <w:color w:val="auto"/>
          <w:sz w:val="21"/>
          <w:szCs w:val="21"/>
        </w:rPr>
      </w:pPr>
      <w:r>
        <w:rPr>
          <w:rFonts w:hint="eastAsia" w:ascii="楷体" w:hAnsi="楷体" w:eastAsia="楷体"/>
          <w:color w:val="auto"/>
          <w:sz w:val="21"/>
          <w:szCs w:val="21"/>
        </w:rPr>
        <w:t>本产品费用包括托管费、销售服务费、投资管理费、超额业绩报酬（如有）以及产品运作和清算中产生的其他费用等。</w:t>
      </w:r>
      <w:r>
        <w:rPr>
          <w:rFonts w:hint="eastAsia" w:ascii="楷体" w:hAnsi="楷体" w:eastAsia="楷体" w:cs="Calibri"/>
          <w:color w:val="auto"/>
          <w:sz w:val="21"/>
          <w:szCs w:val="21"/>
        </w:rPr>
        <w:t>计提方法</w:t>
      </w:r>
      <w:r>
        <w:rPr>
          <w:rFonts w:hint="eastAsia" w:ascii="楷体" w:hAnsi="楷体" w:eastAsia="楷体" w:cs="Calibri"/>
          <w:color w:val="auto"/>
          <w:sz w:val="21"/>
          <w:szCs w:val="21"/>
          <w:lang w:val="en-US" w:eastAsia="zh-CN"/>
        </w:rPr>
        <w:t>如下:</w:t>
      </w:r>
    </w:p>
    <w:p>
      <w:pPr>
        <w:numPr>
          <w:ilvl w:val="0"/>
          <w:numId w:val="10"/>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托管费：每日计提，</w:t>
      </w:r>
      <w:r>
        <w:rPr>
          <w:rFonts w:hint="eastAsia" w:ascii="楷体" w:hAnsi="楷体" w:eastAsia="楷体"/>
          <w:sz w:val="21"/>
          <w:szCs w:val="21"/>
        </w:rPr>
        <w:t>每日应计提的托管费＝前一日的产品资产净值×托管费率÷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0"/>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销售服务费：</w:t>
      </w:r>
    </w:p>
    <w:p>
      <w:pPr>
        <w:numPr>
          <w:ilvl w:val="-1"/>
          <w:numId w:val="0"/>
        </w:numPr>
        <w:tabs>
          <w:tab w:val="left" w:pos="728"/>
        </w:tabs>
        <w:ind w:firstLine="420" w:firstLineChars="200"/>
        <w:rPr>
          <w:rFonts w:hint="eastAsia" w:ascii="楷体" w:hAnsi="楷体" w:eastAsia="楷体"/>
          <w:sz w:val="21"/>
          <w:szCs w:val="21"/>
          <w:lang w:eastAsia="zh-CN"/>
        </w:rPr>
      </w:pPr>
      <w:r>
        <w:rPr>
          <w:rFonts w:hint="default" w:ascii="Calibri" w:hAnsi="Calibri" w:eastAsia="楷体" w:cs="Calibri"/>
          <w:color w:val="auto"/>
          <w:sz w:val="21"/>
          <w:szCs w:val="21"/>
        </w:rPr>
        <w:t>①</w:t>
      </w:r>
      <w:r>
        <w:rPr>
          <w:rFonts w:hint="eastAsia" w:ascii="Calibri" w:hAnsi="Calibri" w:eastAsia="楷体" w:cs="Calibri"/>
          <w:color w:val="auto"/>
          <w:sz w:val="21"/>
          <w:szCs w:val="21"/>
          <w:lang w:val="en-US" w:eastAsia="zh-CN"/>
        </w:rPr>
        <w:t>每日计提模式：</w:t>
      </w:r>
      <w:r>
        <w:rPr>
          <w:rFonts w:hint="eastAsia" w:ascii="楷体" w:hAnsi="楷体" w:eastAsia="楷体" w:cs="Calibri"/>
          <w:color w:val="auto"/>
          <w:sz w:val="21"/>
          <w:szCs w:val="21"/>
        </w:rPr>
        <w:t>每日计提</w:t>
      </w:r>
      <w:r>
        <w:rPr>
          <w:rFonts w:hint="eastAsia" w:ascii="楷体" w:hAnsi="楷体" w:eastAsia="楷体" w:cs="Calibri"/>
          <w:color w:val="auto"/>
          <w:sz w:val="21"/>
          <w:szCs w:val="21"/>
          <w:lang w:eastAsia="zh-CN"/>
        </w:rPr>
        <w:t>，</w:t>
      </w:r>
      <w:r>
        <w:rPr>
          <w:rFonts w:hint="eastAsia" w:ascii="楷体" w:hAnsi="楷体" w:eastAsia="楷体"/>
          <w:sz w:val="21"/>
          <w:szCs w:val="21"/>
        </w:rPr>
        <w:t>每日应计提的销售服务费＝前一日的产品资产净值×销售服务费率÷</w:t>
      </w:r>
      <w:r>
        <w:rPr>
          <w:rFonts w:ascii="楷体" w:hAnsi="楷体" w:eastAsia="楷体"/>
          <w:sz w:val="21"/>
          <w:szCs w:val="21"/>
        </w:rPr>
        <w:t>365</w:t>
      </w:r>
      <w:r>
        <w:rPr>
          <w:rFonts w:hint="eastAsia" w:ascii="楷体" w:hAnsi="楷体" w:eastAsia="楷体"/>
          <w:sz w:val="21"/>
          <w:szCs w:val="21"/>
          <w:lang w:eastAsia="zh-CN"/>
        </w:rPr>
        <w:t>。</w:t>
      </w:r>
    </w:p>
    <w:p>
      <w:pPr>
        <w:ind w:firstLine="420" w:firstLineChars="200"/>
        <w:rPr>
          <w:rFonts w:hint="eastAsia" w:ascii="楷体" w:hAnsi="楷体" w:eastAsia="楷体"/>
          <w:szCs w:val="21"/>
          <w:lang w:eastAsia="zh-CN"/>
        </w:rPr>
      </w:pPr>
      <w:r>
        <w:rPr>
          <w:rFonts w:hint="default" w:ascii="Calibri" w:hAnsi="Calibri" w:eastAsia="楷体" w:cs="Calibri"/>
          <w:szCs w:val="21"/>
        </w:rPr>
        <w:t>②</w:t>
      </w:r>
      <w:r>
        <w:rPr>
          <w:rFonts w:hint="eastAsia" w:ascii="Calibri" w:hAnsi="Calibri" w:eastAsia="楷体" w:cs="Calibri"/>
          <w:szCs w:val="21"/>
          <w:lang w:val="en-US" w:eastAsia="zh-CN"/>
        </w:rPr>
        <w:t>一次性提取模式：</w:t>
      </w:r>
      <w:r>
        <w:rPr>
          <w:rFonts w:hint="eastAsia" w:ascii="楷体" w:hAnsi="楷体" w:eastAsia="楷体"/>
          <w:szCs w:val="21"/>
        </w:rPr>
        <w:t>成立日一次性提取，每日摊销</w:t>
      </w:r>
      <w:r>
        <w:rPr>
          <w:rFonts w:hint="eastAsia" w:ascii="楷体" w:hAnsi="楷体" w:eastAsia="楷体"/>
          <w:szCs w:val="21"/>
          <w:lang w:eastAsia="zh-CN"/>
        </w:rPr>
        <w:t>，</w:t>
      </w:r>
      <w:r>
        <w:rPr>
          <w:rFonts w:hint="eastAsia" w:ascii="楷体" w:hAnsi="楷体" w:eastAsia="楷体"/>
          <w:szCs w:val="21"/>
        </w:rPr>
        <w:t>销售服务费＝产品成立日的产品份额</w:t>
      </w:r>
      <w:r>
        <w:rPr>
          <w:rFonts w:hint="eastAsia" w:ascii="楷体" w:hAnsi="楷体" w:eastAsia="楷体"/>
          <w:szCs w:val="21"/>
          <w:lang w:val="en-US" w:eastAsia="zh-CN"/>
        </w:rPr>
        <w:t>数</w:t>
      </w:r>
      <w:r>
        <w:rPr>
          <w:rFonts w:hint="eastAsia" w:ascii="楷体" w:hAnsi="楷体" w:eastAsia="楷体"/>
          <w:szCs w:val="21"/>
        </w:rPr>
        <w:t>×销售服务费率×产品投资期限天数÷365</w:t>
      </w:r>
      <w:r>
        <w:rPr>
          <w:rFonts w:hint="eastAsia" w:ascii="楷体" w:hAnsi="楷体" w:eastAsia="楷体"/>
          <w:szCs w:val="21"/>
          <w:lang w:eastAsia="zh-CN"/>
        </w:rPr>
        <w:t>。</w:t>
      </w:r>
    </w:p>
    <w:p>
      <w:pPr>
        <w:numPr>
          <w:ilvl w:val="0"/>
          <w:numId w:val="10"/>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投资管理费：每日计提，</w:t>
      </w:r>
      <w:r>
        <w:rPr>
          <w:rFonts w:hint="eastAsia" w:ascii="楷体" w:hAnsi="楷体" w:eastAsia="楷体"/>
          <w:sz w:val="21"/>
          <w:szCs w:val="21"/>
        </w:rPr>
        <w:t>每日应计提的投资管理费＝前一日的产品资产净值×投资管理费率÷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0"/>
        </w:numPr>
        <w:tabs>
          <w:tab w:val="left" w:pos="728"/>
        </w:tabs>
        <w:ind w:left="0" w:firstLine="420" w:firstLineChars="200"/>
        <w:rPr>
          <w:rFonts w:ascii="楷体" w:hAnsi="楷体" w:eastAsia="楷体"/>
          <w:color w:val="auto"/>
          <w:sz w:val="21"/>
          <w:szCs w:val="21"/>
        </w:rPr>
      </w:pPr>
      <w:r>
        <w:rPr>
          <w:rFonts w:hint="eastAsia" w:ascii="楷体" w:hAnsi="楷体" w:eastAsia="楷体" w:cs="Calibri"/>
          <w:color w:val="auto"/>
          <w:sz w:val="21"/>
          <w:szCs w:val="21"/>
        </w:rPr>
        <w:t>超额业绩报酬</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如有）</w:t>
      </w:r>
      <w:r>
        <w:rPr>
          <w:rFonts w:hint="eastAsia" w:ascii="楷体" w:hAnsi="楷体" w:eastAsia="楷体"/>
          <w:color w:val="auto"/>
          <w:sz w:val="21"/>
          <w:szCs w:val="21"/>
        </w:rPr>
        <w:t>：</w:t>
      </w:r>
      <w:r>
        <w:rPr>
          <w:rFonts w:hint="eastAsia" w:ascii="楷体" w:hAnsi="楷体" w:eastAsia="楷体" w:cs="Calibri"/>
          <w:sz w:val="21"/>
          <w:szCs w:val="21"/>
          <w:highlight w:val="none"/>
        </w:rPr>
        <w:t>管理人按</w:t>
      </w:r>
      <w:r>
        <w:rPr>
          <w:rFonts w:hint="eastAsia" w:ascii="楷体" w:hAnsi="楷体" w:eastAsia="楷体" w:cs="Calibri"/>
          <w:sz w:val="21"/>
          <w:szCs w:val="21"/>
          <w:highlight w:val="none"/>
          <w:lang w:val="en-US" w:eastAsia="zh-CN"/>
        </w:rPr>
        <w:t>产品存续期</w:t>
      </w:r>
      <w:r>
        <w:rPr>
          <w:rFonts w:hint="eastAsia" w:ascii="楷体" w:hAnsi="楷体" w:eastAsia="楷体" w:cs="Calibri"/>
          <w:sz w:val="21"/>
          <w:szCs w:val="21"/>
          <w:highlight w:val="none"/>
        </w:rPr>
        <w:t>收取超额业绩报酬</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lang w:val="en-US" w:eastAsia="zh-CN"/>
        </w:rPr>
        <w:t>超额业绩报酬计算详见“产品要素”。</w:t>
      </w:r>
    </w:p>
    <w:p>
      <w:pPr>
        <w:numPr>
          <w:ilvl w:val="0"/>
          <w:numId w:val="10"/>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产品运作和清算中产生的交易手续费、注册登记费、账户服务费、审计费及其他应由本产品承担的费用从产品中列支。</w:t>
      </w:r>
    </w:p>
    <w:p>
      <w:pPr>
        <w:numPr>
          <w:ilvl w:val="0"/>
          <w:numId w:val="10"/>
        </w:numPr>
        <w:tabs>
          <w:tab w:val="left" w:pos="728"/>
        </w:tabs>
        <w:ind w:left="0" w:firstLine="420" w:firstLineChars="200"/>
        <w:rPr>
          <w:rFonts w:hint="eastAsia"/>
        </w:rPr>
      </w:pPr>
      <w:r>
        <w:rPr>
          <w:rFonts w:hint="eastAsia" w:ascii="楷体" w:hAnsi="楷体" w:eastAsia="楷体" w:cs="Calibri"/>
          <w:color w:val="auto"/>
          <w:szCs w:val="21"/>
        </w:rPr>
        <w:t>本产品不收取认购费用、申购费用、赎回费用。</w:t>
      </w:r>
    </w:p>
    <w:p>
      <w:pPr>
        <w:numPr>
          <w:ilvl w:val="0"/>
          <w:numId w:val="10"/>
        </w:numPr>
        <w:tabs>
          <w:tab w:val="left" w:pos="728"/>
        </w:tabs>
        <w:ind w:left="0" w:firstLine="420" w:firstLineChars="200"/>
        <w:rPr>
          <w:rFonts w:hint="eastAsia" w:ascii="楷体" w:hAnsi="楷体" w:eastAsia="楷体" w:cs="楷体"/>
          <w:sz w:val="21"/>
          <w:szCs w:val="21"/>
          <w:highlight w:val="none"/>
        </w:rPr>
      </w:pPr>
      <w:r>
        <w:rPr>
          <w:rFonts w:hint="eastAsia" w:ascii="楷体" w:hAnsi="楷体" w:eastAsia="楷体" w:cs="Calibri"/>
          <w:color w:val="auto"/>
          <w:szCs w:val="21"/>
          <w:lang w:val="en-US" w:eastAsia="zh-CN"/>
        </w:rPr>
        <w:t>费用计算</w:t>
      </w:r>
      <w:r>
        <w:rPr>
          <w:rFonts w:hint="eastAsia" w:ascii="楷体" w:hAnsi="楷体" w:eastAsia="楷体" w:cs="Calibri"/>
          <w:color w:val="auto"/>
          <w:szCs w:val="21"/>
        </w:rPr>
        <w:t>四舍五入保留至小数点后两位</w:t>
      </w:r>
      <w:r>
        <w:rPr>
          <w:rFonts w:hint="eastAsia" w:ascii="楷体" w:hAnsi="楷体" w:eastAsia="楷体" w:cs="Calibri"/>
          <w:color w:val="auto"/>
          <w:szCs w:val="21"/>
          <w:lang w:eastAsia="zh-CN"/>
        </w:rPr>
        <w:t>。</w:t>
      </w:r>
    </w:p>
    <w:p>
      <w:pPr>
        <w:ind w:firstLine="420" w:firstLineChars="200"/>
        <w:rPr>
          <w:rFonts w:hint="eastAsia" w:ascii="楷体" w:hAnsi="楷体" w:eastAsia="楷体"/>
          <w:sz w:val="21"/>
          <w:szCs w:val="21"/>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numPr>
          <w:ilvl w:val="0"/>
          <w:numId w:val="2"/>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产品估值</w:t>
      </w:r>
    </w:p>
    <w:p>
      <w:pPr>
        <w:numPr>
          <w:ilvl w:val="0"/>
          <w:numId w:val="11"/>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估值对象</w:t>
      </w:r>
    </w:p>
    <w:p>
      <w:pPr>
        <w:ind w:firstLine="420" w:firstLineChars="200"/>
        <w:rPr>
          <w:rFonts w:ascii="楷体" w:hAnsi="楷体" w:eastAsia="楷体"/>
          <w:color w:val="auto"/>
          <w:sz w:val="21"/>
          <w:szCs w:val="21"/>
        </w:rPr>
      </w:pPr>
      <w:r>
        <w:rPr>
          <w:rFonts w:hint="eastAsia" w:ascii="楷体" w:hAnsi="楷体" w:eastAsia="楷体"/>
          <w:color w:val="auto"/>
          <w:sz w:val="21"/>
          <w:szCs w:val="21"/>
        </w:rPr>
        <w:t>本产品所拥有的各类证券、银行存款、应收款项及其它资产及负债。</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估值要求</w:t>
      </w:r>
    </w:p>
    <w:p>
      <w:pPr>
        <w:numPr>
          <w:ilvl w:val="0"/>
          <w:numId w:val="12"/>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本产品资产估值的目的是客观、准确</w:t>
      </w:r>
      <w:r>
        <w:rPr>
          <w:rFonts w:hint="eastAsia" w:ascii="楷体" w:hAnsi="楷体" w:eastAsia="楷体" w:cs="Calibri"/>
          <w:color w:val="auto"/>
          <w:sz w:val="21"/>
          <w:szCs w:val="21"/>
          <w:lang w:val="en-US" w:eastAsia="zh-CN"/>
        </w:rPr>
        <w:t>地</w:t>
      </w:r>
      <w:r>
        <w:rPr>
          <w:rFonts w:hint="eastAsia" w:ascii="楷体" w:hAnsi="楷体" w:eastAsia="楷体" w:cs="Calibri"/>
          <w:color w:val="auto"/>
          <w:sz w:val="21"/>
          <w:szCs w:val="21"/>
        </w:rPr>
        <w:t>反映资产净值，确定理财产品资产净值，并为理财产品的兑付提供计价依据。</w:t>
      </w:r>
    </w:p>
    <w:p>
      <w:pPr>
        <w:numPr>
          <w:ilvl w:val="0"/>
          <w:numId w:val="12"/>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本产品单位净值精确到小数点后</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位，小数点</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位后截位。</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估值方法</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1.存款类资产、货币市场工具：以本金列示，逐日计提利息。</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2.货币市场基金：按公允价值进行估值，以估值截止时间点能够取得的最新每万份收益进行估值。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3.债券类资产：按公允价值进行估值，采用市价、监管认可的第三方估值机构提供的估值价格进行估值。对于以收取合同现金流量为目的并持有到期的债券，符合企业会计准则及监管规定，分类为“以摊余成本计量的金融资产”的，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4.债权类资产：按公允价值进行估值。对于以收取合同现金流量为目的并持有到期的债权类资产，金融资产暂不具备活跃交易市场，或者在活跃市场中没有报价，且符合会计准则及监管规定，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5.权益类资产：按公允价值进行估值，采用市价、监管认可的第三方估值机构提供的估值价格进行估值。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6.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7.其他资产：按公允价值进行估值。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如有新增事项或变更事项，按国家法律法规及监管最新规定执行。</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估值错误的处理</w:t>
      </w:r>
    </w:p>
    <w:p>
      <w:pPr>
        <w:ind w:firstLine="420" w:firstLineChars="200"/>
        <w:rPr>
          <w:rFonts w:ascii="楷体" w:hAnsi="楷体" w:eastAsia="楷体"/>
          <w:color w:val="auto"/>
          <w:sz w:val="21"/>
          <w:szCs w:val="21"/>
        </w:rPr>
      </w:pPr>
      <w:r>
        <w:rPr>
          <w:rFonts w:hint="eastAsia" w:ascii="楷体" w:hAnsi="楷体" w:eastAsia="楷体"/>
          <w:color w:val="auto"/>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暂停估值</w:t>
      </w:r>
    </w:p>
    <w:p>
      <w:pPr>
        <w:ind w:firstLine="420" w:firstLineChars="200"/>
        <w:rPr>
          <w:rFonts w:ascii="楷体" w:hAnsi="楷体" w:eastAsia="楷体"/>
          <w:color w:val="auto"/>
          <w:sz w:val="21"/>
          <w:szCs w:val="21"/>
        </w:rPr>
      </w:pPr>
      <w:r>
        <w:rPr>
          <w:rFonts w:hint="eastAsia" w:ascii="楷体" w:hAnsi="楷体" w:eastAsia="楷体"/>
          <w:color w:val="auto"/>
          <w:sz w:val="21"/>
          <w:szCs w:val="21"/>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2"/>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信息披露</w:t>
      </w:r>
    </w:p>
    <w:p>
      <w:pPr>
        <w:numPr>
          <w:ilvl w:val="0"/>
          <w:numId w:val="1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numPr>
          <w:ilvl w:val="0"/>
          <w:numId w:val="14"/>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numPr>
          <w:ilvl w:val="0"/>
          <w:numId w:val="14"/>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1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numPr>
          <w:ilvl w:val="0"/>
          <w:numId w:val="15"/>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numPr>
          <w:ilvl w:val="0"/>
          <w:numId w:val="15"/>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numPr>
          <w:ilvl w:val="0"/>
          <w:numId w:val="15"/>
        </w:numPr>
        <w:tabs>
          <w:tab w:val="left" w:pos="728"/>
        </w:tabs>
        <w:ind w:left="0" w:firstLine="420" w:firstLineChars="200"/>
        <w:rPr>
          <w:rFonts w:ascii="楷体" w:hAnsi="楷体" w:eastAsia="楷体" w:cs="Calibri"/>
          <w:sz w:val="21"/>
          <w:szCs w:val="21"/>
          <w:highlight w:val="none"/>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numPr>
          <w:ilvl w:val="0"/>
          <w:numId w:val="2"/>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其他</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lang w:val="en-US" w:eastAsia="zh-CN"/>
        </w:rPr>
        <w:t>因本产品说明书</w:t>
      </w:r>
      <w:r>
        <w:rPr>
          <w:rFonts w:hint="eastAsia" w:ascii="楷体" w:hAnsi="楷体" w:eastAsia="楷体"/>
          <w:b w:val="0"/>
          <w:bCs w:val="0"/>
          <w:color w:val="auto"/>
          <w:sz w:val="21"/>
          <w:szCs w:val="21"/>
        </w:rPr>
        <w:t>引起的或与</w:t>
      </w: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有关的任何争议，应当首先通过双方之间的友好协商解决；协商不成的，双方均有权提交产品管理人住所地有管辖权的人民法院诉讼解决。</w:t>
      </w:r>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CD7C62DE"/>
    <w:multiLevelType w:val="multilevel"/>
    <w:tmpl w:val="CD7C62DE"/>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CE27157A"/>
    <w:multiLevelType w:val="multilevel"/>
    <w:tmpl w:val="CE27157A"/>
    <w:lvl w:ilvl="0" w:tentative="0">
      <w:start w:val="1"/>
      <w:numFmt w:val="chineseCountingThousand"/>
      <w:suff w:val="space"/>
      <w:lvlText w:val="%1、"/>
      <w:lvlJc w:val="left"/>
      <w:pPr>
        <w:ind w:left="42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8">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1">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6FF3467"/>
    <w:multiLevelType w:val="multilevel"/>
    <w:tmpl w:val="56FF346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2"/>
  </w:num>
  <w:num w:numId="3">
    <w:abstractNumId w:val="1"/>
  </w:num>
  <w:num w:numId="4">
    <w:abstractNumId w:val="0"/>
  </w:num>
  <w:num w:numId="5">
    <w:abstractNumId w:val="3"/>
  </w:num>
  <w:num w:numId="6">
    <w:abstractNumId w:val="14"/>
  </w:num>
  <w:num w:numId="7">
    <w:abstractNumId w:val="10"/>
  </w:num>
  <w:num w:numId="8">
    <w:abstractNumId w:val="9"/>
  </w:num>
  <w:num w:numId="9">
    <w:abstractNumId w:val="12"/>
  </w:num>
  <w:num w:numId="10">
    <w:abstractNumId w:val="15"/>
  </w:num>
  <w:num w:numId="11">
    <w:abstractNumId w:val="6"/>
  </w:num>
  <w:num w:numId="12">
    <w:abstractNumId w:val="5"/>
  </w:num>
  <w:num w:numId="13">
    <w:abstractNumId w:val="11"/>
  </w:num>
  <w:num w:numId="14">
    <w:abstractNumId w:val="4"/>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361E5"/>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C1FEB"/>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AD79F1"/>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7E6326"/>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561614"/>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131"/>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5A0BBE"/>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AC3211"/>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9"/>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4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1"/>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3"/>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2"/>
    <w:unhideWhenUsed/>
    <w:qFormat/>
    <w:uiPriority w:val="99"/>
    <w:pPr>
      <w:jc w:val="left"/>
    </w:pPr>
  </w:style>
  <w:style w:type="paragraph" w:styleId="7">
    <w:name w:val="Date"/>
    <w:basedOn w:val="1"/>
    <w:next w:val="1"/>
    <w:link w:val="44"/>
    <w:unhideWhenUsed/>
    <w:qFormat/>
    <w:uiPriority w:val="99"/>
    <w:pPr>
      <w:ind w:left="100" w:leftChars="2500"/>
    </w:pPr>
  </w:style>
  <w:style w:type="paragraph" w:styleId="8">
    <w:name w:val="Balloon Text"/>
    <w:basedOn w:val="1"/>
    <w:link w:val="45"/>
    <w:unhideWhenUsed/>
    <w:qFormat/>
    <w:uiPriority w:val="99"/>
    <w:rPr>
      <w:kern w:val="0"/>
      <w:sz w:val="18"/>
      <w:szCs w:val="18"/>
    </w:rPr>
  </w:style>
  <w:style w:type="paragraph" w:styleId="9">
    <w:name w:val="footer"/>
    <w:basedOn w:val="1"/>
    <w:link w:val="46"/>
    <w:unhideWhenUsed/>
    <w:qFormat/>
    <w:uiPriority w:val="99"/>
    <w:pPr>
      <w:tabs>
        <w:tab w:val="center" w:pos="4153"/>
        <w:tab w:val="right" w:pos="8306"/>
      </w:tabs>
      <w:snapToGrid w:val="0"/>
      <w:jc w:val="left"/>
    </w:pPr>
    <w:rPr>
      <w:kern w:val="0"/>
      <w:sz w:val="18"/>
      <w:szCs w:val="18"/>
    </w:rPr>
  </w:style>
  <w:style w:type="paragraph" w:styleId="10">
    <w:name w:val="header"/>
    <w:basedOn w:val="1"/>
    <w:link w:val="4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8"/>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9"/>
    <w:unhideWhenUsed/>
    <w:qFormat/>
    <w:uiPriority w:val="99"/>
    <w:rPr>
      <w:b/>
      <w:bCs/>
    </w:rPr>
  </w:style>
  <w:style w:type="paragraph" w:styleId="15">
    <w:name w:val="Body Text First Indent"/>
    <w:qFormat/>
    <w:uiPriority w:val="0"/>
    <w:pPr>
      <w:widowControl w:val="0"/>
      <w:spacing w:line="312" w:lineRule="auto"/>
      <w:ind w:left="860" w:firstLine="420"/>
      <w:jc w:val="both"/>
    </w:pPr>
    <w:rPr>
      <w:rFonts w:ascii="Times New Roman" w:hAnsi="Times New Roman" w:eastAsia="宋体" w:cs="Times New Roman"/>
      <w:kern w:val="2"/>
      <w:sz w:val="32"/>
      <w:szCs w:val="32"/>
      <w:lang w:val="en-US" w:eastAsia="zh-CN" w:bidi="ar-SA"/>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22"/>
    <w:rPr>
      <w:rFonts w:ascii="Times New Roman" w:hAnsi="Times New Roman" w:eastAsia="宋体" w:cs="Times New Roman"/>
      <w:b/>
      <w:bCs/>
    </w:rPr>
  </w:style>
  <w:style w:type="character" w:styleId="20">
    <w:name w:val="Hyperlink"/>
    <w:unhideWhenUsed/>
    <w:qFormat/>
    <w:uiPriority w:val="99"/>
    <w:rPr>
      <w:rFonts w:ascii="Times New Roman" w:hAnsi="Times New Roman" w:eastAsia="宋体" w:cs="Times New Roman"/>
      <w:color w:val="0000FF"/>
      <w:u w:val="single"/>
    </w:rPr>
  </w:style>
  <w:style w:type="character" w:styleId="21">
    <w:name w:val="annotation reference"/>
    <w:unhideWhenUsed/>
    <w:qFormat/>
    <w:uiPriority w:val="99"/>
    <w:rPr>
      <w:rFonts w:ascii="Times New Roman" w:hAnsi="Times New Roman" w:eastAsia="宋体" w:cs="Times New Roman"/>
      <w:sz w:val="21"/>
      <w:szCs w:val="21"/>
    </w:rPr>
  </w:style>
  <w:style w:type="character" w:styleId="22">
    <w:name w:val="footnote reference"/>
    <w:semiHidden/>
    <w:unhideWhenUsed/>
    <w:qFormat/>
    <w:uiPriority w:val="99"/>
    <w:rPr>
      <w:rFonts w:ascii="Times New Roman" w:hAnsi="Times New Roman" w:eastAsia="宋体" w:cs="Times New Roman"/>
      <w:vertAlign w:val="superscript"/>
    </w:rPr>
  </w:style>
  <w:style w:type="character" w:customStyle="1" w:styleId="23">
    <w:name w:val="批注文字 字符"/>
    <w:qFormat/>
    <w:uiPriority w:val="99"/>
    <w:rPr>
      <w:rFonts w:ascii="Times New Roman" w:hAnsi="Times New Roman" w:eastAsia="宋体" w:cs="Times New Roman"/>
    </w:rPr>
  </w:style>
  <w:style w:type="character" w:customStyle="1" w:styleId="24">
    <w:name w:val="标题 3 字符"/>
    <w:qFormat/>
    <w:uiPriority w:val="1"/>
    <w:rPr>
      <w:rFonts w:ascii="宋体" w:hAnsi="Times New Roman" w:eastAsia="宋体" w:cs="Times New Roman"/>
      <w:b/>
      <w:bCs/>
      <w:kern w:val="0"/>
      <w:sz w:val="20"/>
      <w:szCs w:val="21"/>
    </w:rPr>
  </w:style>
  <w:style w:type="character" w:customStyle="1" w:styleId="25">
    <w:name w:val="脚注文本 字符1"/>
    <w:semiHidden/>
    <w:qFormat/>
    <w:uiPriority w:val="99"/>
    <w:rPr>
      <w:rFonts w:ascii="Times New Roman" w:hAnsi="Times New Roman" w:eastAsia="宋体" w:cs="Times New Roman"/>
      <w:sz w:val="18"/>
      <w:szCs w:val="18"/>
    </w:rPr>
  </w:style>
  <w:style w:type="character" w:customStyle="1" w:styleId="26">
    <w:name w:val="标题 2 字符"/>
    <w:qFormat/>
    <w:uiPriority w:val="9"/>
    <w:rPr>
      <w:rFonts w:ascii="Cambria" w:hAnsi="Cambria" w:eastAsia="宋体" w:cs="Times New Roman"/>
      <w:b/>
      <w:bCs/>
      <w:kern w:val="0"/>
      <w:sz w:val="32"/>
      <w:szCs w:val="32"/>
    </w:rPr>
  </w:style>
  <w:style w:type="character" w:customStyle="1" w:styleId="27">
    <w:name w:val="正文文本 字符"/>
    <w:qFormat/>
    <w:uiPriority w:val="1"/>
    <w:rPr>
      <w:rFonts w:ascii="宋体" w:hAnsi="Times New Roman" w:eastAsia="宋体" w:cs="Times New Roman"/>
      <w:kern w:val="0"/>
      <w:sz w:val="20"/>
      <w:szCs w:val="21"/>
    </w:rPr>
  </w:style>
  <w:style w:type="character" w:customStyle="1" w:styleId="28">
    <w:name w:val="脚注文本 字符"/>
    <w:semiHidden/>
    <w:qFormat/>
    <w:uiPriority w:val="99"/>
    <w:rPr>
      <w:rFonts w:ascii="Times New Roman" w:hAnsi="Times New Roman" w:eastAsia="宋体" w:cs="Times New Roman"/>
      <w:kern w:val="2"/>
      <w:sz w:val="18"/>
      <w:szCs w:val="18"/>
    </w:rPr>
  </w:style>
  <w:style w:type="character" w:customStyle="1" w:styleId="29">
    <w:name w:val="批注主题 字符"/>
    <w:semiHidden/>
    <w:qFormat/>
    <w:uiPriority w:val="99"/>
    <w:rPr>
      <w:rFonts w:ascii="Times New Roman" w:hAnsi="Times New Roman" w:eastAsia="宋体" w:cs="Times New Roman"/>
      <w:b/>
      <w:bCs/>
    </w:rPr>
  </w:style>
  <w:style w:type="character" w:customStyle="1" w:styleId="30">
    <w:name w:val="日期 字符"/>
    <w:basedOn w:val="18"/>
    <w:semiHidden/>
    <w:qFormat/>
    <w:uiPriority w:val="99"/>
    <w:rPr>
      <w:rFonts w:ascii="Times New Roman" w:hAnsi="Times New Roman" w:eastAsia="宋体" w:cs="Times New Roman"/>
    </w:rPr>
  </w:style>
  <w:style w:type="character" w:customStyle="1" w:styleId="31">
    <w:name w:val="标题 1 字符"/>
    <w:qFormat/>
    <w:uiPriority w:val="1"/>
    <w:rPr>
      <w:rFonts w:ascii="黑体" w:hAnsi="Times New Roman" w:eastAsia="黑体" w:cs="Times New Roman"/>
      <w:b/>
      <w:bCs/>
      <w:kern w:val="0"/>
      <w:sz w:val="36"/>
      <w:szCs w:val="36"/>
    </w:rPr>
  </w:style>
  <w:style w:type="character" w:customStyle="1" w:styleId="32">
    <w:name w:val="页脚 字符"/>
    <w:qFormat/>
    <w:uiPriority w:val="99"/>
    <w:rPr>
      <w:rFonts w:ascii="Times New Roman" w:hAnsi="Times New Roman" w:eastAsia="宋体" w:cs="Times New Roman"/>
      <w:kern w:val="0"/>
      <w:sz w:val="18"/>
      <w:szCs w:val="18"/>
    </w:rPr>
  </w:style>
  <w:style w:type="character" w:customStyle="1" w:styleId="33">
    <w:name w:val="页眉 字符"/>
    <w:qFormat/>
    <w:uiPriority w:val="99"/>
    <w:rPr>
      <w:rFonts w:ascii="Times New Roman" w:hAnsi="Times New Roman" w:eastAsia="宋体" w:cs="Times New Roman"/>
      <w:kern w:val="0"/>
      <w:sz w:val="18"/>
      <w:szCs w:val="18"/>
    </w:rPr>
  </w:style>
  <w:style w:type="character" w:customStyle="1" w:styleId="34">
    <w:name w:val="批注框文本 字符"/>
    <w:semiHidden/>
    <w:qFormat/>
    <w:uiPriority w:val="99"/>
    <w:rPr>
      <w:rFonts w:ascii="Times New Roman" w:hAnsi="Times New Roman" w:eastAsia="宋体" w:cs="Times New Roman"/>
      <w:kern w:val="0"/>
      <w:sz w:val="18"/>
      <w:szCs w:val="18"/>
    </w:rPr>
  </w:style>
  <w:style w:type="paragraph" w:customStyle="1" w:styleId="35">
    <w:name w:val="Table Paragraph"/>
    <w:basedOn w:val="1"/>
    <w:qFormat/>
    <w:uiPriority w:val="1"/>
    <w:pPr>
      <w:autoSpaceDE w:val="0"/>
      <w:autoSpaceDN w:val="0"/>
      <w:adjustRightInd w:val="0"/>
      <w:jc w:val="left"/>
    </w:pPr>
    <w:rPr>
      <w:kern w:val="0"/>
      <w:sz w:val="24"/>
      <w:szCs w:val="24"/>
    </w:rPr>
  </w:style>
  <w:style w:type="paragraph" w:customStyle="1" w:styleId="36">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7">
    <w:name w:val="List Paragraph"/>
    <w:basedOn w:val="1"/>
    <w:qFormat/>
    <w:uiPriority w:val="72"/>
    <w:pPr>
      <w:ind w:firstLine="420" w:firstLineChars="200"/>
    </w:pPr>
  </w:style>
  <w:style w:type="paragraph" w:customStyle="1" w:styleId="38">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9">
    <w:name w:val="标题 1 字符1"/>
    <w:link w:val="3"/>
    <w:qFormat/>
    <w:uiPriority w:val="1"/>
    <w:rPr>
      <w:rFonts w:ascii="黑体" w:hAnsi="Times New Roman" w:eastAsia="黑体" w:cs="黑体"/>
      <w:b/>
      <w:bCs/>
      <w:kern w:val="0"/>
      <w:sz w:val="36"/>
      <w:szCs w:val="36"/>
    </w:rPr>
  </w:style>
  <w:style w:type="character" w:customStyle="1" w:styleId="40">
    <w:name w:val="标题 2 字符1"/>
    <w:link w:val="4"/>
    <w:qFormat/>
    <w:uiPriority w:val="9"/>
    <w:rPr>
      <w:rFonts w:ascii="Cambria" w:hAnsi="Cambria" w:eastAsia="宋体" w:cs="Times New Roman"/>
      <w:b/>
      <w:bCs/>
      <w:sz w:val="32"/>
      <w:szCs w:val="32"/>
    </w:rPr>
  </w:style>
  <w:style w:type="character" w:customStyle="1" w:styleId="41">
    <w:name w:val="标题 3 字符1"/>
    <w:link w:val="5"/>
    <w:qFormat/>
    <w:uiPriority w:val="1"/>
    <w:rPr>
      <w:rFonts w:ascii="宋体" w:hAnsi="Times New Roman" w:eastAsia="宋体" w:cs="宋体"/>
      <w:b/>
      <w:bCs/>
      <w:kern w:val="0"/>
      <w:szCs w:val="21"/>
    </w:rPr>
  </w:style>
  <w:style w:type="character" w:customStyle="1" w:styleId="42">
    <w:name w:val="批注文字 字符1"/>
    <w:link w:val="6"/>
    <w:qFormat/>
    <w:uiPriority w:val="99"/>
    <w:rPr>
      <w:rFonts w:ascii="Times New Roman" w:hAnsi="Times New Roman" w:eastAsia="宋体" w:cs="Times New Roman"/>
      <w:kern w:val="2"/>
      <w:sz w:val="21"/>
      <w:szCs w:val="22"/>
    </w:rPr>
  </w:style>
  <w:style w:type="character" w:customStyle="1" w:styleId="43">
    <w:name w:val="正文文本 字符1"/>
    <w:link w:val="2"/>
    <w:qFormat/>
    <w:uiPriority w:val="1"/>
    <w:rPr>
      <w:rFonts w:ascii="宋体" w:hAnsi="Times New Roman" w:eastAsia="宋体" w:cs="宋体"/>
      <w:kern w:val="0"/>
      <w:szCs w:val="21"/>
    </w:rPr>
  </w:style>
  <w:style w:type="character" w:customStyle="1" w:styleId="44">
    <w:name w:val="日期 字符1"/>
    <w:basedOn w:val="18"/>
    <w:link w:val="7"/>
    <w:semiHidden/>
    <w:qFormat/>
    <w:uiPriority w:val="99"/>
    <w:rPr>
      <w:rFonts w:ascii="Times New Roman" w:hAnsi="Times New Roman" w:eastAsia="宋体" w:cs="Times New Roman"/>
    </w:rPr>
  </w:style>
  <w:style w:type="character" w:customStyle="1" w:styleId="45">
    <w:name w:val="批注框文本 字符1"/>
    <w:link w:val="8"/>
    <w:semiHidden/>
    <w:qFormat/>
    <w:uiPriority w:val="99"/>
    <w:rPr>
      <w:rFonts w:ascii="Times New Roman" w:hAnsi="Times New Roman" w:eastAsia="宋体" w:cs="Times New Roman"/>
      <w:sz w:val="18"/>
      <w:szCs w:val="18"/>
    </w:rPr>
  </w:style>
  <w:style w:type="character" w:customStyle="1" w:styleId="46">
    <w:name w:val="页脚 字符1"/>
    <w:link w:val="9"/>
    <w:qFormat/>
    <w:uiPriority w:val="99"/>
    <w:rPr>
      <w:rFonts w:ascii="Times New Roman" w:hAnsi="Times New Roman" w:eastAsia="宋体" w:cs="Times New Roman"/>
      <w:sz w:val="18"/>
      <w:szCs w:val="18"/>
    </w:rPr>
  </w:style>
  <w:style w:type="character" w:customStyle="1" w:styleId="47">
    <w:name w:val="页眉 字符1"/>
    <w:link w:val="10"/>
    <w:qFormat/>
    <w:uiPriority w:val="99"/>
    <w:rPr>
      <w:rFonts w:ascii="Times New Roman" w:hAnsi="Times New Roman" w:eastAsia="宋体" w:cs="Times New Roman"/>
      <w:sz w:val="18"/>
      <w:szCs w:val="18"/>
    </w:rPr>
  </w:style>
  <w:style w:type="character" w:customStyle="1" w:styleId="48">
    <w:name w:val="脚注文本 字符2"/>
    <w:link w:val="11"/>
    <w:semiHidden/>
    <w:qFormat/>
    <w:uiPriority w:val="99"/>
    <w:rPr>
      <w:rFonts w:ascii="Times New Roman" w:hAnsi="Times New Roman" w:eastAsia="宋体" w:cs="Times New Roman"/>
      <w:kern w:val="2"/>
      <w:sz w:val="18"/>
      <w:szCs w:val="18"/>
    </w:rPr>
  </w:style>
  <w:style w:type="character" w:customStyle="1" w:styleId="49">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21814</Words>
  <Characters>22616</Characters>
  <Lines>243</Lines>
  <Paragraphs>68</Paragraphs>
  <TotalTime>0</TotalTime>
  <ScaleCrop>false</ScaleCrop>
  <LinksUpToDate>false</LinksUpToDate>
  <CharactersWithSpaces>22805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2025-09-02T11:04:42Z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