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苏银理财启源货币1号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苏银理财启源货币1号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2023年12月07日</w:t>
      </w:r>
      <w:r>
        <w:rPr>
          <w:rFonts w:hint="eastAsia" w:ascii="楷体" w:hAnsi="楷体" w:eastAsia="楷体" w:cs="楷体"/>
        </w:rPr>
        <w:t>成立，于</w:t>
      </w:r>
      <w:r>
        <w:rPr>
          <w:rFonts w:hint="eastAsia" w:ascii="楷体" w:hAnsi="楷体" w:eastAsia="楷体" w:cs="楷体"/>
          <w:spacing w:val="-7"/>
        </w:rPr>
        <w:t>2023年12月07日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苏银理财启源货币1号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Z7003123000204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8,598,920,059.31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8,598,920,059.31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31000188000564305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8,599,962,755.86</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100.01%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085"/>
        <w:gridCol w:w="1500"/>
        <w:gridCol w:w="166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2085"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500"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665"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861"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ascii="楷体" w:hAnsi="楷体" w:eastAsia="楷体" w:cs="楷体"/>
                <w:sz w:val="22"/>
              </w:rPr>
            </w:pPr>
            <w:r>
              <w:rPr>
                <w:rFonts w:hint="eastAsia" w:ascii="楷体" w:hAnsi="楷体" w:eastAsia="楷体" w:cs="楷体"/>
                <w:sz w:val="22"/>
              </w:rPr>
              <w:t>2025-06-30</w:t>
            </w:r>
          </w:p>
        </w:tc>
        <w:tc>
          <w:tcPr>
            <w:tcW w:w="2085" w:type="dxa"/>
          </w:tcPr>
          <w:p>
            <w:pPr>
              <w:jc w:val="center"/>
              <w:rPr>
                <w:rFonts w:ascii="楷体" w:hAnsi="楷体" w:eastAsia="楷体" w:cs="楷体"/>
                <w:sz w:val="22"/>
              </w:rPr>
            </w:pPr>
            <w:r>
              <w:rPr>
                <w:rFonts w:hint="eastAsia" w:ascii="楷体" w:hAnsi="楷体" w:eastAsia="楷体" w:cs="楷体"/>
                <w:sz w:val="22"/>
              </w:rPr>
              <w:t>苏银理财启源货币1号H</w:t>
            </w:r>
          </w:p>
        </w:tc>
        <w:tc>
          <w:tcPr>
            <w:tcW w:w="1500" w:type="dxa"/>
          </w:tcPr>
          <w:p>
            <w:pPr>
              <w:jc w:val="center"/>
              <w:rPr>
                <w:rFonts w:ascii="楷体" w:hAnsi="楷体" w:eastAsia="楷体" w:cs="楷体"/>
                <w:sz w:val="22"/>
              </w:rPr>
            </w:pPr>
            <w:r>
              <w:rPr>
                <w:rFonts w:hint="eastAsia" w:ascii="楷体" w:hAnsi="楷体" w:eastAsia="楷体" w:cs="楷体"/>
                <w:sz w:val="22"/>
              </w:rPr>
              <w:t>0.4529</w:t>
            </w:r>
          </w:p>
        </w:tc>
        <w:tc>
          <w:tcPr>
            <w:tcW w:w="1665" w:type="dxa"/>
          </w:tcPr>
          <w:p>
            <w:pPr>
              <w:jc w:val="center"/>
              <w:rPr>
                <w:rFonts w:ascii="楷体" w:hAnsi="楷体" w:eastAsia="楷体" w:cs="楷体"/>
                <w:sz w:val="22"/>
              </w:rPr>
            </w:pPr>
            <w:r>
              <w:rPr>
                <w:rFonts w:hint="eastAsia" w:ascii="楷体" w:hAnsi="楷体" w:eastAsia="楷体" w:cs="楷体"/>
                <w:sz w:val="22"/>
              </w:rPr>
              <w:t>1.61%</w:t>
            </w:r>
          </w:p>
        </w:tc>
        <w:tc>
          <w:tcPr>
            <w:tcW w:w="1861" w:type="dxa"/>
          </w:tcPr>
          <w:p>
            <w:pPr>
              <w:jc w:val="center"/>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苏银理财启源货币1号W</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0.4118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1.45%</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苏银理财启源货币1号M</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0.5049</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1.80%</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苏银理财启源货币1号N</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0.7940</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苏银理财启源货币1号I</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0.4638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1.65%</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苏银理财启源货币1号J</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0.4666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苏银理财启源货币1号JS鑫福款</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0.4666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苏银理财启源货币1号K</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0.4638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1.65%</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苏银理财启源货币1号A</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0.4666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苏银理财启源货币1号F</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0.4666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苏银理财启源货币1号G</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0.4666</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1.66%</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苏银理财启源货币1号P</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0.8078</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2.99%</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苏银理财启源货币1号DG</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0.4993</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1.84%</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2"/>
                <w:u w:val="none"/>
              </w:rPr>
              <w:t>2025-06-30</w:t>
            </w:r>
          </w:p>
        </w:tc>
        <w:tc>
          <w:tcPr>
            <w:tcW w:w="2085" w:type="dxa"/>
          </w:tcPr>
          <w:p>
            <w:pPr>
              <w:pageBreakBefore w:val="0"/>
              <w:jc w:val="center"/>
              <w:textAlignment w:val="auto"/>
            </w:pPr>
            <w:r>
              <w:rPr>
                <w:rFonts w:ascii="楷体" w:hAnsi="楷体" w:eastAsia="楷体" w:cs="楷体"/>
                <w:b w:val="0"/>
                <w:i w:val="0"/>
                <w:strike w:val="0"/>
                <w:color w:val="auto"/>
                <w:position w:val="-1"/>
                <w:sz w:val="22"/>
                <w:u w:val="none"/>
              </w:rPr>
              <w:t>苏银理财启源货币1号XN</w:t>
            </w:r>
          </w:p>
        </w:tc>
        <w:tc>
          <w:tcPr>
            <w:tcW w:w="1500" w:type="dxa"/>
          </w:tcPr>
          <w:p>
            <w:pPr>
              <w:pageBreakBefore w:val="0"/>
              <w:jc w:val="center"/>
              <w:textAlignment w:val="auto"/>
            </w:pPr>
            <w:r>
              <w:rPr>
                <w:rFonts w:ascii="楷体" w:hAnsi="楷体" w:eastAsia="楷体" w:cs="楷体"/>
                <w:b w:val="0"/>
                <w:i w:val="0"/>
                <w:strike w:val="0"/>
                <w:color w:val="auto"/>
                <w:position w:val="-1"/>
                <w:sz w:val="22"/>
                <w:u w:val="none"/>
              </w:rPr>
              <w:t>0.8829</w:t>
            </w:r>
          </w:p>
        </w:tc>
        <w:tc>
          <w:tcPr>
            <w:tcW w:w="1665" w:type="dxa"/>
          </w:tcPr>
          <w:p>
            <w:pPr>
              <w:pageBreakBefore w:val="0"/>
              <w:jc w:val="center"/>
              <w:textAlignment w:val="auto"/>
            </w:pPr>
            <w:r>
              <w:rPr>
                <w:rFonts w:ascii="楷体" w:hAnsi="楷体" w:eastAsia="楷体" w:cs="楷体"/>
                <w:b w:val="0"/>
                <w:i w:val="0"/>
                <w:strike w:val="0"/>
                <w:color w:val="auto"/>
                <w:position w:val="-1"/>
                <w:sz w:val="22"/>
                <w:u w:val="none"/>
              </w:rPr>
              <w:t>3.28%</w:t>
            </w:r>
          </w:p>
        </w:tc>
        <w:tc>
          <w:tcPr>
            <w:tcW w:w="1861" w:type="dxa"/>
          </w:tcPr>
          <w:p>
            <w:pPr>
              <w:pageBreakBefore w:val="0"/>
              <w:jc w:val="center"/>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80.31%</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19.69%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80.31%</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19.69%</w:t>
            </w:r>
          </w:p>
        </w:tc>
      </w:tr>
    </w:tbl>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966,114,882.61</w:t>
            </w:r>
          </w:p>
        </w:tc>
        <w:tc>
          <w:tcPr>
            <w:tcW w:w="1800" w:type="dxa"/>
            <w:vAlign w:val="center"/>
          </w:tcPr>
          <w:p>
            <w:pPr>
              <w:jc w:val="center"/>
              <w:rPr>
                <w:rFonts w:ascii="楷体" w:hAnsi="楷体" w:eastAsia="楷体" w:cs="楷体"/>
                <w:sz w:val="22"/>
              </w:rPr>
            </w:pPr>
            <w:r>
              <w:rPr>
                <w:rFonts w:hint="eastAsia" w:ascii="楷体" w:hAnsi="楷体" w:eastAsia="楷体" w:cs="楷体"/>
                <w:sz w:val="22"/>
              </w:rPr>
              <w:t>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24农业银行CD223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298,761,494.98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151,455,484.33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150,156,164.38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150,070,372.21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143,037,005.04</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24徽商银行CD230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103,634,213.70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25南京银行CD116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102,828,157.53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101,919,809.46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23农发清发22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101,841,667.91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1.18%</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rPr>
          <w:rFonts w:hint="eastAsia" w:ascii="楷体" w:hAnsi="楷体" w:eastAsia="楷体"/>
        </w:rPr>
      </w:pPr>
    </w:p>
    <w:p>
      <w:pPr>
        <w:rPr>
          <w:rFonts w:ascii="楷体" w:hAnsi="楷体" w:eastAsia="楷体"/>
          <w:sz w:val="21"/>
          <w:szCs w:val="21"/>
        </w:rPr>
      </w:pPr>
      <w:r>
        <w:rPr>
          <w:rFonts w:hint="eastAsia" w:ascii="楷体" w:hAnsi="楷体" w:eastAsia="楷体"/>
          <w:sz w:val="21"/>
          <w:szCs w:val="21"/>
        </w:rPr>
        <w:t>（四）期末理财产品前十名投资者持有情况</w:t>
      </w:r>
    </w:p>
    <w:tbl>
      <w:tblPr>
        <w:tblStyle w:val="10"/>
        <w:tblW w:w="8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1"/>
        <w:gridCol w:w="1815"/>
        <w:gridCol w:w="3510"/>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序号</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投资者类别</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期末持有份额</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份额占比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1</w:t>
            </w:r>
          </w:p>
        </w:tc>
        <w:tc>
          <w:tcPr>
            <w:tcW w:w="181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个人</w:t>
            </w:r>
          </w:p>
        </w:tc>
        <w:tc>
          <w:tcPr>
            <w:tcW w:w="3510"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50,089,623.57</w:t>
            </w:r>
          </w:p>
        </w:tc>
        <w:tc>
          <w:tcPr>
            <w:tcW w:w="1695" w:type="dxa"/>
          </w:tcPr>
          <w:p>
            <w:pPr>
              <w:pStyle w:val="14"/>
              <w:jc w:val="center"/>
              <w:rPr>
                <w:rFonts w:hint="eastAsia" w:ascii="楷体" w:hAnsi="楷体" w:eastAsia="楷体" w:cs="楷体"/>
                <w:sz w:val="22"/>
                <w:szCs w:val="22"/>
              </w:rPr>
            </w:pPr>
            <w:r>
              <w:rPr>
                <w:rFonts w:hint="eastAsia" w:ascii="楷体" w:hAnsi="楷体" w:eastAsia="楷体" w:cs="楷体"/>
                <w:sz w:val="22"/>
                <w:szCs w:val="22"/>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38,020,084.01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31,500,000.00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28,024,944.17</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26,036,410.49</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25,005,412.61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25,000,000.00</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机构</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22,150,840.11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22,017,381.84</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11"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1815" w:type="dxa"/>
          </w:tcPr>
          <w:p>
            <w:pPr>
              <w:pageBreakBefore w:val="0"/>
              <w:jc w:val="center"/>
              <w:textAlignment w:val="auto"/>
            </w:pPr>
            <w:r>
              <w:rPr>
                <w:rFonts w:ascii="楷体" w:hAnsi="楷体" w:eastAsia="楷体" w:cs="楷体"/>
                <w:b w:val="0"/>
                <w:i w:val="0"/>
                <w:strike w:val="0"/>
                <w:color w:val="auto"/>
                <w:position w:val="-1"/>
                <w:sz w:val="22"/>
                <w:u w:val="none"/>
              </w:rPr>
              <w:t>个人</w:t>
            </w:r>
          </w:p>
        </w:tc>
        <w:tc>
          <w:tcPr>
            <w:tcW w:w="3510" w:type="dxa"/>
          </w:tcPr>
          <w:p>
            <w:pPr>
              <w:pageBreakBefore w:val="0"/>
              <w:jc w:val="center"/>
              <w:textAlignment w:val="auto"/>
            </w:pPr>
            <w:r>
              <w:rPr>
                <w:rFonts w:ascii="楷体" w:hAnsi="楷体" w:eastAsia="楷体" w:cs="楷体"/>
                <w:b w:val="0"/>
                <w:i w:val="0"/>
                <w:strike w:val="0"/>
                <w:color w:val="auto"/>
                <w:position w:val="-1"/>
                <w:sz w:val="22"/>
                <w:u w:val="none"/>
              </w:rPr>
              <w:t>20,645,879.71</w:t>
            </w:r>
          </w:p>
        </w:tc>
        <w:tc>
          <w:tcPr>
            <w:tcW w:w="1695" w:type="dxa"/>
          </w:tcPr>
          <w:p>
            <w:pPr>
              <w:pageBreakBefore w:val="0"/>
              <w:jc w:val="center"/>
              <w:textAlignment w:val="auto"/>
            </w:pPr>
            <w:r>
              <w:rPr>
                <w:rFonts w:ascii="楷体" w:hAnsi="楷体" w:eastAsia="楷体" w:cs="楷体"/>
                <w:b w:val="0"/>
                <w:i w:val="0"/>
                <w:strike w:val="0"/>
                <w:color w:val="auto"/>
                <w:position w:val="-1"/>
                <w:sz w:val="22"/>
                <w:u w:val="none"/>
              </w:rPr>
              <w:t>0.24%</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w:t>
      </w:r>
      <w:r>
        <w:rPr>
          <w:rFonts w:hint="eastAsia" w:ascii="楷体" w:hAnsi="楷体" w:cs="楷体"/>
          <w:b w:val="0"/>
          <w:sz w:val="21"/>
          <w:lang w:eastAsia="zh-CN"/>
        </w:rPr>
        <w:t>五</w:t>
      </w:r>
      <w:r>
        <w:rPr>
          <w:rFonts w:hint="eastAsia" w:ascii="楷体" w:hAnsi="楷体" w:cs="楷体"/>
          <w:b w:val="0"/>
          <w:sz w:val="21"/>
        </w:rPr>
        <w:t>）关联交易情况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00"/>
        <w:gridCol w:w="2191"/>
      </w:tblGrid>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0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50"/>
        <w:gridCol w:w="1455"/>
        <w:gridCol w:w="1425"/>
        <w:gridCol w:w="2115"/>
        <w:gridCol w:w="2176"/>
      </w:tblGrid>
      <w:tr>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5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5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15"/>
        <w:gridCol w:w="3540"/>
        <w:gridCol w:w="3166"/>
      </w:tblGrid>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316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1,022,540,352.50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1,042,162.30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444,640.49</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1,043,000,000.00</w:t>
            </w:r>
          </w:p>
        </w:tc>
      </w:tr>
      <w:tr>
        <w:tblPrEx>
          <w:tblCellMar>
            <w:top w:w="0" w:type="dxa"/>
            <w:left w:w="108" w:type="dxa"/>
            <w:bottom w:w="0" w:type="dxa"/>
            <w:right w:w="108" w:type="dxa"/>
          </w:tblCellMar>
        </w:tblPrEx>
        <w:trPr>
          <w:trHeight w:val="283" w:hRule="atLeast"/>
        </w:trPr>
        <w:tc>
          <w:tcPr>
            <w:tcW w:w="191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316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27,500,000.00</w:t>
            </w:r>
          </w:p>
        </w:tc>
      </w:tr>
    </w:tbl>
    <w:p>
      <w:pPr>
        <w:pStyle w:val="14"/>
        <w:rPr>
          <w:rFonts w:hint="eastAsia"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hint="eastAsia" w:ascii="楷体" w:hAnsi="楷体" w:cs="楷体"/>
          <w:sz w:val="21"/>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六</w:t>
      </w:r>
      <w:r>
        <w:rPr>
          <w:rFonts w:hint="eastAsia" w:ascii="楷体" w:hAnsi="楷体" w:eastAsia="楷体" w:cs="楷体"/>
          <w:sz w:val="22"/>
          <w:szCs w:val="24"/>
        </w:rPr>
        <w:t>）自有资金投资情况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w:t>
      </w:r>
      <w:r>
        <w:rPr>
          <w:rFonts w:hint="eastAsia" w:ascii="楷体" w:hAnsi="楷体" w:eastAsia="楷体" w:cs="楷体"/>
          <w:sz w:val="22"/>
          <w:szCs w:val="24"/>
          <w:lang w:eastAsia="zh-CN"/>
        </w:rPr>
        <w:t>七</w:t>
      </w:r>
      <w:r>
        <w:rPr>
          <w:rFonts w:hint="eastAsia" w:ascii="楷体" w:hAnsi="楷体" w:eastAsia="楷体" w:cs="楷体"/>
          <w:sz w:val="22"/>
          <w:szCs w:val="24"/>
        </w:rPr>
        <w:t>）理财产品份额变动情况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8,598,920,059.31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9,928,503,811.39</w:t>
            </w:r>
          </w:p>
        </w:tc>
      </w:tr>
    </w:tbl>
    <w:p>
      <w:pPr>
        <w:pStyle w:val="2"/>
        <w:ind w:left="0" w:leftChars="0" w:firstLine="0" w:firstLineChars="0"/>
        <w:rPr>
          <w:rFonts w:ascii="楷体" w:hAnsi="楷体" w:cs="楷体"/>
        </w:rPr>
      </w:pPr>
    </w:p>
    <w:p>
      <w:pPr>
        <w:pStyle w:val="2"/>
        <w:rPr>
          <w:rFonts w:ascii="楷体" w:hAnsi="楷体" w:cs="楷体"/>
        </w:rPr>
      </w:pPr>
      <w:r>
        <w:rPr>
          <w:rFonts w:hint="eastAsia" w:ascii="楷体" w:hAnsi="楷体" w:cs="楷体"/>
        </w:rPr>
        <w:t>四</w:t>
      </w:r>
      <w:r>
        <w:rPr>
          <w:rFonts w:hint="eastAsia" w:ascii="楷体" w:hAnsi="楷体" w:cs="楷体"/>
          <w:lang w:eastAsia="zh-CN"/>
        </w:rPr>
        <w:t>、</w:t>
      </w:r>
      <w:r>
        <w:rPr>
          <w:rFonts w:hint="eastAsia" w:ascii="楷体" w:hAnsi="楷体" w:cs="楷体"/>
        </w:rPr>
        <w:t>投资运作情况</w:t>
      </w:r>
    </w:p>
    <w:p>
      <w:pPr>
        <w:pStyle w:val="2"/>
        <w:rPr>
          <w:rFonts w:ascii="楷体" w:hAnsi="楷体" w:cs="楷体"/>
          <w:b w:val="0"/>
          <w:sz w:val="21"/>
        </w:rPr>
      </w:pPr>
      <w:r>
        <w:rPr>
          <w:rFonts w:hint="eastAsia" w:ascii="楷体" w:hAnsi="楷体" w:cs="楷体"/>
          <w:b w:val="0"/>
          <w:sz w:val="21"/>
        </w:rPr>
        <w:t>1、运作期回顾</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2025年上半年，在党中央的坚强领导下，面对外部冲击明显加大，国内经济顶住压力平稳增长，各地区各部门深入贯彻党中央、国务院的决策部署，坚持稳中求进，宏观稳经济政策协同发力，国民经济稳中向好。</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从经济基本面看，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债券市场方面，一季度债市收益率明显上行。年初至春节，债市收益率呈现先下后上的态势，年初部分踏空资金入场，随后央行暂停国债买入等操作使得市场情绪转向谨慎，同时央行利用月中MLF到期、税期、春节前取现需求增加资金缺口放大的窗口引导资金收紧，短端出现明显调整压力，10年期收益率明显上行；春节后至3月中旬，同业存款外流影响持续，同时Deepseek、人形机器人等概念在春节后形成主题热点，叠加两会定调偏积极，权益市场迎来上涨行情，收益率调整由短及长并触发赎回潮，10年期国债上行27BP至1.90%；3月中旬至3月底，税期、季末央行公开市场投放偏积极，资金价格边际持稳，MLF转为净投放，宽货币预期叠加权益市场动能转弱，10年期国债收益率下行8BP至1.81%。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w:t>
      </w:r>
    </w:p>
    <w:p>
      <w:pPr>
        <w:ind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针对产品流动性充裕特质，产品通过季末较大幅度提高高价存款和回购配置比例，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ind w:firstLine="420" w:firstLineChars="200"/>
        <w:rPr>
          <w:rFonts w:hint="eastAsia" w:ascii="楷体" w:hAnsi="楷体" w:eastAsia="楷体" w:cs="楷体"/>
          <w:sz w:val="21"/>
          <w:szCs w:val="21"/>
        </w:rPr>
      </w:pPr>
    </w:p>
    <w:p>
      <w:pPr>
        <w:pStyle w:val="2"/>
        <w:rPr>
          <w:rFonts w:ascii="楷体" w:hAnsi="楷体" w:cs="楷体"/>
          <w:b w:val="0"/>
          <w:sz w:val="21"/>
        </w:rPr>
      </w:pPr>
      <w:r>
        <w:rPr>
          <w:rFonts w:hint="eastAsia" w:ascii="楷体" w:hAnsi="楷体" w:cs="楷体"/>
          <w:b w:val="0"/>
          <w:sz w:val="21"/>
        </w:rPr>
        <w:t>2、后市展望及下阶段投资策略</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ind w:firstLine="420" w:firstLineChars="200"/>
        <w:rPr>
          <w:rFonts w:hint="eastAsia" w:ascii="楷体" w:hAnsi="楷体" w:eastAsia="楷体" w:cs="楷体"/>
          <w:sz w:val="21"/>
          <w:szCs w:val="21"/>
          <w:lang w:eastAsia="zh-CN"/>
        </w:rPr>
      </w:pPr>
    </w:p>
    <w:p>
      <w:pPr>
        <w:pStyle w:val="2"/>
        <w:rPr>
          <w:rFonts w:ascii="楷体" w:hAnsi="楷体" w:cs="楷体"/>
          <w:b w:val="0"/>
          <w:sz w:val="21"/>
        </w:rPr>
      </w:pPr>
      <w:r>
        <w:rPr>
          <w:rFonts w:hint="eastAsia" w:ascii="楷体" w:hAnsi="楷体" w:cs="楷体"/>
          <w:b w:val="0"/>
          <w:sz w:val="21"/>
        </w:rPr>
        <w:t>3、流动性风险分析</w:t>
      </w:r>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2025年上半年，市场流动性整体宽松，本产品在投资高流动性的利率债和AAA存单以外，动态调整产品杠杆率，充分做好资金准备，平稳度过各关键时点，充分满足了产品的流动性需求，保障了投资者的赎回需求。</w:t>
      </w:r>
      <w:bookmarkStart w:id="1" w:name="_GoBack"/>
      <w:bookmarkEnd w:id="1"/>
    </w:p>
    <w:p>
      <w:pPr>
        <w:pStyle w:val="4"/>
        <w:spacing w:before="0" w:line="240" w:lineRule="auto"/>
        <w:ind w:left="0" w:right="0" w:firstLine="420" w:firstLineChars="200"/>
        <w:rPr>
          <w:rFonts w:hint="eastAsia" w:ascii="楷体" w:hAnsi="楷体" w:eastAsia="楷体" w:cs="楷体"/>
          <w:b w:val="0"/>
          <w:bCs/>
          <w:kern w:val="0"/>
          <w:sz w:val="21"/>
          <w:szCs w:val="21"/>
          <w:lang w:val="en-US" w:eastAsia="zh-CN" w:bidi="ar-SA"/>
        </w:rPr>
      </w:pPr>
      <w:r>
        <w:rPr>
          <w:rFonts w:hint="eastAsia" w:ascii="楷体" w:hAnsi="楷体" w:eastAsia="楷体" w:cs="楷体"/>
          <w:b w:val="0"/>
          <w:bCs/>
          <w:kern w:val="0"/>
          <w:sz w:val="21"/>
          <w:szCs w:val="21"/>
          <w:lang w:val="en-US" w:eastAsia="zh-CN" w:bidi="ar-SA"/>
        </w:rPr>
        <w:t>展望后市，本产品将继续重点投资信用等级较高、流动性较好的各类标的，做好资金安排和流动性预判，充分满足产品流动性需求。</w:t>
      </w:r>
    </w:p>
    <w:p>
      <w:pPr>
        <w:pStyle w:val="4"/>
        <w:spacing w:before="0" w:line="240" w:lineRule="auto"/>
        <w:ind w:left="0" w:right="0" w:firstLine="0" w:firstLineChars="0"/>
        <w:rPr>
          <w:rFonts w:ascii="楷体" w:hAnsi="楷体" w:eastAsia="楷体" w:cs="楷体"/>
          <w:sz w:val="21"/>
        </w:rPr>
      </w:pPr>
    </w:p>
    <w:p>
      <w:pPr>
        <w:pStyle w:val="2"/>
        <w:rPr>
          <w:rFonts w:hint="eastAsia" w:ascii="楷体" w:hAnsi="楷体" w:cs="楷体"/>
        </w:rPr>
      </w:pPr>
      <w:r>
        <w:rPr>
          <w:rFonts w:hint="eastAsia" w:ascii="楷体" w:hAnsi="楷体" w:cs="楷体"/>
        </w:rPr>
        <w:t>五</w:t>
      </w:r>
      <w:r>
        <w:rPr>
          <w:rFonts w:hint="eastAsia" w:ascii="楷体" w:hAnsi="楷体" w:cs="楷体"/>
          <w:lang w:eastAsia="zh-CN"/>
        </w:rPr>
        <w:t>、</w:t>
      </w:r>
      <w:r>
        <w:rPr>
          <w:rFonts w:hint="eastAsia" w:ascii="楷体" w:hAnsi="楷体" w:cs="楷体"/>
        </w:rPr>
        <w:t>托管人报告</w:t>
      </w:r>
    </w:p>
    <w:p>
      <w:pPr>
        <w:pStyle w:val="2"/>
        <w:ind w:firstLine="420" w:firstLineChars="200"/>
        <w:rPr>
          <w:rFonts w:hint="eastAsia" w:ascii="楷体" w:hAnsi="楷体" w:cs="楷体"/>
          <w:b w:val="0"/>
          <w:sz w:val="21"/>
        </w:rPr>
      </w:pPr>
      <w:r>
        <w:rPr>
          <w:rFonts w:hint="eastAsia" w:ascii="楷体" w:hAnsi="楷体" w:cs="楷体"/>
          <w:b w:val="0"/>
          <w:sz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ind w:firstLine="560" w:firstLineChars="200"/>
        <w:rPr>
          <w:rFonts w:ascii="楷体" w:hAnsi="楷体" w:eastAsia="楷体" w:cs="楷体"/>
          <w:bCs/>
          <w:kern w:val="0"/>
          <w:szCs w:val="21"/>
        </w:rPr>
      </w:pPr>
    </w:p>
    <w:p>
      <w:pPr>
        <w:rPr>
          <w:rFonts w:ascii="楷体" w:hAnsi="楷体" w:eastAsia="楷体" w:cs="楷体"/>
        </w:rPr>
      </w:pPr>
    </w:p>
    <w:p>
      <w:pPr>
        <w:ind w:firstLine="560" w:firstLineChars="200"/>
        <w:rPr>
          <w:rFonts w:ascii="楷体" w:hAnsi="楷体" w:eastAsia="楷体" w:cs="楷体"/>
          <w:bCs/>
          <w:kern w:val="0"/>
          <w:szCs w:val="21"/>
        </w:rPr>
      </w:pPr>
    </w:p>
    <w:p>
      <w:pPr>
        <w:rPr>
          <w:rFonts w:ascii="楷体" w:hAnsi="楷体" w:eastAsia="楷体" w:cs="楷体"/>
          <w:sz w:val="15"/>
          <w:szCs w:val="15"/>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decimal"/>
      <w:suff w:val="nothing"/>
      <w:lvlText w:val="%1）"/>
      <w:lvlJc w:val="left"/>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3EC79ED"/>
    <w:rsid w:val="5FF152EE"/>
    <w:rsid w:val="641100B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1</TotalTime>
  <ScaleCrop>false</ScaleCrop>
  <LinksUpToDate>false</LinksUpToDate>
  <CharactersWithSpaces>2985</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2025-07-22T07:56:16Z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6fc92b-254b-46cd-881b-6d728ee1d9e2}">
  <ds:schemaRefs/>
</ds:datastoreItem>
</file>

<file path=customXml/itemProps3.xml><?xml version="1.0" encoding="utf-8"?>
<ds:datastoreItem xmlns:ds="http://schemas.openxmlformats.org/officeDocument/2006/customXml" ds:itemID="{cd877e19-2879-4d0a-9d96-655f602f6e4a}">
  <ds:schemaRefs/>
</ds:datastoreItem>
</file>

<file path=customXml/itemProps4.xml><?xml version="1.0" encoding="utf-8"?>
<ds:datastoreItem xmlns:ds="http://schemas.openxmlformats.org/officeDocument/2006/customXml" ds:itemID="{69532826-dfa9-4035-bfa9-5f63cf000f3f}">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2025-08-26T06:45:51Z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ED618CDD60C641C9A945808E82082200</vt:lpwstr>
  </property>
</Properties>
</file>