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苏银理财恒源日申半年持有1号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2025年半年度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苏银理财恒源日申半年持有1号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2018年08月15日</w:t>
      </w:r>
      <w:r>
        <w:rPr>
          <w:rFonts w:hint="eastAsia" w:ascii="楷体" w:hAnsi="楷体" w:eastAsia="楷体" w:cs="楷体"/>
        </w:rPr>
        <w:t>成立，于</w:t>
      </w:r>
      <w:r>
        <w:rPr>
          <w:rFonts w:hint="eastAsia" w:ascii="楷体" w:hAnsi="楷体" w:eastAsia="楷体" w:cs="楷体"/>
          <w:spacing w:val="-7"/>
        </w:rPr>
        <w:t>2018年08月15日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苏银理财恒源日申半年持有1号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22,354,066,410.74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25,498,199,701.62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31000188000310186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27,006,976,646.87</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105.92%</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苏银理财恒源日申半年持有1号Q</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1.140027</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1.140027</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2.15%-3.75%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苏银理财恒源日申半年持有1号（代发专享）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1.140155</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1.140155</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苏银理财恒源日申半年持有1号Z</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1.140573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1.140573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1.148192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1.148192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1.132718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1.132718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2.00%-3.60%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1.137537</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1.137537</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1.135721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1.135721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2.05%-3.65%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1.139571</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1.139571</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2.10%-3.70%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苏银理财恒源日申半年持有1号E</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1.140019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1.140019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苏银理财恒源日申半年持有1号D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1.138158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1.138158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2.15%-3.75%</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77.46%</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9.95%</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87.41%</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12.59%</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2,517,889,549.15</w:t>
            </w:r>
          </w:p>
        </w:tc>
        <w:tc>
          <w:tcPr>
            <w:tcW w:w="1800" w:type="dxa"/>
          </w:tcPr>
          <w:p>
            <w:pPr>
              <w:jc w:val="center"/>
              <w:rPr>
                <w:rFonts w:hint="eastAsia" w:ascii="楷体" w:hAnsi="楷体" w:eastAsia="楷体" w:cs="楷体"/>
                <w:sz w:val="22"/>
              </w:rPr>
            </w:pPr>
            <w:r>
              <w:rPr>
                <w:rFonts w:hint="eastAsia" w:ascii="楷体" w:hAnsi="楷体" w:eastAsia="楷体" w:cs="楷体"/>
                <w:sz w:val="22"/>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24安徽39</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592,139,397.25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24陕西20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448,984,382.18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429,338,688.11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25交通银行CD100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395,019,647.12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354,052,634.80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南方上证基准做市公司债ETF</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公募基金</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312,382,616.00</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25中信银行CD110</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296,268,084.66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25建设银行CD245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295,636,926.99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24山西25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241,352,705.47</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0.89%</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江苏银行股份有限公司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102582451.IB</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25钟楼新城MTN001</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50,000,000.00</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ZZGL202504091186</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江苏信托安源2号集合资金信托计划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199,874,607.00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200,000,000.00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ZZGL202504091187</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江苏信托安源3号集合资金信托计划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247,794,108.00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250,000,000.00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299,367,727.00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NETA20201230000002</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江苏信托鼎泰1号集合资金信托计划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1,965,112,722.00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2,400,000,000.00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ZZGL202505211221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华泰银泰精选16号集合资产管理计划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ZZGL202506091241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华泰银泰精选17号集合资产管理计划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5,000,000.00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回购</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东吴证券股份有限公司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383,300,000.00</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308,811,092.27</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8,125,534.35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2,072,368.07</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22,354,066,410.74</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16,911,946,583.21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w:t>
      </w:r>
      <w:r>
        <w:rPr>
          <w:rFonts w:hint="eastAsia" w:ascii="楷体" w:hAnsi="楷体" w:cs="楷体"/>
          <w:lang w:eastAsia="zh-CN"/>
        </w:rPr>
        <w:t>、</w:t>
      </w:r>
      <w:r>
        <w:rPr>
          <w:rFonts w:hint="eastAsia" w:ascii="楷体" w:hAnsi="楷体" w:eastAsia="楷体" w:cs="楷体"/>
        </w:rPr>
        <w:t>投资运作情况</w:t>
      </w:r>
    </w:p>
    <w:p>
      <w:pPr>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1、运作期回顾</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2025年上半年在货币政策节奏变化、流动性松紧转换以及海外事件驱动等多因素作用下，债市告别单边牛市，进入高波动震荡市。（1）1月初-3月底：稳汇率与防风险诉求上升，市场主线为资金面收紧与风险偏好抬升。年初稳汇率与防风险诉求下资金面持续紧张，长债与资金脱敏、表现具有韧性。春节后非银存款流失与信贷“开门红”影响下，银行负债端压力仍大，存单利率至2.0%上方；央行持续净回笼，资金面仍维持紧平衡。二手房销量走强、Deepseek科技出现突破、民营企业座谈会召开等事件使得宏观叙事的积极转变，风险偏好显著提升，叠加资金紧张情绪由短及长传递，长端利率快速上行。3月中下旬，随着赎回担忧证伪、资金面边际稳定，债市震荡修复。（2）4月初-5月底：关税预期反复、货币政策落地，收益率快速下行后震荡回调。4月初受特朗普对等关税政策影响，宽货币预期再起，债牛快速重启，后续海外关税态度反复，超长期特别国债首发叠加政治局会议落地，债市维持震荡、博弈加剧，月末在换券行情和PMI数据带动下，债市再迎上涨。5月上旬货币政策落地带动资金价格下台阶，随后债市围绕关税谈判情况、基本面数据小幅震荡，下旬存款利率调降带来存款搬家预期、银行卖老券兑现利润预期等机构行为带动债市整体回调。（3）6月：利好因素累积增多，收益率再度下行但破前低仍需等待货币政策的新增利多。进入6月，大行持续买短债，央行买断式逆回购有力呵护，叠加基本面数据表现偏弱、地缘政治冲突加剧，债市利好因素累积增多，收益率基本处于下行通道，但止盈情绪升温制约债市进一步上涨空间，市场博弈利差挖掘行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在本报告期内，本产品以固收类资产为主，重点配置了流动性好、信用等级高的利率债、中高等级信用债，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p>
    <w:p>
      <w:pPr>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2、后市展望及下阶段投资策略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展望2025年下半年，预计宏观经济将继续保持韧性，但内部需求修复可能弱于预期，增长动能面临挑战。上半年消费整体延续改善趋势，但新动能对经济的贡献虽高，与内需紧密相关的上游工业生产仍然偏弱。在此背景下，宏观政策预计将继续以“稳”为主，下半年降准降息等总量宽松政策仍有较大可能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对于债券市场，在资本市场风险偏好维持高位的背景下，债市可能延续区间震荡格局。但考虑到内部基本面数据变化，若后续风险偏好发生反转，债市或将迎来修复机会。市场的波动性或将增加，投资机会将更多地体现在对政策和经济数据变化的精准把握上。信用债方面，信用分化格局预计将延续，挖掘优质信用主体的“阿尔法”收益将成为获取超额回报的关键。</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p>
    <w:p>
      <w:pPr>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3、流动性风险分析</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Times New Roman"/>
          <w:b w:val="0"/>
          <w:bCs/>
          <w:kern w:val="0"/>
          <w:sz w:val="21"/>
          <w:szCs w:val="21"/>
          <w:lang w:val="en-US" w:eastAsia="zh-CN" w:bidi="ar-SA"/>
        </w:rPr>
      </w:pPr>
      <w:r>
        <w:rPr>
          <w:rFonts w:hint="eastAsia" w:ascii="楷体" w:hAnsi="楷体" w:eastAsia="楷体" w:cs="Times New Roman"/>
          <w:b w:val="0"/>
          <w:bCs/>
          <w:kern w:val="0"/>
          <w:sz w:val="21"/>
          <w:szCs w:val="21"/>
          <w:lang w:val="en-US" w:eastAsia="zh-CN" w:bidi="ar-SA"/>
        </w:rPr>
        <w:t>本产品管理人始终将流动性风险管理置于投资管理工作的核心位置。报告期内，产品从资产配置、风险监控和压力测试等多个维度，对产品的流动性风险进行了严格管控。</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 w:hAnsi="楷体" w:eastAsia="楷体" w:cs="楷体"/>
          <w:spacing w:val="9"/>
          <w:sz w:val="21"/>
        </w:rPr>
      </w:pPr>
      <w:r>
        <w:rPr>
          <w:rFonts w:hint="eastAsia" w:ascii="楷体" w:hAnsi="楷体" w:eastAsia="楷体" w:cs="Times New Roman"/>
          <w:b w:val="0"/>
          <w:bCs/>
          <w:kern w:val="0"/>
          <w:sz w:val="21"/>
          <w:szCs w:val="21"/>
          <w:lang w:val="en-US" w:eastAsia="zh-CN" w:bidi="ar-SA"/>
        </w:rPr>
        <w:t>截至本报告期末，本产品的高流动性资产占比充足，现金流稳定，各项流动性指标均处于健康、安全的水平。本产品当前的流动性风险整体可控，具备充分的能力应对潜在的赎回需求，保障产品的平稳运行。</w:t>
      </w:r>
      <w:bookmarkStart w:id="1" w:name="_GoBack"/>
      <w:bookmarkEnd w:id="1"/>
    </w:p>
    <w:p>
      <w:pPr>
        <w:pStyle w:val="4"/>
        <w:spacing w:before="0" w:line="240" w:lineRule="auto"/>
        <w:ind w:left="0" w:right="0" w:firstLine="0" w:firstLineChars="0"/>
        <w:rPr>
          <w:rFonts w:hint="eastAsia" w:ascii="楷体" w:hAnsi="楷体" w:eastAsia="楷体" w:cs="楷体"/>
          <w:spacing w:val="9"/>
          <w:sz w:val="21"/>
        </w:rPr>
      </w:pPr>
    </w:p>
    <w:p>
      <w:pPr>
        <w:pStyle w:val="2"/>
        <w:rPr>
          <w:rFonts w:ascii="楷体" w:hAnsi="楷体"/>
          <w:sz w:val="24"/>
          <w:szCs w:val="24"/>
        </w:rPr>
      </w:pPr>
      <w:r>
        <w:rPr>
          <w:rFonts w:hint="eastAsia" w:ascii="楷体" w:hAnsi="楷体"/>
          <w:sz w:val="24"/>
          <w:szCs w:val="24"/>
        </w:rPr>
        <w:t>五</w:t>
      </w:r>
      <w:r>
        <w:rPr>
          <w:rFonts w:hint="eastAsia" w:ascii="楷体" w:hAnsi="楷体"/>
          <w:sz w:val="24"/>
          <w:szCs w:val="24"/>
          <w:lang w:eastAsia="zh-CN"/>
        </w:rPr>
        <w:t>、</w:t>
      </w:r>
      <w:r>
        <w:rPr>
          <w:rFonts w:hint="eastAsia" w:ascii="楷体" w:hAnsi="楷体"/>
          <w:sz w:val="24"/>
          <w:szCs w:val="24"/>
        </w:rPr>
        <w:t>托管人报告</w:t>
      </w:r>
    </w:p>
    <w:p>
      <w:pPr>
        <w:ind w:firstLine="420" w:firstLineChars="200"/>
        <w:rPr>
          <w:rFonts w:hint="eastAsia" w:ascii="楷体" w:hAnsi="楷体" w:eastAsia="楷体" w:cs="楷体"/>
          <w:spacing w:val="9"/>
          <w:sz w:val="21"/>
          <w:szCs w:val="21"/>
        </w:rPr>
      </w:pPr>
      <w:r>
        <w:rPr>
          <w:rFonts w:hint="eastAsia" w:ascii="楷体" w:hAnsi="楷体" w:eastAsia="楷体"/>
          <w:bCs/>
          <w:kern w:val="0"/>
          <w:sz w:val="21"/>
          <w:szCs w:val="21"/>
        </w:rPr>
        <w:t>在本报告期内，托管人严格遵守有关法律法规、托管协议关于托管人职责的约定，尽职尽责地履行了托管职责。在管理人提供的各项数据和信息真实、准确、有效的前提下，在托管人能够知悉和掌握的情况范围内，托管人对财务数据进行了复核，未发现存在虚假记载、误导性陈述或者重大遗漏的情形。</w:t>
      </w: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3"/>
      <w:numFmt w:val="decimal"/>
      <w:suff w:val="nothing"/>
      <w:lvlText w:val="%1）"/>
      <w:lvlJc w:val="left"/>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51561EB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Office_10.8.2.7119_F1E327BC-269C-435d-A152-05C5408002CA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2025-08-01T01:50:06Z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049f8-145c-4b72-96e1-13f744a9406e}">
  <ds:schemaRefs/>
</ds:datastoreItem>
</file>

<file path=customXml/itemProps3.xml><?xml version="1.0" encoding="utf-8"?>
<ds:datastoreItem xmlns:ds="http://schemas.openxmlformats.org/officeDocument/2006/customXml" ds:itemID="{bb1ce346-819d-44d6-adb9-885799b617a0}">
  <ds:schemaRefs/>
</ds:datastoreItem>
</file>

<file path=customXml/itemProps4.xml><?xml version="1.0" encoding="utf-8"?>
<ds:datastoreItem xmlns:ds="http://schemas.openxmlformats.org/officeDocument/2006/customXml" ds:itemID="{c8dfdf38-0b97-4836-b5f3-2be27b6257c2}">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0</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2025-08-25T06:22:11Z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6EF42240F4B4499E9D90EBEA53634FE0</vt:lpwstr>
  </property>
</Properties>
</file>