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苏银理财恒源日申月持1号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苏银理财恒源日申月持1号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2021年07月30日</w:t>
      </w:r>
      <w:r>
        <w:rPr>
          <w:rFonts w:hint="eastAsia" w:ascii="楷体" w:hAnsi="楷体" w:eastAsia="楷体" w:cs="楷体"/>
        </w:rPr>
        <w:t>成立，于</w:t>
      </w:r>
      <w:r>
        <w:rPr>
          <w:rFonts w:hint="eastAsia" w:ascii="楷体" w:hAnsi="楷体" w:eastAsia="楷体" w:cs="楷体"/>
          <w:spacing w:val="-7"/>
        </w:rPr>
        <w:t>2021年07月30日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苏银理财恒源日申月持1号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7,656,053,172.09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8,687,620,959.09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31000188000436380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9,392,555,736.23</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108.11%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苏银理财恒源日申月持1号Q滚续</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1.136822</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1.136822</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苏银理财恒源日申月持1号（北部湾银行专属）</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1.135147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1.135147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苏银理财恒源日申月持1号E滚续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1.135743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1.135743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苏银理财恒源日申月持1号（代发专享）滚续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1.135547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1.135547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苏银理财恒源日申月持1号Z滚续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1.134738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1.134738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苏银理财恒源日申月持1号（芙蓉锦程·优选）</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1.135654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1.135654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苏银理财恒源日申月持1号A滚续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1.137486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1.137486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1.129323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1.129323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苏银理财恒源日申月持1号B滚续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1.132178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1.132178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苏银理财恒源日申月持1号C滚续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1.134907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1.134907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苏银理财恒源日申月持1号D滚续</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1.135288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1.135288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1.135133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1.135133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1.129606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1.129606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1.131649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1.131649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1.13423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1.13423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苏银理财恒源日申月持1号D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1.134827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1.134827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2.15%-3.05%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71.67%</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26.02%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2.31%</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73.98%</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26.02%</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878,939,516.69</w:t>
            </w:r>
          </w:p>
        </w:tc>
        <w:tc>
          <w:tcPr>
            <w:tcW w:w="1800" w:type="dxa"/>
          </w:tcPr>
          <w:p>
            <w:pPr>
              <w:jc w:val="center"/>
              <w:rPr>
                <w:rFonts w:hint="eastAsia" w:ascii="楷体" w:hAnsi="楷体" w:eastAsia="楷体" w:cs="楷体"/>
                <w:sz w:val="22"/>
              </w:rPr>
            </w:pPr>
            <w:r>
              <w:rPr>
                <w:rFonts w:hint="eastAsia" w:ascii="楷体" w:hAnsi="楷体" w:eastAsia="楷体" w:cs="楷体"/>
                <w:sz w:val="22"/>
              </w:rPr>
              <w:t>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25建设银行CD226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295,641,170.14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23富湾02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211,482,794.52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24南京银行CD261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198,662,452.05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25交通银行CD005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198,322,659.18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25浦发银行CD104</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197,455,226.30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24运和01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153,372,945.21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24金海02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153,035,671.23</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24连农02</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117,835,398.08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24启国01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103,727,167.41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1.07%</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899,078,069.00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900,000,000.00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736,564,428.00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215,500,000.00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4,660,995.16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1,164,271.66</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苏银理财有限责任公司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164,602,065.54</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182,100,000.00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51,609,194.97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23,200,000.00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7,656,053,172.09</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7,903,196,469.49</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w:t>
      </w:r>
      <w:r>
        <w:rPr>
          <w:rFonts w:hint="eastAsia" w:ascii="楷体" w:hAnsi="楷体" w:cs="楷体"/>
          <w:lang w:eastAsia="zh-CN"/>
        </w:rPr>
        <w:t>、</w:t>
      </w:r>
      <w:r>
        <w:rPr>
          <w:rFonts w:hint="eastAsia" w:ascii="楷体" w:hAnsi="楷体" w:eastAsia="楷体" w:cs="楷体"/>
        </w:rPr>
        <w:t>投资运作情况</w:t>
      </w:r>
    </w:p>
    <w:p>
      <w:pPr>
        <w:rPr>
          <w:rFonts w:hint="eastAsia" w:ascii="楷体" w:hAnsi="楷体" w:eastAsia="楷体"/>
          <w:bCs/>
          <w:kern w:val="0"/>
          <w:sz w:val="21"/>
          <w:szCs w:val="21"/>
        </w:rPr>
      </w:pPr>
      <w:r>
        <w:rPr>
          <w:rFonts w:hint="eastAsia" w:ascii="楷体" w:hAnsi="楷体" w:eastAsia="楷体"/>
          <w:bCs/>
          <w:kern w:val="0"/>
          <w:sz w:val="21"/>
          <w:szCs w:val="21"/>
        </w:rPr>
        <w:t>1、运作期回顾</w:t>
      </w:r>
    </w:p>
    <w:p>
      <w:pPr>
        <w:ind w:firstLine="420" w:firstLineChars="200"/>
        <w:rPr>
          <w:rFonts w:hint="eastAsia" w:ascii="楷体" w:hAnsi="楷体" w:eastAsia="楷体"/>
          <w:bCs/>
          <w:kern w:val="0"/>
          <w:sz w:val="21"/>
          <w:szCs w:val="21"/>
          <w:lang w:val="en-US" w:eastAsia="zh-CN"/>
        </w:rPr>
      </w:pPr>
      <w:r>
        <w:rPr>
          <w:rFonts w:hint="eastAsia" w:ascii="楷体" w:hAnsi="楷体" w:eastAsia="楷体"/>
          <w:bCs/>
          <w:kern w:val="0"/>
          <w:sz w:val="21"/>
          <w:szCs w:val="21"/>
        </w:rPr>
        <w:t>2025年上半年债市呈高波动、重交易的特征，债券收益率曲线平坦化</w:t>
      </w:r>
      <w:r>
        <w:rPr>
          <w:rFonts w:hint="eastAsia" w:ascii="楷体" w:hAnsi="楷体" w:eastAsia="楷体"/>
          <w:bCs/>
          <w:kern w:val="0"/>
          <w:sz w:val="21"/>
          <w:szCs w:val="21"/>
          <w:lang w:eastAsia="zh-CN"/>
        </w:rPr>
        <w:t>。</w:t>
      </w:r>
      <w:r>
        <w:rPr>
          <w:rFonts w:hint="eastAsia" w:ascii="楷体" w:hAnsi="楷体" w:eastAsia="楷体"/>
          <w:bCs/>
          <w:kern w:val="0"/>
          <w:sz w:val="21"/>
          <w:szCs w:val="21"/>
        </w:rPr>
        <w:t>债市收益率先上后下。年初十年国债收益率围绕1.6%左右震荡。2月以来，央行流动性紧缩叠加股市快速上涨等因素，十年期国债收益率快速上升至1.88%左右。二季度在中美贸易摩擦和央行降准降息的背景下，国债收益率快速下行至1.65%左右，随后维持震荡态势直到季末</w:t>
      </w:r>
      <w:r>
        <w:rPr>
          <w:rFonts w:hint="eastAsia" w:ascii="楷体" w:hAnsi="楷体" w:eastAsia="楷体"/>
          <w:bCs/>
          <w:kern w:val="0"/>
          <w:sz w:val="21"/>
          <w:szCs w:val="21"/>
          <w:lang w:val="en-US" w:eastAsia="zh-CN"/>
        </w:rPr>
        <w:t>。</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日申月持坚持稳健的投资策略，通过对国内外宏观经济态势、利率走势、收益率曲线变化趋势和信用风险变化等因素进行综合分析，坚持以票息策略打底，有较多静态收益较高、波动较低的资产，同时通过择时交易进行增厚，为客户提供长期稳健收益。</w:t>
      </w:r>
    </w:p>
    <w:p>
      <w:pPr>
        <w:rPr>
          <w:rFonts w:hint="eastAsia" w:ascii="楷体" w:hAnsi="楷体" w:eastAsia="楷体"/>
          <w:bCs/>
          <w:kern w:val="0"/>
          <w:sz w:val="21"/>
          <w:szCs w:val="21"/>
        </w:rPr>
      </w:pPr>
      <w:bookmarkStart w:id="1" w:name="_GoBack"/>
      <w:bookmarkEnd w:id="1"/>
    </w:p>
    <w:p>
      <w:pPr>
        <w:rPr>
          <w:rFonts w:hint="eastAsia" w:ascii="楷体" w:hAnsi="楷体" w:eastAsia="楷体"/>
          <w:bCs/>
          <w:kern w:val="0"/>
          <w:sz w:val="21"/>
          <w:szCs w:val="21"/>
        </w:rPr>
      </w:pPr>
      <w:r>
        <w:rPr>
          <w:rFonts w:hint="eastAsia" w:ascii="楷体" w:hAnsi="楷体" w:eastAsia="楷体"/>
          <w:bCs/>
          <w:kern w:val="0"/>
          <w:sz w:val="21"/>
          <w:szCs w:val="21"/>
        </w:rPr>
        <w:t>2、后市展望及下阶段投资策略</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lang w:val="en-US" w:eastAsia="zh-CN"/>
        </w:rPr>
        <w:t>基本面来看，</w:t>
      </w:r>
      <w:r>
        <w:rPr>
          <w:rFonts w:hint="eastAsia" w:ascii="楷体" w:hAnsi="楷体" w:eastAsia="楷体"/>
          <w:bCs/>
          <w:kern w:val="0"/>
          <w:sz w:val="21"/>
          <w:szCs w:val="21"/>
        </w:rPr>
        <w:t>上半年我国经济顶住压力实现较高增长，GDP同比增速录得5.3%，其中一、二季度GDP分别增长5.4%、5.2%。上半年我国社零额累计实现5%的增长，较一季度增加1.5个百分点，且高于去年全年水平，消费整体仍延续改善的趋势。新动能持续形成高贡献，外需相关行业生产边际修复，但与内需挂钩的上游工业生产仍然偏弱。</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展望下</w:t>
      </w:r>
      <w:r>
        <w:rPr>
          <w:rFonts w:hint="eastAsia" w:ascii="楷体" w:hAnsi="楷体" w:eastAsia="楷体"/>
          <w:bCs/>
          <w:kern w:val="0"/>
          <w:sz w:val="21"/>
          <w:szCs w:val="21"/>
          <w:lang w:val="en-US" w:eastAsia="zh-CN"/>
        </w:rPr>
        <w:t>阶段</w:t>
      </w:r>
      <w:r>
        <w:rPr>
          <w:rFonts w:hint="eastAsia" w:ascii="楷体" w:hAnsi="楷体" w:eastAsia="楷体"/>
          <w:bCs/>
          <w:kern w:val="0"/>
          <w:sz w:val="21"/>
          <w:szCs w:val="21"/>
        </w:rPr>
        <w:t>，在面临宏观环境不确定性增强的大环境下，货币政策将保持适度宽松，利率大幅上行的风险相对较低。同时，也需要密切关注与跟踪海外的不确定性以及全球的地缘政治风险。</w:t>
      </w:r>
    </w:p>
    <w:p>
      <w:pPr>
        <w:ind w:firstLine="420" w:firstLineChars="200"/>
        <w:rPr>
          <w:rFonts w:hint="eastAsia" w:ascii="楷体" w:hAnsi="楷体" w:eastAsia="楷体"/>
          <w:bCs/>
          <w:kern w:val="0"/>
          <w:sz w:val="21"/>
          <w:szCs w:val="21"/>
        </w:rPr>
      </w:pPr>
    </w:p>
    <w:p>
      <w:pPr>
        <w:rPr>
          <w:rFonts w:hint="eastAsia" w:ascii="楷体" w:hAnsi="楷体" w:eastAsia="楷体"/>
          <w:bCs/>
          <w:kern w:val="0"/>
          <w:sz w:val="21"/>
          <w:szCs w:val="21"/>
        </w:rPr>
      </w:pPr>
      <w:r>
        <w:rPr>
          <w:rFonts w:hint="eastAsia" w:ascii="楷体" w:hAnsi="楷体" w:eastAsia="楷体"/>
          <w:bCs/>
          <w:kern w:val="0"/>
          <w:sz w:val="21"/>
          <w:szCs w:val="21"/>
          <w:lang w:val="en-US" w:eastAsia="zh-CN"/>
        </w:rPr>
        <w:t>3、</w:t>
      </w:r>
      <w:r>
        <w:rPr>
          <w:rFonts w:hint="eastAsia" w:ascii="楷体" w:hAnsi="楷体" w:eastAsia="楷体"/>
          <w:bCs/>
          <w:kern w:val="0"/>
          <w:sz w:val="21"/>
          <w:szCs w:val="21"/>
        </w:rPr>
        <w:t>流动性风险分析</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本产品在资产配置上以存款类资产以及优质标准化债权类资产为主，变现能力较强，并通过资产久期管理、流动性指标监控等多项措施，维持流动性处于合理充裕水平，确保本产品资产的变现能力与投资者赎回需求相匹配。</w:t>
      </w:r>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901155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Office_10.8.2.7119_F1E327BC-269C-435d-A152-05C5408002CA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2025-08-01T01:50:06Z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7017b5-47ad-4594-b4e4-dfd225a76874}">
  <ds:schemaRefs/>
</ds:datastoreItem>
</file>

<file path=customXml/itemProps3.xml><?xml version="1.0" encoding="utf-8"?>
<ds:datastoreItem xmlns:ds="http://schemas.openxmlformats.org/officeDocument/2006/customXml" ds:itemID="{db17fdb8-d0fa-4613-8515-7c27781fb5d2}">
  <ds:schemaRefs/>
</ds:datastoreItem>
</file>

<file path=customXml/itemProps4.xml><?xml version="1.0" encoding="utf-8"?>
<ds:datastoreItem xmlns:ds="http://schemas.openxmlformats.org/officeDocument/2006/customXml" ds:itemID="{2e30ccfb-2cf1-4146-80f7-dca3af5e958f}">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2025-08-25T06:34:36Z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C213255F725D40E781E197A9873ADE2D</vt:lpwstr>
  </property>
</Properties>
</file>