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苏银理财启源现金1号</w:t>
      </w:r>
      <w:r>
        <w:rPr>
          <w:rFonts w:hint="eastAsia" w:ascii="楷体" w:hAnsi="楷体" w:eastAsia="楷体" w:cs="楷体"/>
          <w:b/>
          <w:sz w:val="36"/>
          <w:szCs w:val="36"/>
        </w:rPr>
        <w:t>”理财产品</w:t>
      </w:r>
    </w:p>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ascii="楷体" w:hAnsi="楷体" w:eastAsia="楷体" w:cs="楷体"/>
        </w:rPr>
      </w:pPr>
      <w:r>
        <w:rPr>
          <w:rFonts w:hint="eastAsia" w:ascii="楷体" w:hAnsi="楷体" w:eastAsia="楷体" w:cs="楷体"/>
        </w:rPr>
        <w:t>“</w:t>
      </w:r>
      <w:r>
        <w:rPr>
          <w:rFonts w:hint="eastAsia" w:ascii="楷体" w:hAnsi="楷体" w:eastAsia="楷体" w:cs="楷体"/>
          <w:spacing w:val="-7"/>
        </w:rPr>
        <w:t>苏银理财启源现金1号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2018年08月30日</w:t>
      </w:r>
      <w:r>
        <w:rPr>
          <w:rFonts w:hint="eastAsia" w:ascii="楷体" w:hAnsi="楷体" w:eastAsia="楷体" w:cs="楷体"/>
        </w:rPr>
        <w:t>成立，于</w:t>
      </w:r>
      <w:r>
        <w:rPr>
          <w:rFonts w:hint="eastAsia" w:ascii="楷体" w:hAnsi="楷体" w:eastAsia="楷体" w:cs="楷体"/>
          <w:spacing w:val="-7"/>
        </w:rPr>
        <w:t>2018年08月30日</w:t>
      </w:r>
      <w:r>
        <w:rPr>
          <w:rFonts w:hint="eastAsia" w:ascii="楷体" w:hAnsi="楷体" w:eastAsia="楷体" w:cs="楷体"/>
        </w:rPr>
        <w:t>正式投资运作。</w:t>
      </w:r>
    </w:p>
    <w:p>
      <w:pPr>
        <w:pStyle w:val="8"/>
        <w:spacing w:before="0" w:beforeAutospacing="0" w:after="0" w:afterAutospacing="0" w:line="360" w:lineRule="auto"/>
        <w:rPr>
          <w:rFonts w:ascii="楷体" w:hAnsi="楷体" w:eastAsia="楷体" w:cs="楷体"/>
        </w:rPr>
      </w:pPr>
    </w:p>
    <w:p>
      <w:pPr>
        <w:pStyle w:val="2"/>
        <w:rPr>
          <w:rFonts w:ascii="楷体" w:hAnsi="楷体" w:cs="楷体"/>
        </w:rPr>
      </w:pPr>
      <w:r>
        <w:rPr>
          <w:rFonts w:hint="eastAsia" w:ascii="楷体" w:hAnsi="楷体" w:cs="楷体"/>
        </w:rPr>
        <w:t>一</w:t>
      </w:r>
      <w:bookmarkStart w:id="0" w:name="_Toc535504139"/>
      <w:r>
        <w:rPr>
          <w:rFonts w:hint="eastAsia" w:ascii="楷体" w:hAnsi="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sz w:val="24"/>
                <w:szCs w:val="24"/>
                <w:highlight w:val="yellow"/>
              </w:rPr>
            </w:pPr>
            <w:r>
              <w:rPr>
                <w:rFonts w:hint="eastAsia"/>
                <w:spacing w:val="-6"/>
                <w:sz w:val="24"/>
                <w:szCs w:val="24"/>
              </w:rPr>
              <w:t>苏银理财启源现金1号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sz w:val="24"/>
                <w:szCs w:val="24"/>
                <w:highlight w:val="yellow"/>
              </w:rPr>
            </w:pPr>
            <w:r>
              <w:rPr>
                <w:rFonts w:hint="eastAsia"/>
                <w:spacing w:val="-1"/>
                <w:sz w:val="24"/>
                <w:szCs w:val="24"/>
              </w:rPr>
              <w:t>Z7003121000014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sz w:val="24"/>
                <w:szCs w:val="24"/>
                <w:highlight w:val="yellow"/>
              </w:rPr>
            </w:pPr>
            <w:r>
              <w:rPr>
                <w:rFonts w:hint="eastAsia"/>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sz w:val="24"/>
                <w:szCs w:val="24"/>
                <w:highlight w:val="yellow"/>
              </w:rPr>
            </w:pPr>
            <w:r>
              <w:rPr>
                <w:rFonts w:hint="eastAsia"/>
                <w:spacing w:val="-1"/>
                <w:sz w:val="24"/>
                <w:szCs w:val="24"/>
              </w:rPr>
              <w:t>32,875,475,106.57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sz w:val="24"/>
                <w:szCs w:val="24"/>
                <w:highlight w:val="yellow"/>
              </w:rPr>
            </w:pPr>
            <w:r>
              <w:rPr>
                <w:rFonts w:hint="eastAsia"/>
                <w:spacing w:val="-1"/>
                <w:sz w:val="24"/>
                <w:szCs w:val="24"/>
              </w:rPr>
              <w:t>32,875,475,106.57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sz w:val="24"/>
                <w:szCs w:val="24"/>
                <w:highlight w:val="yellow"/>
              </w:rPr>
            </w:pPr>
            <w:r>
              <w:rPr>
                <w:rFonts w:hint="eastAsia"/>
                <w:spacing w:val="-8"/>
                <w:sz w:val="24"/>
                <w:szCs w:val="24"/>
              </w:rPr>
              <w:t>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sz w:val="24"/>
                <w:szCs w:val="24"/>
                <w:highlight w:val="yellow"/>
              </w:rPr>
            </w:pPr>
            <w:r>
              <w:rPr>
                <w:rFonts w:hint="eastAsia"/>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sz w:val="24"/>
                <w:szCs w:val="24"/>
                <w:highlight w:val="yellow"/>
              </w:rPr>
            </w:pPr>
            <w:r>
              <w:rPr>
                <w:rFonts w:hint="eastAsia"/>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sz w:val="24"/>
                <w:szCs w:val="24"/>
                <w:highlight w:val="yellow"/>
              </w:rPr>
            </w:pPr>
            <w:r>
              <w:rPr>
                <w:rFonts w:hint="eastAsia"/>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sz w:val="24"/>
                <w:szCs w:val="24"/>
                <w:highlight w:val="yellow"/>
              </w:rPr>
            </w:pPr>
            <w:r>
              <w:rPr>
                <w:rFonts w:hint="eastAsia"/>
                <w:spacing w:val="-1"/>
                <w:sz w:val="24"/>
                <w:szCs w:val="24"/>
              </w:rPr>
              <w:t>31000188000310268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sz w:val="24"/>
                <w:szCs w:val="24"/>
              </w:rPr>
            </w:pPr>
            <w:r>
              <w:rPr>
                <w:rFonts w:hint="eastAsia"/>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sz w:val="24"/>
                <w:szCs w:val="24"/>
              </w:rPr>
            </w:pPr>
            <w:r>
              <w:rPr>
                <w:rFonts w:hint="eastAsia"/>
                <w:spacing w:val="-1"/>
                <w:sz w:val="24"/>
                <w:szCs w:val="24"/>
              </w:rPr>
              <w:t>37,491,087,493.66</w:t>
            </w:r>
            <w:r>
              <w:rPr>
                <w:rFonts w:hint="eastAsia"/>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sz w:val="24"/>
                <w:szCs w:val="24"/>
              </w:rPr>
            </w:pPr>
            <w:r>
              <w:rPr>
                <w:rFonts w:hint="eastAsia"/>
                <w:spacing w:val="-4"/>
                <w:sz w:val="24"/>
                <w:szCs w:val="24"/>
              </w:rPr>
              <w:t>114.04%</w:t>
            </w:r>
          </w:p>
        </w:tc>
      </w:tr>
    </w:tbl>
    <w:p>
      <w:pPr>
        <w:pStyle w:val="14"/>
        <w:rPr>
          <w:rFonts w:ascii="楷体" w:hAnsi="楷体" w:cs="楷体"/>
        </w:rPr>
      </w:pPr>
    </w:p>
    <w:p>
      <w:pPr>
        <w:pStyle w:val="2"/>
        <w:rPr>
          <w:rFonts w:ascii="楷体" w:hAnsi="楷体" w:cs="楷体"/>
        </w:rPr>
      </w:pPr>
      <w:r>
        <w:rPr>
          <w:rFonts w:hint="eastAsia" w:ascii="楷体" w:hAnsi="楷体" w:cs="楷体"/>
        </w:rPr>
        <w:t>二、产品收益与业绩比较基准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085"/>
        <w:gridCol w:w="1500"/>
        <w:gridCol w:w="1665"/>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报告日期</w:t>
            </w:r>
          </w:p>
        </w:tc>
        <w:tc>
          <w:tcPr>
            <w:tcW w:w="2085"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销售名称</w:t>
            </w:r>
          </w:p>
        </w:tc>
        <w:tc>
          <w:tcPr>
            <w:tcW w:w="1500" w:type="dxa"/>
          </w:tcPr>
          <w:p>
            <w:pPr>
              <w:jc w:val="center"/>
              <w:rPr>
                <w:rFonts w:ascii="楷体" w:hAnsi="楷体" w:eastAsia="楷体" w:cs="楷体"/>
                <w:sz w:val="21"/>
                <w:szCs w:val="21"/>
              </w:rPr>
            </w:pPr>
            <w:r>
              <w:rPr>
                <w:rFonts w:hint="eastAsia" w:ascii="楷体" w:hAnsi="楷体" w:eastAsia="楷体" w:cs="楷体"/>
                <w:sz w:val="21"/>
                <w:szCs w:val="21"/>
              </w:rPr>
              <w:t>每万份收益</w:t>
            </w:r>
          </w:p>
        </w:tc>
        <w:tc>
          <w:tcPr>
            <w:tcW w:w="1665" w:type="dxa"/>
          </w:tcPr>
          <w:p>
            <w:pPr>
              <w:jc w:val="center"/>
              <w:rPr>
                <w:rFonts w:ascii="楷体" w:hAnsi="楷体" w:eastAsia="楷体" w:cs="楷体"/>
                <w:sz w:val="21"/>
                <w:szCs w:val="21"/>
              </w:rPr>
            </w:pPr>
            <w:r>
              <w:rPr>
                <w:rFonts w:hint="eastAsia" w:ascii="楷体" w:hAnsi="楷体" w:eastAsia="楷体" w:cs="楷体"/>
                <w:sz w:val="21"/>
                <w:szCs w:val="21"/>
              </w:rPr>
              <w:t>七日年化收益率</w:t>
            </w:r>
          </w:p>
        </w:tc>
        <w:tc>
          <w:tcPr>
            <w:tcW w:w="1861" w:type="dxa"/>
          </w:tcPr>
          <w:p>
            <w:pPr>
              <w:jc w:val="center"/>
              <w:rPr>
                <w:rFonts w:ascii="楷体" w:hAnsi="楷体" w:eastAsia="楷体" w:cs="楷体"/>
                <w:sz w:val="21"/>
                <w:szCs w:val="21"/>
              </w:rPr>
            </w:pPr>
            <w:r>
              <w:rPr>
                <w:rFonts w:hint="eastAsia" w:ascii="楷体" w:hAnsi="楷体" w:eastAsia="楷体" w:cs="楷体"/>
                <w:sz w:val="21"/>
                <w:szCs w:val="21"/>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ascii="楷体" w:hAnsi="楷体" w:eastAsia="楷体" w:cs="楷体"/>
                <w:sz w:val="22"/>
              </w:rPr>
            </w:pPr>
            <w:r>
              <w:rPr>
                <w:rFonts w:hint="eastAsia" w:ascii="楷体" w:hAnsi="楷体" w:eastAsia="楷体" w:cs="楷体"/>
                <w:sz w:val="22"/>
              </w:rPr>
              <w:t>2025-06-30</w:t>
            </w:r>
          </w:p>
        </w:tc>
        <w:tc>
          <w:tcPr>
            <w:tcW w:w="2085" w:type="dxa"/>
          </w:tcPr>
          <w:p>
            <w:pPr>
              <w:jc w:val="center"/>
              <w:rPr>
                <w:rFonts w:ascii="楷体" w:hAnsi="楷体" w:eastAsia="楷体" w:cs="楷体"/>
                <w:sz w:val="22"/>
              </w:rPr>
            </w:pPr>
            <w:r>
              <w:rPr>
                <w:rFonts w:hint="eastAsia" w:ascii="楷体" w:hAnsi="楷体" w:eastAsia="楷体" w:cs="楷体"/>
                <w:sz w:val="22"/>
              </w:rPr>
              <w:t>苏银理财启源现金1号DG3</w:t>
            </w:r>
          </w:p>
        </w:tc>
        <w:tc>
          <w:tcPr>
            <w:tcW w:w="1500" w:type="dxa"/>
          </w:tcPr>
          <w:p>
            <w:pPr>
              <w:jc w:val="center"/>
              <w:rPr>
                <w:rFonts w:ascii="楷体" w:hAnsi="楷体" w:eastAsia="楷体" w:cs="楷体"/>
                <w:sz w:val="22"/>
              </w:rPr>
            </w:pPr>
            <w:r>
              <w:rPr>
                <w:rFonts w:hint="eastAsia" w:ascii="楷体" w:hAnsi="楷体" w:eastAsia="楷体" w:cs="楷体"/>
                <w:sz w:val="22"/>
              </w:rPr>
              <w:t>0.4823</w:t>
            </w:r>
          </w:p>
        </w:tc>
        <w:tc>
          <w:tcPr>
            <w:tcW w:w="1665" w:type="dxa"/>
          </w:tcPr>
          <w:p>
            <w:pPr>
              <w:jc w:val="center"/>
              <w:rPr>
                <w:rFonts w:ascii="楷体" w:hAnsi="楷体" w:eastAsia="楷体" w:cs="楷体"/>
                <w:sz w:val="22"/>
              </w:rPr>
            </w:pPr>
            <w:r>
              <w:rPr>
                <w:rFonts w:hint="eastAsia" w:ascii="楷体" w:hAnsi="楷体" w:eastAsia="楷体" w:cs="楷体"/>
                <w:sz w:val="22"/>
              </w:rPr>
              <w:t>1.75%</w:t>
            </w:r>
          </w:p>
        </w:tc>
        <w:tc>
          <w:tcPr>
            <w:tcW w:w="1861" w:type="dxa"/>
          </w:tcPr>
          <w:p>
            <w:pPr>
              <w:jc w:val="center"/>
              <w:rPr>
                <w:rFonts w:ascii="楷体" w:hAnsi="楷体" w:eastAsia="楷体" w:cs="楷体"/>
                <w:sz w:val="22"/>
              </w:rPr>
            </w:pPr>
            <w:r>
              <w:rPr>
                <w:rFonts w:hint="eastAsia" w:ascii="楷体" w:hAnsi="楷体" w:eastAsia="楷体" w:cs="楷体"/>
                <w:sz w:val="22"/>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苏银理财启源现金1号K</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0.4028</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1.46%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苏银理财启源现金1号N</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0.7928</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2.94%</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苏银理财启源现金1号DG2</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0.4850</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1.76%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苏银理财启源现金1号WS</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0.4001</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1.45%</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苏银理财启源现金1号F</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0.4028</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1.46%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苏银理财启源现金1号X</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0.4028</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1.46%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苏银理财启源现金1号G</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0.3973</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1.44%</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苏银理财启源现金1号S</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0.4028</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1.46%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苏银理财启源现金1号J</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0.3836</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1.39%</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苏银理财启源现金1号W</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0.3288</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1.18%</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苏银理财启源现金1号H</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0.4028</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1.46%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苏银理财启源现金1号Q</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0.9322</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3.46%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苏银理财启源现金1号A</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0.4028</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1.46%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苏银理财启源现金1号（代发专享）</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0.4165</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1.51%</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苏银理财启源现金1号E</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0.4220</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1.53%</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苏银理财启源现金1号DG</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0.4028</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1.46%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苏银理财启源现金1号P</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0.8078</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2.99%</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苏银理财启源现金1号DG4</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0.4993</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1.84%</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bl>
    <w:p>
      <w:pPr>
        <w:rPr>
          <w:rFonts w:ascii="楷体" w:hAnsi="楷体" w:eastAsia="楷体" w:cs="楷体"/>
        </w:rPr>
      </w:pPr>
    </w:p>
    <w:p>
      <w:pPr>
        <w:rPr>
          <w:rFonts w:ascii="楷体" w:hAnsi="楷体" w:eastAsia="楷体" w:cs="楷体"/>
          <w:sz w:val="21"/>
          <w:szCs w:val="21"/>
        </w:rPr>
      </w:pPr>
      <w:r>
        <w:rPr>
          <w:rFonts w:hint="eastAsia" w:ascii="楷体" w:hAnsi="楷体" w:eastAsia="楷体" w:cs="楷体"/>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hAnsi="楷体" w:eastAsia="楷体" w:cs="楷体"/>
        </w:rPr>
      </w:pPr>
    </w:p>
    <w:p>
      <w:pPr>
        <w:pStyle w:val="2"/>
        <w:ind w:left="0"/>
        <w:rPr>
          <w:rFonts w:ascii="楷体" w:hAnsi="楷体" w:cs="楷体"/>
        </w:rPr>
      </w:pPr>
      <w:r>
        <w:rPr>
          <w:rFonts w:hint="eastAsia" w:ascii="楷体" w:hAnsi="楷体" w:cs="楷体"/>
        </w:rPr>
        <w:t>三、产品投资组合情况</w:t>
      </w:r>
    </w:p>
    <w:p>
      <w:pPr>
        <w:pStyle w:val="2"/>
        <w:rPr>
          <w:rFonts w:ascii="楷体" w:hAnsi="楷体" w:cs="楷体"/>
          <w:b w:val="0"/>
          <w:sz w:val="21"/>
        </w:rPr>
      </w:pPr>
      <w:r>
        <w:rPr>
          <w:rFonts w:hint="eastAsia" w:ascii="楷体" w:hAnsi="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ascii="楷体" w:hAnsi="楷体" w:eastAsia="楷体" w:cs="楷体"/>
                <w:sz w:val="24"/>
                <w:szCs w:val="24"/>
              </w:rPr>
            </w:pPr>
            <w:r>
              <w:rPr>
                <w:rFonts w:hint="eastAsia" w:ascii="楷体" w:hAnsi="楷体" w:eastAsia="楷体" w:cs="楷体"/>
                <w:sz w:val="24"/>
                <w:szCs w:val="24"/>
              </w:rPr>
              <w:t>81.03%</w:t>
            </w:r>
          </w:p>
        </w:tc>
        <w:tc>
          <w:tcPr>
            <w:tcW w:w="2550" w:type="dxa"/>
            <w:vAlign w:val="center"/>
          </w:tcPr>
          <w:p>
            <w:pPr>
              <w:jc w:val="center"/>
              <w:rPr>
                <w:rFonts w:ascii="楷体" w:hAnsi="楷体" w:eastAsia="楷体" w:cs="楷体"/>
                <w:sz w:val="24"/>
                <w:szCs w:val="24"/>
              </w:rPr>
            </w:pPr>
            <w:r>
              <w:rPr>
                <w:rFonts w:hint="eastAsia" w:ascii="楷体" w:hAnsi="楷体" w:eastAsia="楷体" w:cs="楷体"/>
                <w:sz w:val="24"/>
                <w:szCs w:val="24"/>
              </w:rPr>
              <w:t>18.97%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合计</w:t>
            </w:r>
          </w:p>
        </w:tc>
        <w:tc>
          <w:tcPr>
            <w:tcW w:w="2610" w:type="dxa"/>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81.03%</w:t>
            </w:r>
          </w:p>
        </w:tc>
        <w:tc>
          <w:tcPr>
            <w:tcW w:w="2550" w:type="dxa"/>
            <w:shd w:val="clear" w:color="auto" w:fill="FFFFFF"/>
            <w:vAlign w:val="center"/>
          </w:tcPr>
          <w:p>
            <w:pPr>
              <w:jc w:val="center"/>
              <w:rPr>
                <w:rFonts w:ascii="楷体" w:hAnsi="楷体" w:eastAsia="楷体" w:cs="楷体"/>
                <w:sz w:val="24"/>
                <w:szCs w:val="24"/>
              </w:rPr>
            </w:pPr>
            <w:r>
              <w:rPr>
                <w:rFonts w:hint="eastAsia" w:ascii="楷体" w:hAnsi="楷体" w:eastAsia="楷体" w:cs="楷体"/>
                <w:sz w:val="24"/>
                <w:szCs w:val="24"/>
              </w:rPr>
              <w:t>18.97%</w:t>
            </w:r>
          </w:p>
        </w:tc>
      </w:tr>
    </w:tbl>
    <w:p>
      <w:pPr>
        <w:rPr>
          <w:rFonts w:ascii="楷体" w:hAnsi="楷体" w:eastAsia="楷体" w:cs="楷体"/>
        </w:rPr>
      </w:pPr>
    </w:p>
    <w:p>
      <w:pPr>
        <w:pStyle w:val="2"/>
        <w:ind w:left="0"/>
        <w:rPr>
          <w:rFonts w:ascii="楷体" w:hAnsi="楷体" w:cs="楷体"/>
          <w:b w:val="0"/>
          <w:sz w:val="21"/>
        </w:rPr>
      </w:pPr>
      <w:r>
        <w:rPr>
          <w:rFonts w:hint="eastAsia" w:ascii="楷体" w:hAnsi="楷体" w:cs="楷体"/>
          <w:b w:val="0"/>
          <w:sz w:val="21"/>
        </w:rPr>
        <w:t>（二）期末理财产品持有的前十项资产</w:t>
      </w:r>
    </w:p>
    <w:tbl>
      <w:tblPr>
        <w:tblStyle w:val="9"/>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jc w:val="center"/>
              <w:rPr>
                <w:rFonts w:ascii="楷体" w:hAnsi="楷体" w:eastAsia="楷体" w:cs="楷体"/>
                <w:sz w:val="22"/>
              </w:rPr>
            </w:pPr>
            <w:r>
              <w:rPr>
                <w:rFonts w:hint="eastAsia" w:ascii="楷体" w:hAnsi="楷体" w:eastAsia="楷体" w:cs="楷体"/>
                <w:sz w:val="22"/>
              </w:rPr>
              <w:t>1</w:t>
            </w:r>
          </w:p>
        </w:tc>
        <w:tc>
          <w:tcPr>
            <w:tcW w:w="2434" w:type="dxa"/>
            <w:vAlign w:val="center"/>
          </w:tcPr>
          <w:p>
            <w:pPr>
              <w:jc w:val="center"/>
              <w:rPr>
                <w:rFonts w:ascii="楷体" w:hAnsi="楷体" w:eastAsia="楷体" w:cs="楷体"/>
                <w:sz w:val="22"/>
              </w:rPr>
            </w:pPr>
            <w:r>
              <w:rPr>
                <w:rFonts w:hint="eastAsia" w:ascii="楷体" w:hAnsi="楷体" w:eastAsia="楷体" w:cs="楷体"/>
                <w:sz w:val="22"/>
              </w:rPr>
              <w:t>22农发06</w:t>
            </w:r>
          </w:p>
        </w:tc>
        <w:tc>
          <w:tcPr>
            <w:tcW w:w="1275" w:type="dxa"/>
            <w:vAlign w:val="center"/>
          </w:tcPr>
          <w:p>
            <w:pPr>
              <w:jc w:val="center"/>
              <w:rPr>
                <w:rFonts w:ascii="楷体" w:hAnsi="楷体" w:eastAsia="楷体" w:cs="楷体"/>
                <w:sz w:val="22"/>
              </w:rPr>
            </w:pPr>
            <w:r>
              <w:rPr>
                <w:rFonts w:hint="eastAsia" w:ascii="楷体" w:hAnsi="楷体" w:eastAsia="楷体" w:cs="楷体"/>
                <w:sz w:val="22"/>
              </w:rPr>
              <w:t>债券</w:t>
            </w:r>
          </w:p>
        </w:tc>
        <w:tc>
          <w:tcPr>
            <w:tcW w:w="2235" w:type="dxa"/>
            <w:vAlign w:val="center"/>
          </w:tcPr>
          <w:p>
            <w:pPr>
              <w:jc w:val="center"/>
              <w:rPr>
                <w:rFonts w:ascii="楷体" w:hAnsi="楷体" w:eastAsia="楷体" w:cs="楷体"/>
                <w:sz w:val="22"/>
              </w:rPr>
            </w:pPr>
            <w:r>
              <w:rPr>
                <w:rFonts w:hint="eastAsia" w:ascii="楷体" w:hAnsi="楷体" w:eastAsia="楷体" w:cs="楷体"/>
                <w:sz w:val="22"/>
              </w:rPr>
              <w:t>2,067,168,520.29</w:t>
            </w:r>
          </w:p>
        </w:tc>
        <w:tc>
          <w:tcPr>
            <w:tcW w:w="1800" w:type="dxa"/>
            <w:vAlign w:val="center"/>
          </w:tcPr>
          <w:p>
            <w:pPr>
              <w:jc w:val="center"/>
              <w:rPr>
                <w:rFonts w:ascii="楷体" w:hAnsi="楷体" w:eastAsia="楷体" w:cs="楷体"/>
                <w:sz w:val="22"/>
              </w:rPr>
            </w:pPr>
            <w:r>
              <w:rPr>
                <w:rFonts w:hint="eastAsia" w:ascii="楷体" w:hAnsi="楷体" w:eastAsia="楷体" w:cs="楷体"/>
                <w:sz w:val="22"/>
              </w:rPr>
              <w:t>5.47%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1,922,525,088.83</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5.09%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22农发12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1,834,178,573.38</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22进出13</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672,667,241.71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25农发21</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600,011,456.80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25北京银行CD010</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537,319,198.50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15国开18</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517,023,556.72</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vAlign w:val="center"/>
          </w:tcPr>
          <w:p>
            <w:pPr>
              <w:pageBreakBefore w:val="0"/>
              <w:jc w:val="center"/>
              <w:textAlignment w:val="auto"/>
            </w:pPr>
            <w:r>
              <w:rPr>
                <w:rFonts w:hint="eastAsia" w:ascii="楷体" w:hAnsi="楷体" w:eastAsia="楷体" w:cs="楷体"/>
                <w:sz w:val="22"/>
              </w:rPr>
              <w:t>银行存款</w:t>
            </w:r>
            <w:r>
              <w:rPr>
                <w:rFonts w:ascii="楷体" w:hAnsi="楷体" w:eastAsia="楷体" w:cs="楷体"/>
                <w:b w:val="0"/>
                <w:i w:val="0"/>
                <w:strike w:val="0"/>
                <w:color w:val="auto"/>
                <w:position w:val="-1"/>
                <w:sz w:val="22"/>
                <w:u w:val="none"/>
              </w:rPr>
              <w:t>20240923</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507,883,612.36</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vAlign w:val="center"/>
          </w:tcPr>
          <w:p>
            <w:pPr>
              <w:pageBreakBefore w:val="0"/>
              <w:jc w:val="center"/>
              <w:textAlignment w:val="auto"/>
            </w:pPr>
            <w:r>
              <w:rPr>
                <w:rFonts w:hint="eastAsia" w:ascii="楷体" w:hAnsi="楷体" w:eastAsia="楷体" w:cs="楷体"/>
                <w:sz w:val="22"/>
              </w:rPr>
              <w:t>银行存款</w:t>
            </w:r>
            <w:r>
              <w:rPr>
                <w:rFonts w:ascii="楷体" w:hAnsi="楷体" w:eastAsia="楷体" w:cs="楷体"/>
                <w:b w:val="0"/>
                <w:i w:val="0"/>
                <w:strike w:val="0"/>
                <w:color w:val="auto"/>
                <w:position w:val="-1"/>
                <w:sz w:val="22"/>
                <w:u w:val="none"/>
              </w:rPr>
              <w:t>20240924</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507,583,332.40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vAlign w:val="center"/>
          </w:tcPr>
          <w:p>
            <w:pPr>
              <w:pageBreakBefore w:val="0"/>
              <w:jc w:val="center"/>
              <w:textAlignment w:val="auto"/>
            </w:pPr>
            <w:r>
              <w:rPr>
                <w:rFonts w:hint="eastAsia" w:ascii="楷体" w:hAnsi="楷体" w:eastAsia="楷体" w:cs="楷体"/>
                <w:sz w:val="22"/>
              </w:rPr>
              <w:t>银行存款</w:t>
            </w:r>
            <w:r>
              <w:rPr>
                <w:rFonts w:ascii="楷体" w:hAnsi="楷体" w:eastAsia="楷体" w:cs="楷体"/>
                <w:b w:val="0"/>
                <w:i w:val="0"/>
                <w:strike w:val="0"/>
                <w:color w:val="auto"/>
                <w:position w:val="-1"/>
                <w:sz w:val="22"/>
                <w:u w:val="none"/>
              </w:rPr>
              <w:t>20241226-5</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504,675,000.00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1.34%</w:t>
            </w:r>
          </w:p>
        </w:tc>
      </w:tr>
    </w:tbl>
    <w:p>
      <w:pPr>
        <w:pStyle w:val="14"/>
        <w:rPr>
          <w:rFonts w:ascii="楷体" w:hAnsi="楷体" w:cs="楷体"/>
        </w:rPr>
      </w:pPr>
    </w:p>
    <w:p>
      <w:pPr>
        <w:pStyle w:val="2"/>
        <w:numPr>
          <w:ilvl w:val="0"/>
          <w:numId w:val="1"/>
        </w:numPr>
        <w:rPr>
          <w:rFonts w:ascii="楷体" w:hAnsi="楷体" w:cs="楷体"/>
          <w:b w:val="0"/>
          <w:sz w:val="21"/>
        </w:rPr>
      </w:pPr>
      <w:r>
        <w:rPr>
          <w:rFonts w:hint="eastAsia" w:ascii="楷体" w:hAnsi="楷体" w:cs="楷体"/>
          <w:b w:val="0"/>
          <w:sz w:val="21"/>
        </w:rPr>
        <w:t>非标资产情况</w:t>
      </w:r>
    </w:p>
    <w:p>
      <w:pPr>
        <w:ind w:firstLine="220" w:firstLineChars="100"/>
        <w:rPr>
          <w:rFonts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spacing w:line="320" w:lineRule="exact"/>
        <w:ind w:firstLine="220" w:firstLineChars="100"/>
        <w:rPr>
          <w:rFonts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rPr>
          <w:rFonts w:hint="eastAsia" w:ascii="楷体" w:hAnsi="楷体" w:eastAsia="楷体"/>
        </w:rPr>
      </w:pPr>
    </w:p>
    <w:p>
      <w:pPr>
        <w:rPr>
          <w:rFonts w:ascii="楷体" w:hAnsi="楷体" w:eastAsia="楷体"/>
          <w:sz w:val="21"/>
          <w:szCs w:val="21"/>
        </w:rPr>
      </w:pPr>
      <w:r>
        <w:rPr>
          <w:rFonts w:hint="eastAsia" w:ascii="楷体" w:hAnsi="楷体" w:eastAsia="楷体"/>
          <w:sz w:val="21"/>
          <w:szCs w:val="21"/>
        </w:rPr>
        <w:t>（四）期末理财产品前十名投资者持有情况</w:t>
      </w:r>
    </w:p>
    <w:tbl>
      <w:tblPr>
        <w:tblStyle w:val="10"/>
        <w:tblW w:w="86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1"/>
        <w:gridCol w:w="1815"/>
        <w:gridCol w:w="3510"/>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1"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序号</w:t>
            </w:r>
          </w:p>
        </w:tc>
        <w:tc>
          <w:tcPr>
            <w:tcW w:w="181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投资者类别</w:t>
            </w:r>
          </w:p>
        </w:tc>
        <w:tc>
          <w:tcPr>
            <w:tcW w:w="3510"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期末持有份额</w:t>
            </w:r>
          </w:p>
        </w:tc>
        <w:tc>
          <w:tcPr>
            <w:tcW w:w="169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份额占比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1"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1</w:t>
            </w:r>
          </w:p>
        </w:tc>
        <w:tc>
          <w:tcPr>
            <w:tcW w:w="181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机构</w:t>
            </w:r>
          </w:p>
        </w:tc>
        <w:tc>
          <w:tcPr>
            <w:tcW w:w="3510"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457,398,530.79</w:t>
            </w:r>
          </w:p>
        </w:tc>
        <w:tc>
          <w:tcPr>
            <w:tcW w:w="169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300,043,286.85</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127,052,359.62</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120,273,620.89</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108,414,076.37</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108,012,920.26</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88,357,330.64</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76,009,104.22</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70,030,814.34</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60,213,943.98</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0.18%</w:t>
            </w:r>
          </w:p>
        </w:tc>
      </w:tr>
    </w:tbl>
    <w:p>
      <w:pPr>
        <w:pStyle w:val="14"/>
        <w:rPr>
          <w:rFonts w:ascii="楷体" w:hAnsi="楷体" w:cs="楷体"/>
        </w:rPr>
      </w:pPr>
    </w:p>
    <w:p>
      <w:pPr>
        <w:pStyle w:val="2"/>
        <w:rPr>
          <w:rFonts w:ascii="楷体" w:hAnsi="楷体" w:cs="楷体"/>
          <w:b w:val="0"/>
          <w:sz w:val="21"/>
        </w:rPr>
      </w:pPr>
      <w:r>
        <w:rPr>
          <w:rFonts w:hint="eastAsia" w:ascii="楷体" w:hAnsi="楷体" w:cs="楷体"/>
          <w:b w:val="0"/>
          <w:sz w:val="21"/>
        </w:rPr>
        <w:t>（</w:t>
      </w:r>
      <w:r>
        <w:rPr>
          <w:rFonts w:hint="eastAsia" w:ascii="楷体" w:hAnsi="楷体" w:cs="楷体"/>
          <w:b w:val="0"/>
          <w:sz w:val="21"/>
          <w:lang w:eastAsia="zh-CN"/>
        </w:rPr>
        <w:t>五</w:t>
      </w:r>
      <w:r>
        <w:rPr>
          <w:rFonts w:hint="eastAsia" w:ascii="楷体" w:hAnsi="楷体" w:cs="楷体"/>
          <w:b w:val="0"/>
          <w:sz w:val="21"/>
        </w:rPr>
        <w:t>）关联交易情况</w:t>
      </w:r>
    </w:p>
    <w:p>
      <w:pPr>
        <w:spacing w:line="320" w:lineRule="exact"/>
        <w:ind w:firstLine="220" w:firstLineChars="100"/>
        <w:rPr>
          <w:rFonts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江苏省国信集团有限公司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042580317.IB</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25苏国信CP002</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1,000,000.00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100,000,000.00</w:t>
            </w:r>
          </w:p>
        </w:tc>
      </w:tr>
    </w:tbl>
    <w:p>
      <w:pPr>
        <w:rPr>
          <w:rFonts w:ascii="楷体" w:hAnsi="楷体" w:eastAsia="楷体" w:cs="楷体"/>
        </w:rPr>
      </w:pPr>
    </w:p>
    <w:p>
      <w:pPr>
        <w:ind w:firstLine="220" w:firstLineChars="100"/>
        <w:rPr>
          <w:rFonts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50"/>
        <w:gridCol w:w="1455"/>
        <w:gridCol w:w="1425"/>
        <w:gridCol w:w="2100"/>
        <w:gridCol w:w="2191"/>
      </w:tblGrid>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华泰证券股份有限公司</w:t>
            </w:r>
          </w:p>
        </w:tc>
        <w:tc>
          <w:tcPr>
            <w:tcW w:w="145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082580114.IB</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25睿洺ABN002优先</w:t>
            </w:r>
          </w:p>
        </w:tc>
        <w:tc>
          <w:tcPr>
            <w:tcW w:w="210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500,000.00</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50,000,000.00</w:t>
            </w:r>
          </w:p>
        </w:tc>
      </w:tr>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145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042580317.IB</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25苏国信CP002</w:t>
            </w:r>
          </w:p>
        </w:tc>
        <w:tc>
          <w:tcPr>
            <w:tcW w:w="210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1,000,000.00</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100,000,000.00</w:t>
            </w:r>
          </w:p>
        </w:tc>
      </w:tr>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145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082580530.IB</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25华发优生活6ABN002优先</w:t>
            </w:r>
          </w:p>
        </w:tc>
        <w:tc>
          <w:tcPr>
            <w:tcW w:w="210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300,000.00</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30,000,000.00</w:t>
            </w:r>
          </w:p>
        </w:tc>
      </w:tr>
    </w:tbl>
    <w:p>
      <w:pPr>
        <w:rPr>
          <w:rFonts w:ascii="楷体" w:hAnsi="楷体" w:eastAsia="楷体" w:cs="楷体"/>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50"/>
        <w:gridCol w:w="1455"/>
        <w:gridCol w:w="1425"/>
        <w:gridCol w:w="2115"/>
        <w:gridCol w:w="2176"/>
      </w:tblGrid>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金融工具名称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5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sz w:val="22"/>
          <w:szCs w:val="24"/>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15"/>
        <w:gridCol w:w="3540"/>
        <w:gridCol w:w="3166"/>
      </w:tblGrid>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316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东吴证券股份有限公司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4,302,560,319.75</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15,521,915.31</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3,799,622.54</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1,924,000,120.00</w:t>
            </w:r>
          </w:p>
        </w:tc>
      </w:tr>
    </w:tbl>
    <w:p>
      <w:pPr>
        <w:pStyle w:val="14"/>
        <w:rPr>
          <w:rFonts w:hint="eastAsia" w:ascii="楷体" w:hAnsi="楷体" w:cs="楷体"/>
          <w:sz w:val="21"/>
          <w:szCs w:val="21"/>
        </w:rPr>
      </w:pPr>
      <w:r>
        <w:rPr>
          <w:rFonts w:hint="eastAsia" w:ascii="楷体" w:hAnsi="楷体" w:cs="楷体"/>
          <w:sz w:val="21"/>
          <w:szCs w:val="21"/>
        </w:rPr>
        <w:t>注：本报告中理财产品托管费、代销费、直销费均基于产品实际支付金额进行统计。</w:t>
      </w:r>
    </w:p>
    <w:p>
      <w:pPr>
        <w:pStyle w:val="14"/>
        <w:rPr>
          <w:rFonts w:hint="eastAsia" w:ascii="楷体" w:hAnsi="楷体" w:cs="楷体"/>
          <w:sz w:val="21"/>
          <w:szCs w:val="21"/>
        </w:rPr>
      </w:pPr>
    </w:p>
    <w:p>
      <w:pPr>
        <w:rPr>
          <w:rFonts w:ascii="楷体" w:hAnsi="楷体" w:eastAsia="楷体" w:cs="楷体"/>
          <w:sz w:val="22"/>
          <w:szCs w:val="24"/>
        </w:rPr>
      </w:pPr>
      <w:r>
        <w:rPr>
          <w:rFonts w:hint="eastAsia" w:ascii="楷体" w:hAnsi="楷体" w:eastAsia="楷体" w:cs="楷体"/>
          <w:sz w:val="22"/>
          <w:szCs w:val="24"/>
        </w:rPr>
        <w:t>（</w:t>
      </w:r>
      <w:r>
        <w:rPr>
          <w:rFonts w:hint="eastAsia" w:ascii="楷体" w:hAnsi="楷体" w:eastAsia="楷体" w:cs="楷体"/>
          <w:sz w:val="22"/>
          <w:szCs w:val="24"/>
          <w:lang w:eastAsia="zh-CN"/>
        </w:rPr>
        <w:t>六</w:t>
      </w:r>
      <w:r>
        <w:rPr>
          <w:rFonts w:hint="eastAsia" w:ascii="楷体" w:hAnsi="楷体" w:eastAsia="楷体" w:cs="楷体"/>
          <w:sz w:val="22"/>
          <w:szCs w:val="24"/>
        </w:rPr>
        <w:t>）自有资金投资情况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ind w:firstLine="420" w:firstLineChars="200"/>
        <w:rPr>
          <w:rFonts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ascii="楷体" w:hAnsi="楷体" w:eastAsia="楷体" w:cs="楷体"/>
          <w:bCs/>
          <w:kern w:val="0"/>
          <w:szCs w:val="21"/>
        </w:rPr>
      </w:pPr>
    </w:p>
    <w:p>
      <w:pPr>
        <w:rPr>
          <w:rFonts w:ascii="楷体" w:hAnsi="楷体" w:eastAsia="楷体" w:cs="楷体"/>
          <w:sz w:val="22"/>
          <w:szCs w:val="24"/>
        </w:rPr>
      </w:pPr>
      <w:r>
        <w:rPr>
          <w:rFonts w:hint="eastAsia" w:ascii="楷体" w:hAnsi="楷体" w:eastAsia="楷体" w:cs="楷体"/>
          <w:sz w:val="22"/>
          <w:szCs w:val="24"/>
        </w:rPr>
        <w:t>（</w:t>
      </w:r>
      <w:r>
        <w:rPr>
          <w:rFonts w:hint="eastAsia" w:ascii="楷体" w:hAnsi="楷体" w:eastAsia="楷体" w:cs="楷体"/>
          <w:sz w:val="22"/>
          <w:szCs w:val="24"/>
          <w:lang w:eastAsia="zh-CN"/>
        </w:rPr>
        <w:t>七</w:t>
      </w:r>
      <w:r>
        <w:rPr>
          <w:rFonts w:hint="eastAsia" w:ascii="楷体" w:hAnsi="楷体" w:eastAsia="楷体" w:cs="楷体"/>
          <w:sz w:val="22"/>
          <w:szCs w:val="24"/>
        </w:rPr>
        <w:t>）理财产品份额变动情况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32,875,475,106.57</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36,194,484,529.22</w:t>
            </w:r>
          </w:p>
        </w:tc>
      </w:tr>
    </w:tbl>
    <w:p>
      <w:pPr>
        <w:pStyle w:val="2"/>
        <w:ind w:left="0" w:leftChars="0" w:firstLine="0" w:firstLineChars="0"/>
        <w:rPr>
          <w:rFonts w:ascii="楷体" w:hAnsi="楷体" w:cs="楷体"/>
        </w:rPr>
      </w:pPr>
    </w:p>
    <w:p>
      <w:pPr>
        <w:pStyle w:val="2"/>
        <w:rPr>
          <w:rFonts w:ascii="楷体" w:hAnsi="楷体" w:cs="楷体"/>
        </w:rPr>
      </w:pPr>
      <w:r>
        <w:rPr>
          <w:rFonts w:hint="eastAsia" w:ascii="楷体" w:hAnsi="楷体" w:cs="楷体"/>
        </w:rPr>
        <w:t>四</w:t>
      </w:r>
      <w:r>
        <w:rPr>
          <w:rFonts w:hint="eastAsia" w:ascii="楷体" w:hAnsi="楷体" w:cs="楷体"/>
          <w:lang w:eastAsia="zh-CN"/>
        </w:rPr>
        <w:t>、</w:t>
      </w:r>
      <w:r>
        <w:rPr>
          <w:rFonts w:hint="eastAsia" w:ascii="楷体" w:hAnsi="楷体" w:cs="楷体"/>
        </w:rPr>
        <w:t>投资运作情况</w:t>
      </w:r>
    </w:p>
    <w:p>
      <w:pPr>
        <w:pStyle w:val="2"/>
        <w:rPr>
          <w:rFonts w:ascii="楷体" w:hAnsi="楷体" w:cs="楷体"/>
          <w:b w:val="0"/>
          <w:sz w:val="21"/>
        </w:rPr>
      </w:pPr>
      <w:r>
        <w:rPr>
          <w:rFonts w:hint="eastAsia" w:ascii="楷体" w:hAnsi="楷体" w:cs="楷体"/>
          <w:b w:val="0"/>
          <w:sz w:val="21"/>
        </w:rPr>
        <w:t>1、运作期回顾</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2025年上半年，在党中央的坚强领导下，面对外部冲击明显加大，国内经济顶住压力平稳增长，各地区各部门深入贯彻党中央、国务院的决策部署，坚持稳中求进，宏观稳经济政策协同发力，国民经济稳中向好。</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从经济基本面看，上半年国内生产总值同比增长5.3%，二季度增长5.2%。总体上，上半年国民经济迎难而上、稳中向好。上半年全国固定资产投资（不含农户）同比增长2.8%，社会消费品零售总额同比增长5.0%，规模以上工业增加值同比增长6.4%。整体来看，GDP增速反映出我国宏观基本面延续较好表现，显示经济持续增长动力强劲，工业增加值增速超预期，说明中国经济在复杂严峻的外部环境和挑战下，有能力保持平稳增长的态势。同时，投资和消费表现稍显疲弱，房地产开发投资自2月以来持续回落，降幅连月扩大。总体而言，我国经济年内达成增长目标压力不大，但在需求端仍将面临考验。</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债券市场方面，一季度债市收益率明显上行。年初至春节，债市收益率呈现先下后上的态势，年初部分踏空资金入场，随后央行暂停国债买入等操作使得市场情绪转向谨慎，同时央行利用月中MLF到期、税期、春节前取现需求增加资金缺口放大的窗口引导资金收紧，短端出现明显调整压力，10年期收益率明显上行；春节后至3月中旬，同业存款外流影响持续，同时Deepseek、人形机器人等概念在春节后形成主题热点，叠加两会定调偏积极，权益市场迎来上涨行情，收益率调整由短及长并触发赎回潮，10年期国债上行27BP至1.90%；3月中旬至3月底，税期、季末央行公开市场投放偏积极，资金价格边际持稳，MLF转为净投放，宽货币预期叠加权益市场动能转弱，10年期国债收益率下行8BP至1.81%。在经历了一季度的调整之后，二季度债市表现好于一季度，一方面是资金面整体更加宽松，另一方面外部关税扰动加剧、国内基本面数据偏弱、机构配置力量强化，多重因素推动债市收益率整体震荡下行。4月初，中美关税博弈深化，外需压力与避险情绪共同推升宽货币预期，触发债市普涨；5月降息落地后，债市以波动为主，上下空间进一步缩窄；6月延续5月行情，收益率震荡下行，但在月底的股债跷跷板效应以及险资调仓的影响下，出现小幅上行。</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报告期内，管理人积极对照监管要求，严格管控现金管理类产品的信用风险、久期风险、集中度风险和流动性风险。在资产配置策略上选择以同业存单、利率债、回购和银行存款等低风险资产为主，增加存单和利率债投资比例。在收益率下行的过程中增加债券类资产持仓，同时储备了一波利率相对较高的长期存款类资产。相关资产的配置主要抓住资金面波动的点进行，兼顾资产类别和期限的总体均衡。此外，本产品采用较多的杠杆策略、交易策略以及货基增强策略，成功获取一定的超额收益。</w:t>
      </w:r>
    </w:p>
    <w:p>
      <w:pPr>
        <w:pStyle w:val="4"/>
        <w:spacing w:before="43" w:line="275" w:lineRule="auto"/>
        <w:ind w:right="1799" w:firstLine="226" w:firstLineChars="100"/>
        <w:rPr>
          <w:rFonts w:ascii="楷体" w:hAnsi="楷体" w:eastAsia="楷体" w:cs="楷体"/>
          <w:spacing w:val="8"/>
          <w:sz w:val="21"/>
        </w:rPr>
      </w:pPr>
    </w:p>
    <w:p>
      <w:pPr>
        <w:pStyle w:val="2"/>
        <w:rPr>
          <w:rFonts w:ascii="楷体" w:hAnsi="楷体" w:cs="楷体"/>
          <w:b w:val="0"/>
          <w:sz w:val="21"/>
        </w:rPr>
      </w:pPr>
      <w:r>
        <w:rPr>
          <w:rFonts w:hint="eastAsia" w:ascii="楷体" w:hAnsi="楷体" w:cs="楷体"/>
          <w:b w:val="0"/>
          <w:sz w:val="21"/>
        </w:rPr>
        <w:t>2、后市展望及下阶段投资策略</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展望2025年三季度，虽然二季度经济数据总量改善，但需求端表现仍显疲软，同时在外部高度不确定性下，中期基本面压力仍大，总量政策对冲的必要性将进一步增加，货币政策下半年仍有加码空间，资金面大概率延续宽松态势。因此，三季度仍然处于利率下行周期，债市收益率存在一定下行空间，可择机适当布局。</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ind w:firstLine="420" w:firstLineChars="200"/>
        <w:rPr>
          <w:rFonts w:hint="eastAsia" w:ascii="楷体" w:hAnsi="楷体" w:eastAsia="楷体" w:cs="楷体"/>
          <w:sz w:val="21"/>
          <w:szCs w:val="21"/>
          <w:lang w:eastAsia="zh-CN"/>
        </w:rPr>
      </w:pPr>
    </w:p>
    <w:p>
      <w:pPr>
        <w:pStyle w:val="2"/>
        <w:rPr>
          <w:rFonts w:ascii="楷体" w:hAnsi="楷体" w:cs="楷体"/>
          <w:b w:val="0"/>
          <w:sz w:val="21"/>
        </w:rPr>
      </w:pPr>
      <w:r>
        <w:rPr>
          <w:rFonts w:hint="eastAsia" w:ascii="楷体" w:hAnsi="楷体" w:cs="楷体"/>
          <w:b w:val="0"/>
          <w:sz w:val="21"/>
        </w:rPr>
        <w:t>3、流动性风险分析</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bookmarkStart w:id="1" w:name="_GoBack"/>
      <w:r>
        <w:rPr>
          <w:rFonts w:hint="eastAsia" w:ascii="楷体" w:hAnsi="楷体" w:eastAsia="楷体" w:cs="楷体"/>
          <w:b w:val="0"/>
          <w:bCs/>
          <w:kern w:val="0"/>
          <w:sz w:val="21"/>
          <w:szCs w:val="21"/>
          <w:lang w:val="en-US" w:eastAsia="zh-CN" w:bidi="ar-SA"/>
        </w:rPr>
        <w:t>2025年上半年，市场流动性整体宽松，本产品在投资高流动性的利率债和AAA存单以外，动态调整产品杠杆率，充分做好资金准备，平稳度过各关键时点，充分满足了产品的流动性需求，保障了投资者的赎回需求。</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展望后市，本产品将继续重点投资信用等级较高、流动性较好的各类标的，做好资金安排和流动性预判，充分满足产品流动性需求。</w:t>
      </w:r>
    </w:p>
    <w:bookmarkEnd w:id="1"/>
    <w:p>
      <w:pPr>
        <w:pStyle w:val="4"/>
        <w:spacing w:before="0" w:line="240" w:lineRule="auto"/>
        <w:ind w:left="0" w:right="0" w:firstLine="0" w:firstLineChars="0"/>
        <w:rPr>
          <w:rFonts w:ascii="楷体" w:hAnsi="楷体" w:eastAsia="楷体" w:cs="楷体"/>
          <w:sz w:val="21"/>
        </w:rPr>
      </w:pPr>
    </w:p>
    <w:p>
      <w:pPr>
        <w:pStyle w:val="2"/>
        <w:rPr>
          <w:rFonts w:hint="eastAsia" w:ascii="楷体" w:hAnsi="楷体" w:cs="楷体"/>
        </w:rPr>
      </w:pPr>
      <w:r>
        <w:rPr>
          <w:rFonts w:hint="eastAsia" w:ascii="楷体" w:hAnsi="楷体" w:cs="楷体"/>
        </w:rPr>
        <w:t>五</w:t>
      </w:r>
      <w:r>
        <w:rPr>
          <w:rFonts w:hint="eastAsia" w:ascii="楷体" w:hAnsi="楷体" w:cs="楷体"/>
          <w:lang w:eastAsia="zh-CN"/>
        </w:rPr>
        <w:t>、</w:t>
      </w:r>
      <w:r>
        <w:rPr>
          <w:rFonts w:hint="eastAsia" w:ascii="楷体" w:hAnsi="楷体" w:cs="楷体"/>
        </w:rPr>
        <w:t>托管人报告</w:t>
      </w:r>
    </w:p>
    <w:p>
      <w:pPr>
        <w:pStyle w:val="2"/>
        <w:ind w:firstLine="420" w:firstLineChars="200"/>
        <w:rPr>
          <w:rFonts w:hint="eastAsia" w:ascii="楷体" w:hAnsi="楷体" w:cs="楷体"/>
          <w:b w:val="0"/>
          <w:sz w:val="21"/>
        </w:rPr>
      </w:pPr>
      <w:r>
        <w:rPr>
          <w:rFonts w:hint="eastAsia" w:ascii="楷体" w:hAnsi="楷体" w:cs="楷体"/>
          <w:b w:val="0"/>
          <w:sz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ind w:firstLine="560" w:firstLineChars="200"/>
        <w:rPr>
          <w:rFonts w:ascii="楷体" w:hAnsi="楷体" w:eastAsia="楷体" w:cs="楷体"/>
          <w:bCs/>
          <w:kern w:val="0"/>
          <w:szCs w:val="21"/>
        </w:rPr>
      </w:pPr>
    </w:p>
    <w:p>
      <w:pPr>
        <w:rPr>
          <w:rFonts w:ascii="楷体" w:hAnsi="楷体" w:eastAsia="楷体" w:cs="楷体"/>
        </w:rPr>
      </w:pPr>
    </w:p>
    <w:p>
      <w:pPr>
        <w:ind w:firstLine="560" w:firstLineChars="200"/>
        <w:rPr>
          <w:rFonts w:ascii="楷体" w:hAnsi="楷体" w:eastAsia="楷体" w:cs="楷体"/>
          <w:bCs/>
          <w:kern w:val="0"/>
          <w:szCs w:val="21"/>
        </w:rPr>
      </w:pPr>
    </w:p>
    <w:p>
      <w:pPr>
        <w:rPr>
          <w:rFonts w:ascii="楷体" w:hAnsi="楷体" w:eastAsia="楷体" w:cs="楷体"/>
          <w:sz w:val="15"/>
          <w:szCs w:val="15"/>
        </w:rPr>
      </w:pPr>
    </w:p>
    <w:p>
      <w:pPr>
        <w:jc w:val="right"/>
        <w:rPr>
          <w:rFonts w:ascii="楷体" w:hAnsi="楷体" w:eastAsia="楷体" w:cs="楷体"/>
          <w:b/>
          <w:bCs/>
          <w:sz w:val="21"/>
          <w:szCs w:val="21"/>
        </w:rPr>
      </w:pPr>
      <w:r>
        <w:rPr>
          <w:rFonts w:hint="eastAsia" w:ascii="楷体" w:hAnsi="楷体" w:eastAsia="楷体" w:cs="楷体"/>
          <w:b/>
          <w:bCs/>
          <w:sz w:val="21"/>
          <w:szCs w:val="21"/>
        </w:rPr>
        <w:t>苏银理财有限责任公司</w:t>
      </w:r>
    </w:p>
    <w:p>
      <w:pPr>
        <w:jc w:val="right"/>
        <w:rPr>
          <w:rFonts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
      <w:suff w:val="nothing"/>
      <w:lvlText w:val="%1）"/>
      <w:lvlJc w:val="left"/>
    </w:lvl>
  </w:abstractNum>
  <w:abstractNum w:abstractNumId="1">
    <w:nsid w:val="0053208E"/>
    <w:multiLevelType w:val="singleLevel"/>
    <w:tmpl w:val="0053208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021032A2"/>
    <w:rsid w:val="31CF04DB"/>
    <w:rsid w:val="45B04AC8"/>
    <w:rsid w:val="67433E0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2025-07-22T07:56:16Z</dcterms:modified>
  <cp:revision>29</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1</TotalTime>
  <ScaleCrop>false</ScaleCrop>
  <LinksUpToDate>false</LinksUpToDate>
  <CharactersWithSpaces>2985</CharactersWithSpaces>
  <Application>WPS Office_10.8.2.7119_F1E327BC-269C-435d-A152-05C5408002CA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52e67d-9564-48f0-936d-3635388aa3a5}">
  <ds:schemaRefs/>
</ds:datastoreItem>
</file>

<file path=customXml/itemProps3.xml><?xml version="1.0" encoding="utf-8"?>
<ds:datastoreItem xmlns:ds="http://schemas.openxmlformats.org/officeDocument/2006/customXml" ds:itemID="{b7381c5e-721c-4f9c-98c5-8cec2da4eb22}">
  <ds:schemaRefs/>
</ds:datastoreItem>
</file>

<file path=customXml/itemProps4.xml><?xml version="1.0" encoding="utf-8"?>
<ds:datastoreItem xmlns:ds="http://schemas.openxmlformats.org/officeDocument/2006/customXml" ds:itemID="{88cbdf6e-7fa7-4b9a-b675-5c7482891916}">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195</TotalTime>
  <ScaleCrop>false</ScaleCrop>
  <LinksUpToDate>false</LinksUpToDate>
  <CharactersWithSpaces>2985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2025-08-26T07:08:09Z</dcterms:modified>
  <dc:title>_x201C__x0024__x007B_prdInfo.PRD_NAME_x007D__x201D_理财产品</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03A8DAA720124C6DBE00B0D0B6F1A17F</vt:lpwstr>
  </property>
</Properties>
</file>