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-321310</wp:posOffset>
                </wp:positionH>
                <wp:positionV relativeFrom="paragraph">
                  <wp:posOffset>-414020</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p>
                            <w:pPr>
                              <w:rPr>
                                <w:rFonts w:hint="eastAsia"/>
                              </w:rPr>
                            </w:pPr>
                          </w:p>
                        </w:txbxContent>
                      </wps:txbx>
                      <wps:bodyPr wrap="square" upright="1">
                        <a:spAutoFit/>
                      </wps:bodyPr>
                    </wps:wsp>
                  </a:graphicData>
                </a:graphic>
              </wp:anchor>
            </w:drawing>
          </mc:Choice>
          <mc:Fallback>
            <w:pict>
              <v:shape id="文本框 2" o:spid="_x0000_s1026" o:spt="202" type="#_x0000_t202" style="position:absolute;left:0pt;margin-left:-25.3pt;margin-top:-32.6pt;height:210.7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jG4/toA&#10;AAALAQAADwAAAAAAAAABACAAAAAiAAAAZHJzL2Rvd25yZXYueG1sUEsBAhQAFAAAAAgAh07iQEza&#10;dYwdAgAAXwQAAA4AAAAAAAAAAQAgAAAAKQEAAGRycy9lMm9Eb2MueG1sUEsFBgAAAAAGAAYAWQEA&#10;ALg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p>
                      <w:pPr>
                        <w:rPr>
                          <w:rFonts w:hint="eastAsia"/>
                        </w:rPr>
                      </w:pP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“苏银理财恒源日申季持1号”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《风险揭示书》、《理财产品说明书》、《理财产品投资协议书》、《投资者权益须知》、《</w:t>
      </w:r>
      <w:r>
        <w:rPr>
          <w:rFonts w:hint="eastAsia" w:ascii="楷体" w:hAnsi="楷体" w:eastAsia="楷体" w:cs="Times New Roman"/>
          <w:lang w:eastAsia="zh-CN"/>
        </w:rPr>
        <w:t>理财产品（代理）销售协议书</w:t>
      </w:r>
      <w:r>
        <w:rPr>
          <w:rFonts w:hint="eastAsia" w:ascii="楷体" w:hAnsi="楷体" w:eastAsia="楷体" w:cs="Times New Roman"/>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b/>
          <w:sz w:val="32"/>
          <w:szCs w:val="32"/>
          <w:highlight w:val="none"/>
        </w:rPr>
      </w:pPr>
      <w:r>
        <w:rPr>
          <w:rFonts w:ascii="楷体" w:hAnsi="楷体" w:eastAsia="楷体" w:cs="Times New Roman"/>
        </w:rPr>
        <w:br w:type="page"/>
      </w:r>
      <w:r>
        <w:rPr>
          <w:rFonts w:hint="eastAsia" w:ascii="楷体" w:hAnsi="楷体" w:eastAsia="楷体"/>
          <w:b/>
          <w:sz w:val="32"/>
          <w:szCs w:val="32"/>
          <w:highlight w:val="none"/>
        </w:rPr>
        <w:t>“苏银理财恒源日申季持1号”理财产品风险揭示书</w:t>
      </w:r>
    </w:p>
    <w:p>
      <w:pPr>
        <w:jc w:val="center"/>
        <w:rPr>
          <w:rFonts w:hint="eastAsia"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highlight w:val="none"/>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highlight w:val="none"/>
          <w:lang w:eastAsia="zh-CN"/>
        </w:rPr>
        <w:t>（代理）销售协议</w:t>
      </w:r>
      <w:r>
        <w:rPr>
          <w:rFonts w:hint="eastAsia" w:ascii="楷体" w:hAnsi="楷体" w:eastAsia="楷体" w:cs="Times New Roman"/>
          <w:highlight w:val="none"/>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highlight w:val="none"/>
        </w:rPr>
      </w:pPr>
      <w:r>
        <w:rPr>
          <w:rFonts w:hint="eastAsia" w:ascii="楷体" w:hAnsi="楷体" w:eastAsia="楷体"/>
          <w:sz w:val="28"/>
          <w:szCs w:val="28"/>
          <w:highlight w:val="none"/>
        </w:rPr>
        <w:t>风险揭示</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highlight w:val="none"/>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0"/>
        </w:numPr>
        <w:tabs>
          <w:tab w:val="left" w:pos="742"/>
        </w:tabs>
        <w:ind w:left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lang w:val="en-US" w:eastAsia="zh-CN"/>
        </w:rPr>
        <w:t>3.</w:t>
      </w:r>
      <w:r>
        <w:rPr>
          <w:rFonts w:hint="eastAsia" w:ascii="楷体" w:hAnsi="楷体" w:eastAsia="楷体" w:cs="Times New Roman"/>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leftChars="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0"/>
        </w:numPr>
        <w:tabs>
          <w:tab w:val="left" w:pos="742"/>
        </w:tabs>
        <w:ind w:left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4.结构性存款的特殊风险：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书前，应当仔细阅读风险揭示书、理财产品说明书、投资者权益须知、理财产品投资协议书及理财产品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lang w:val="en-US" w:eastAsia="zh-CN"/>
        </w:rPr>
        <w:t>如本</w:t>
      </w:r>
      <w:r>
        <w:rPr>
          <w:rFonts w:hint="eastAsia" w:ascii="楷体" w:hAnsi="楷体" w:eastAsia="楷体"/>
          <w:b/>
          <w:sz w:val="24"/>
          <w:szCs w:val="24"/>
          <w:highlight w:val="none"/>
          <w:u w:val="single"/>
        </w:rPr>
        <w:t>产品通过代理销售机构渠道销售，理财产品评级以代理销售机构最终披露的评级结果为准。</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9"/>
        </w:numPr>
        <w:tabs>
          <w:tab w:val="left" w:pos="742"/>
        </w:tabs>
        <w:ind w:left="0" w:firstLine="480" w:firstLineChars="200"/>
        <w:rPr>
          <w:rFonts w:ascii="楷体" w:hAnsi="楷体" w:eastAsia="楷体"/>
          <w:b/>
          <w:sz w:val="24"/>
          <w:szCs w:val="24"/>
          <w:highlight w:val="none"/>
        </w:rPr>
      </w:pPr>
      <w:r>
        <w:rPr>
          <w:rFonts w:hint="eastAsia" w:ascii="楷体" w:hAnsi="楷体" w:eastAsia="楷体"/>
          <w:sz w:val="24"/>
          <w:szCs w:val="24"/>
          <w:highlight w:val="none"/>
        </w:rPr>
        <w:t>本理财产品的风险揭示书、理财产品说明书、投资者权益须知、理财产品投资协议书及</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numPr>
          <w:ilvl w:val="0"/>
          <w:numId w:val="9"/>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根据</w:t>
      </w:r>
      <w:r>
        <w:rPr>
          <w:rFonts w:hint="eastAsia" w:ascii="楷体" w:hAnsi="楷体" w:eastAsia="楷体"/>
          <w:sz w:val="24"/>
          <w:szCs w:val="24"/>
          <w:highlight w:val="none"/>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ind w:left="420"/>
        <w:jc w:val="right"/>
        <w:rPr>
          <w:rFonts w:hint="eastAsia" w:ascii="楷体" w:hAnsi="楷体" w:eastAsia="楷体"/>
          <w:b/>
          <w:highlight w:val="none"/>
        </w:rPr>
      </w:pPr>
      <w:r>
        <w:rPr>
          <w:rFonts w:ascii="楷体" w:hAnsi="楷体" w:eastAsia="楷体"/>
          <w:b/>
          <w:highlight w:val="none"/>
        </w:rPr>
        <w:br w:type="page"/>
      </w:r>
    </w:p>
    <w:p>
      <w:pPr>
        <w:pStyle w:val="12"/>
        <w:spacing w:before="0" w:beforeAutospacing="0" w:after="0" w:afterAutospacing="0" w:line="360" w:lineRule="auto"/>
        <w:jc w:val="center"/>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hint="eastAsia" w:ascii="楷体" w:hAnsi="楷体" w:eastAsia="楷体"/>
          <w:sz w:val="24"/>
          <w:szCs w:val="24"/>
          <w:highlight w:val="none"/>
          <w:lang w:val="en-US" w:eastAsia="zh-CN"/>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hint="eastAsia" w:ascii="楷体" w:hAnsi="楷体" w:eastAsia="楷体"/>
          <w:sz w:val="24"/>
          <w:szCs w:val="24"/>
        </w:rPr>
      </w:pPr>
      <w:r>
        <w:rPr>
          <w:rFonts w:hint="eastAsia" w:ascii="楷体" w:hAnsi="楷体" w:eastAsia="楷体"/>
          <w:sz w:val="24"/>
          <w:szCs w:val="24"/>
          <w:highlight w:val="none"/>
        </w:rPr>
        <w:t>年   月   日</w:t>
      </w:r>
    </w:p>
    <w:p>
      <w:pPr>
        <w:pStyle w:val="12"/>
        <w:spacing w:before="0" w:beforeAutospacing="0" w:after="0" w:afterAutospacing="0" w:line="360" w:lineRule="auto"/>
        <w:rPr>
          <w:rFonts w:hint="eastAsia" w:ascii="楷体" w:hAnsi="楷体" w:eastAsia="楷体"/>
        </w:rPr>
      </w:pPr>
    </w:p>
    <w:p>
      <w:pPr>
        <w:pStyle w:val="12"/>
        <w:spacing w:before="0" w:beforeAutospacing="0" w:after="0" w:afterAutospacing="0"/>
        <w:jc w:val="center"/>
        <w:rPr>
          <w:rFonts w:hint="eastAsia" w:ascii="楷体" w:hAnsi="楷体" w:eastAsia="楷体"/>
          <w:b/>
          <w:sz w:val="36"/>
          <w:szCs w:val="36"/>
        </w:rPr>
      </w:pPr>
      <w:r>
        <w:rPr>
          <w:rFonts w:ascii="楷体" w:hAnsi="楷体" w:eastAsia="楷体"/>
          <w:b/>
          <w:sz w:val="36"/>
          <w:szCs w:val="36"/>
        </w:rPr>
        <w:br w:type="page"/>
      </w:r>
      <w:bookmarkStart w:id="0" w:name="_GoBack"/>
      <w:r>
        <w:rPr>
          <w:rFonts w:hint="eastAsia" w:ascii="楷体" w:hAnsi="楷体" w:eastAsia="楷体"/>
          <w:b/>
          <w:sz w:val="36"/>
          <w:szCs w:val="36"/>
        </w:rPr>
        <w:t>“苏银理财恒源日申季持1号”理财产品说明书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1"/>
        </w:numPr>
        <w:rPr>
          <w:rFonts w:hint="eastAsia"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、其他风险等。请仔细阅读《“苏银理财恒源日申季持1号”理财产品风险揭示书》的“风险揭示”部分。</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1"/>
        </w:numPr>
        <w:rPr>
          <w:rFonts w:hint="eastAsia" w:ascii="楷体" w:hAnsi="楷体" w:eastAsia="楷体"/>
          <w:b/>
          <w:sz w:val="24"/>
          <w:szCs w:val="24"/>
          <w:highlight w:val="none"/>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1"/>
        </w:numPr>
        <w:rPr>
          <w:rFonts w:hint="eastAsia" w:ascii="楷体" w:hAnsi="楷体" w:eastAsia="楷体"/>
          <w:sz w:val="24"/>
          <w:szCs w:val="24"/>
          <w:highlight w:val="none"/>
        </w:rPr>
      </w:pPr>
      <w:r>
        <w:rPr>
          <w:rFonts w:hint="eastAsia" w:ascii="楷体" w:hAnsi="楷体" w:eastAsia="楷体"/>
          <w:sz w:val="24"/>
          <w:szCs w:val="24"/>
        </w:rPr>
        <w:t>为贯彻落实</w:t>
      </w:r>
      <w:r>
        <w:rPr>
          <w:rFonts w:hint="eastAsia" w:ascii="楷体" w:hAnsi="楷体" w:eastAsia="楷体"/>
          <w:sz w:val="24"/>
          <w:szCs w:val="24"/>
          <w:highlight w:val="none"/>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highlight w:val="none"/>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r>
        <w:rPr>
          <w:rFonts w:hint="eastAsia" w:ascii="楷体" w:hAnsi="楷体" w:eastAsia="楷体"/>
          <w:sz w:val="24"/>
          <w:szCs w:val="24"/>
          <w:highlight w:val="none"/>
        </w:rPr>
        <w:t>。</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w:t>
      </w:r>
      <w:r>
        <w:rPr>
          <w:rFonts w:hint="eastAsia" w:ascii="楷体" w:hAnsi="楷体" w:eastAsia="楷体"/>
          <w:sz w:val="24"/>
          <w:szCs w:val="24"/>
          <w:highlight w:val="none"/>
          <w:lang w:val="en-US" w:eastAsia="zh-CN"/>
        </w:rPr>
        <w:t>本理财产品</w:t>
      </w:r>
      <w:r>
        <w:rPr>
          <w:rFonts w:hint="eastAsia" w:ascii="楷体" w:hAnsi="楷体" w:eastAsia="楷体"/>
          <w:sz w:val="24"/>
          <w:szCs w:val="24"/>
          <w:highlight w:val="none"/>
        </w:rPr>
        <w:t>说明书约定的信息披露方式予以披露。</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11"/>
        </w:numPr>
        <w:rPr>
          <w:rFonts w:hint="eastAsia" w:ascii="楷体" w:hAnsi="楷体" w:eastAsia="楷体"/>
        </w:rPr>
      </w:pPr>
      <w:r>
        <w:rPr>
          <w:rFonts w:hint="eastAsia" w:ascii="楷体" w:hAnsi="楷体" w:eastAsia="楷体"/>
          <w:sz w:val="24"/>
          <w:szCs w:val="24"/>
          <w:highlight w:val="none"/>
        </w:rPr>
        <w:t>本理财产品说明书在法律许可的范围内由苏银理财负责解释。</w:t>
      </w:r>
    </w:p>
    <w:p>
      <w:pPr>
        <w:ind w:left="420"/>
        <w:rPr>
          <w:rFonts w:hint="eastAsia" w:ascii="楷体" w:hAnsi="楷体" w:eastAsia="楷体"/>
          <w:sz w:val="24"/>
          <w:szCs w:val="24"/>
        </w:rPr>
      </w:pP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insoku w:val="0"/>
              <w:overflowPunct w:val="0"/>
              <w:spacing w:before="13"/>
              <w:ind w:left="2"/>
              <w:rPr>
                <w:rFonts w:ascii="楷体" w:hAnsi="楷体" w:eastAsia="楷体" w:cs="宋体"/>
                <w:spacing w:val="-2"/>
                <w:sz w:val="21"/>
                <w:szCs w:val="21"/>
              </w:rPr>
            </w:pPr>
            <w:r>
              <w:rPr>
                <w:rFonts w:hint="eastAsia" w:ascii="楷体" w:hAnsi="楷体" w:eastAsia="楷体" w:cs="宋体"/>
                <w:spacing w:val="-2"/>
                <w:sz w:val="21"/>
                <w:szCs w:val="21"/>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jc w:val="center"/>
        </w:trPr>
        <w:tc>
          <w:tcPr>
            <w:tcW w:w="2278" w:type="dxa"/>
            <w:noWrap w:val="0"/>
            <w:vAlign w:val="center"/>
          </w:tcPr>
          <w:p>
            <w:pPr>
              <w:pStyle w:val="32"/>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Z7003121000077</w:t>
            </w:r>
          </w:p>
          <w:p>
            <w:pPr>
              <w:pStyle w:val="32"/>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 w:hRule="exact"/>
          <w:jc w:val="center"/>
        </w:trPr>
        <w:tc>
          <w:tcPr>
            <w:tcW w:w="2278" w:type="dxa"/>
            <w:noWrap w:val="0"/>
            <w:vAlign w:val="center"/>
          </w:tcPr>
          <w:p>
            <w:pPr>
              <w:pStyle w:val="32"/>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insoku w:val="0"/>
              <w:overflowPunct w:val="0"/>
              <w:spacing w:before="12"/>
              <w:rPr>
                <w:rFonts w:hint="eastAsia" w:ascii="楷体" w:hAnsi="楷体" w:eastAsia="楷体"/>
                <w:spacing w:val="-2"/>
                <w:sz w:val="21"/>
                <w:szCs w:val="21"/>
              </w:rPr>
            </w:pPr>
            <w:r>
              <w:rPr>
                <w:rFonts w:ascii="楷体" w:hAnsi="楷体" w:eastAsia="楷体" w:cs="宋体"/>
                <w:spacing w:val="-2"/>
                <w:sz w:val="21"/>
                <w:szCs w:val="21"/>
              </w:rPr>
              <w:t>F份额</w:t>
            </w:r>
            <w:r>
              <w:rPr>
                <w:rFonts w:hint="eastAsia" w:ascii="楷体" w:hAnsi="楷体" w:eastAsia="楷体" w:cs="宋体"/>
                <w:spacing w:val="-2"/>
                <w:sz w:val="21"/>
                <w:szCs w:val="21"/>
              </w:rPr>
              <w:t>：苏银理财恒源日申季持1号F/</w:t>
            </w:r>
            <w:r>
              <w:rPr>
                <w:rFonts w:hint="eastAsia" w:ascii="Calibri" w:hAnsi="微软雅黑"/>
                <w:color w:val="000000"/>
                <w:kern w:val="24"/>
                <w:szCs w:val="21"/>
              </w:rPr>
              <w:t xml:space="preserve"> </w:t>
            </w:r>
            <w:r>
              <w:rPr>
                <w:rFonts w:hint="eastAsia" w:ascii="楷体" w:hAnsi="楷体" w:eastAsia="楷体"/>
                <w:spacing w:val="-2"/>
                <w:sz w:val="21"/>
                <w:szCs w:val="21"/>
              </w:rPr>
              <w:t>J0</w:t>
            </w:r>
            <w:r>
              <w:rPr>
                <w:rFonts w:ascii="楷体" w:hAnsi="楷体" w:eastAsia="楷体"/>
                <w:spacing w:val="-2"/>
                <w:sz w:val="21"/>
                <w:szCs w:val="21"/>
              </w:rPr>
              <w:t>1977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exact"/>
          <w:jc w:val="center"/>
        </w:trPr>
        <w:tc>
          <w:tcPr>
            <w:tcW w:w="2278" w:type="dxa"/>
            <w:noWrap w:val="0"/>
            <w:vAlign w:val="center"/>
          </w:tcPr>
          <w:p>
            <w:pPr>
              <w:pStyle w:val="32"/>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insoku w:val="0"/>
              <w:overflowPunct w:val="0"/>
              <w:spacing w:before="13"/>
              <w:ind w:left="18"/>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4"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F</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614" w:type="dxa"/>
            <w:noWrap w:val="0"/>
            <w:vAlign w:val="center"/>
          </w:tcPr>
          <w:p>
            <w:pPr>
              <w:pStyle w:val="32"/>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exact"/>
          <w:jc w:val="center"/>
        </w:trPr>
        <w:tc>
          <w:tcPr>
            <w:tcW w:w="2278" w:type="dxa"/>
            <w:noWrap w:val="0"/>
            <w:vAlign w:val="center"/>
          </w:tcPr>
          <w:p>
            <w:pPr>
              <w:pStyle w:val="32"/>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2650</w:t>
            </w:r>
            <w:r>
              <w:rPr>
                <w:rFonts w:hint="eastAsia" w:ascii="楷体" w:hAnsi="楷体" w:eastAsia="楷体" w:cs="宋体"/>
                <w:spacing w:val="-2"/>
                <w:sz w:val="21"/>
                <w:szCs w:val="21"/>
              </w:rPr>
              <w:t>亿元，其中F份额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rPr>
              <w:t>。</w:t>
            </w:r>
          </w:p>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highlight w:val="none"/>
              </w:rPr>
              <w:t>苏银理财有权根据投资运作情况，调整</w:t>
            </w:r>
            <w:r>
              <w:rPr>
                <w:rFonts w:hint="eastAsia" w:ascii="楷体" w:hAnsi="楷体" w:eastAsia="楷体" w:cs="宋体"/>
                <w:spacing w:val="-2"/>
                <w:sz w:val="21"/>
                <w:szCs w:val="21"/>
                <w:highlight w:val="none"/>
                <w:lang w:val="en-US" w:eastAsia="zh-CN"/>
              </w:rPr>
              <w:t>初始募集规模和</w:t>
            </w:r>
            <w:r>
              <w:rPr>
                <w:rFonts w:hint="eastAsia" w:ascii="楷体" w:hAnsi="楷体" w:eastAsia="楷体" w:cs="宋体"/>
                <w:spacing w:val="-2"/>
                <w:sz w:val="21"/>
                <w:szCs w:val="21"/>
                <w:highlight w:val="none"/>
              </w:rPr>
              <w:t>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jc w:val="left"/>
              <w:rPr>
                <w:rFonts w:hint="eastAsia" w:ascii="楷体" w:hAnsi="楷体" w:eastAsia="楷体"/>
                <w:kern w:val="2"/>
                <w:sz w:val="21"/>
                <w:szCs w:val="21"/>
                <w:lang w:val="en-US" w:eastAsia="zh-CN" w:bidi="ar-SA"/>
              </w:rPr>
            </w:pPr>
            <w:r>
              <w:rPr>
                <w:rFonts w:hint="eastAsia" w:ascii="楷体" w:hAnsi="楷体" w:eastAsia="楷体"/>
                <w:szCs w:val="21"/>
              </w:rPr>
              <w:t>F份额购买起点金额为1元，追加金额为0</w:t>
            </w:r>
            <w:r>
              <w:rPr>
                <w:rFonts w:ascii="楷体" w:hAnsi="楷体" w:eastAsia="楷体"/>
                <w:szCs w:val="21"/>
              </w:rPr>
              <w:t>.0</w:t>
            </w:r>
            <w:r>
              <w:rPr>
                <w:rFonts w:hint="eastAsia" w:ascii="楷体" w:hAnsi="楷体" w:eastAsia="楷体"/>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exact"/>
          <w:jc w:val="center"/>
        </w:trPr>
        <w:tc>
          <w:tcPr>
            <w:tcW w:w="2278" w:type="dxa"/>
            <w:noWrap w:val="0"/>
            <w:vAlign w:val="center"/>
          </w:tcPr>
          <w:p>
            <w:pPr>
              <w:pStyle w:val="32"/>
              <w:kinsoku w:val="0"/>
              <w:overflowPunct w:val="0"/>
              <w:spacing w:before="13"/>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insoku w:val="0"/>
              <w:overflowPunct w:val="0"/>
              <w:spacing w:before="12"/>
              <w:ind w:left="59" w:leftChars="0" w:right="73" w:rightChars="3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年7月27日-20</w:t>
            </w:r>
            <w:r>
              <w:rPr>
                <w:rFonts w:ascii="楷体" w:hAnsi="楷体" w:eastAsia="楷体" w:cs="宋体"/>
                <w:spacing w:val="-2"/>
                <w:sz w:val="21"/>
                <w:szCs w:val="21"/>
              </w:rPr>
              <w:t>21</w:t>
            </w:r>
            <w:r>
              <w:rPr>
                <w:rFonts w:hint="eastAsia" w:ascii="楷体" w:hAnsi="楷体" w:eastAsia="楷体" w:cs="宋体"/>
                <w:spacing w:val="-2"/>
                <w:sz w:val="21"/>
                <w:szCs w:val="21"/>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认购份额计算</w:t>
            </w:r>
          </w:p>
        </w:tc>
        <w:tc>
          <w:tcPr>
            <w:tcW w:w="6614" w:type="dxa"/>
            <w:noWrap w:val="0"/>
            <w:vAlign w:val="center"/>
          </w:tcPr>
          <w:p>
            <w:pPr>
              <w:jc w:val="left"/>
              <w:rPr>
                <w:rFonts w:hint="eastAsia" w:ascii="楷体" w:hAnsi="楷体" w:eastAsia="楷体" w:cs="宋体"/>
                <w:spacing w:val="-2"/>
                <w:sz w:val="21"/>
                <w:szCs w:val="21"/>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2"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年7月30日-20</w:t>
            </w:r>
            <w:r>
              <w:rPr>
                <w:rFonts w:ascii="楷体" w:hAnsi="楷体" w:eastAsia="楷体" w:cs="宋体"/>
                <w:spacing w:val="-2"/>
                <w:sz w:val="21"/>
                <w:szCs w:val="21"/>
              </w:rPr>
              <w:t>21</w:t>
            </w:r>
            <w:r>
              <w:rPr>
                <w:rFonts w:hint="eastAsia" w:ascii="楷体" w:hAnsi="楷体" w:eastAsia="楷体" w:cs="宋体"/>
                <w:spacing w:val="-2"/>
                <w:sz w:val="21"/>
                <w:szCs w:val="21"/>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终止日</w:t>
            </w:r>
          </w:p>
        </w:tc>
        <w:tc>
          <w:tcPr>
            <w:tcW w:w="6614" w:type="dxa"/>
            <w:noWrap w:val="0"/>
            <w:vAlign w:val="center"/>
          </w:tcPr>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2041年7月30日（如遇节假日，顺延至下一工作日）</w:t>
            </w:r>
          </w:p>
          <w:p>
            <w:pPr>
              <w:pStyle w:val="32"/>
              <w:rPr>
                <w:rFonts w:hint="eastAsia" w:ascii="楷体" w:hAnsi="楷体" w:eastAsia="楷体" w:cs="宋体"/>
                <w:spacing w:val="-2"/>
                <w:sz w:val="21"/>
                <w:szCs w:val="21"/>
              </w:rPr>
            </w:pPr>
            <w:r>
              <w:rPr>
                <w:rFonts w:hint="eastAsia" w:ascii="楷体" w:hAnsi="楷体" w:eastAsia="楷体" w:cs="宋体"/>
                <w:spacing w:val="-2"/>
                <w:sz w:val="21"/>
                <w:szCs w:val="21"/>
                <w:highlight w:val="none"/>
              </w:rPr>
              <w:t>在符合</w:t>
            </w:r>
            <w:r>
              <w:rPr>
                <w:rFonts w:hint="eastAsia" w:ascii="楷体" w:hAnsi="楷体" w:eastAsia="楷体" w:cs="宋体"/>
                <w:spacing w:val="-2"/>
                <w:sz w:val="21"/>
                <w:szCs w:val="21"/>
                <w:highlight w:val="none"/>
                <w:lang w:val="en-US" w:eastAsia="zh-CN"/>
              </w:rPr>
              <w:t>本理财</w:t>
            </w:r>
            <w:r>
              <w:rPr>
                <w:rFonts w:hint="eastAsia" w:ascii="楷体" w:hAnsi="楷体" w:eastAsia="楷体" w:cs="宋体"/>
                <w:spacing w:val="-2"/>
                <w:sz w:val="21"/>
                <w:szCs w:val="21"/>
                <w:highlight w:val="none"/>
              </w:rPr>
              <w:t>产品说明书约定的条件下，</w:t>
            </w:r>
            <w:r>
              <w:rPr>
                <w:rFonts w:hint="eastAsia" w:ascii="楷体" w:hAnsi="楷体" w:eastAsia="楷体" w:cs="宋体"/>
                <w:spacing w:val="-2"/>
                <w:sz w:val="21"/>
                <w:szCs w:val="21"/>
                <w:highlight w:val="none"/>
                <w:lang w:val="en-US" w:eastAsia="zh-CN"/>
              </w:rPr>
              <w:t>管理人</w:t>
            </w:r>
            <w:r>
              <w:rPr>
                <w:rFonts w:hint="eastAsia" w:ascii="楷体" w:hAnsi="楷体" w:eastAsia="楷体" w:cs="宋体"/>
                <w:spacing w:val="-2"/>
                <w:sz w:val="21"/>
                <w:szCs w:val="21"/>
                <w:highlight w:val="none"/>
              </w:rPr>
              <w:t>有权提前终止</w:t>
            </w:r>
            <w:r>
              <w:rPr>
                <w:rFonts w:hint="eastAsia" w:ascii="楷体" w:hAnsi="楷体" w:eastAsia="楷体" w:cs="宋体"/>
                <w:spacing w:val="-2"/>
                <w:sz w:val="21"/>
                <w:szCs w:val="21"/>
                <w:highlight w:val="none"/>
                <w:lang w:val="en-US" w:eastAsia="zh-CN"/>
              </w:rPr>
              <w:t>该</w:t>
            </w:r>
            <w:r>
              <w:rPr>
                <w:rFonts w:hint="eastAsia" w:ascii="楷体" w:hAnsi="楷体" w:eastAsia="楷体" w:cs="宋体"/>
                <w:spacing w:val="-2"/>
                <w:sz w:val="21"/>
                <w:szCs w:val="21"/>
                <w:highlight w:val="none"/>
              </w:rPr>
              <w:t>产品，产品到期日受制于提前终止条款。详见下文“十二、产品的终止与清算”。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exact"/>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614" w:type="dxa"/>
            <w:noWrap w:val="0"/>
            <w:vAlign w:val="center"/>
          </w:tcPr>
          <w:p>
            <w:pPr>
              <w:pStyle w:val="32"/>
              <w:kinsoku w:val="0"/>
              <w:overflowPunct w:val="0"/>
              <w:spacing w:before="12"/>
              <w:ind w:left="2" w:leftChars="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614" w:type="dxa"/>
            <w:noWrap w:val="0"/>
            <w:vAlign w:val="top"/>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spacing w:val="-2"/>
                <w:sz w:val="21"/>
                <w:szCs w:val="21"/>
              </w:rPr>
              <w:t>本产品封闭运作期结束后，</w:t>
            </w: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自2021年8月23日起按工作日开放申购/赎回，苏银理财可根据资产运作情况、节假日调整、客户需求调整开放频率，并在调整前通过苏银理财官方网站公告。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exact"/>
          <w:jc w:val="center"/>
        </w:trPr>
        <w:tc>
          <w:tcPr>
            <w:tcW w:w="2278" w:type="dxa"/>
            <w:noWrap w:val="0"/>
            <w:vAlign w:val="center"/>
          </w:tcPr>
          <w:p>
            <w:pPr>
              <w:pStyle w:val="32"/>
              <w:kinsoku w:val="0"/>
              <w:overflowPunct w:val="0"/>
              <w:spacing w:before="13"/>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单一投资者单日累计认/申购上限</w:t>
            </w:r>
          </w:p>
        </w:tc>
        <w:tc>
          <w:tcPr>
            <w:tcW w:w="6614" w:type="dxa"/>
            <w:noWrap w:val="0"/>
            <w:vAlign w:val="center"/>
          </w:tcPr>
          <w:p>
            <w:pPr>
              <w:pStyle w:val="32"/>
              <w:kinsoku w:val="0"/>
              <w:overflowPunct w:val="0"/>
              <w:spacing w:before="12"/>
              <w:ind w:right="115" w:rightChars="55"/>
              <w:jc w:val="both"/>
              <w:rPr>
                <w:rFonts w:hint="eastAsia" w:ascii="楷体" w:hAnsi="楷体" w:eastAsia="楷体" w:cs="宋体"/>
                <w:spacing w:val="-2"/>
                <w:kern w:val="0"/>
                <w:szCs w:val="21"/>
              </w:rPr>
            </w:pPr>
            <w:r>
              <w:rPr>
                <w:rFonts w:ascii="楷体" w:hAnsi="楷体" w:eastAsia="楷体" w:cs="宋体"/>
                <w:spacing w:val="-2"/>
                <w:sz w:val="21"/>
                <w:szCs w:val="21"/>
              </w:rPr>
              <w:t>F</w:t>
            </w:r>
            <w:r>
              <w:rPr>
                <w:rFonts w:hint="eastAsia" w:ascii="楷体" w:hAnsi="楷体" w:eastAsia="楷体" w:cs="宋体"/>
                <w:spacing w:val="-2"/>
                <w:sz w:val="21"/>
                <w:szCs w:val="21"/>
              </w:rPr>
              <w:t>份额单个工作日累计认/申购上限</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3" w:hRule="exact"/>
          <w:jc w:val="center"/>
        </w:trPr>
        <w:tc>
          <w:tcPr>
            <w:tcW w:w="2278" w:type="dxa"/>
            <w:noWrap w:val="0"/>
            <w:vAlign w:val="center"/>
          </w:tcPr>
          <w:p>
            <w:pPr>
              <w:pStyle w:val="32"/>
              <w:kinsoku w:val="0"/>
              <w:overflowPunct w:val="0"/>
              <w:spacing w:before="12"/>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单个客户持有份额上限</w:t>
            </w:r>
          </w:p>
        </w:tc>
        <w:tc>
          <w:tcPr>
            <w:tcW w:w="6614" w:type="dxa"/>
            <w:noWrap w:val="0"/>
            <w:vAlign w:val="center"/>
          </w:tcPr>
          <w:p>
            <w:pPr>
              <w:ind w:left="59" w:leftChars="0" w:right="73" w:rightChars="35"/>
              <w:rPr>
                <w:rFonts w:ascii="楷体" w:hAnsi="楷体" w:eastAsia="楷体" w:cs="宋体"/>
                <w:spacing w:val="-2"/>
                <w:sz w:val="21"/>
                <w:szCs w:val="21"/>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申购时间为7*24小时，工作日1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0前申购T+1确认，1</w:t>
            </w:r>
            <w:r>
              <w:rPr>
                <w:rFonts w:hint="eastAsia" w:ascii="楷体" w:hAnsi="楷体" w:eastAsia="楷体" w:cs="宋体"/>
                <w:spacing w:val="-2"/>
                <w:kern w:val="0"/>
                <w:szCs w:val="21"/>
                <w:lang w:val="en-US" w:eastAsia="zh-CN"/>
              </w:rPr>
              <w:t>7</w:t>
            </w:r>
            <w:r>
              <w:rPr>
                <w:rFonts w:hint="eastAsia" w:ascii="楷体" w:hAnsi="楷体" w:eastAsia="楷体" w:cs="宋体"/>
                <w:spacing w:val="-2"/>
                <w:kern w:val="0"/>
                <w:szCs w:val="21"/>
              </w:rPr>
              <w:t>：</w:t>
            </w:r>
            <w:r>
              <w:rPr>
                <w:rFonts w:hint="eastAsia" w:ascii="楷体" w:hAnsi="楷体" w:eastAsia="楷体" w:cs="宋体"/>
                <w:spacing w:val="-2"/>
                <w:kern w:val="0"/>
                <w:szCs w:val="21"/>
                <w:lang w:val="en-US" w:eastAsia="zh-CN"/>
              </w:rPr>
              <w:t>0</w:t>
            </w:r>
            <w:r>
              <w:rPr>
                <w:rFonts w:hint="eastAsia" w:ascii="楷体" w:hAnsi="楷体" w:eastAsia="楷体" w:cs="宋体"/>
                <w:spacing w:val="-2"/>
                <w:kern w:val="0"/>
                <w:szCs w:val="21"/>
              </w:rPr>
              <w:t>0后的申购为预受理，视同下一工作日申购。申购按受理日当日单位净值确认份额。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614"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申购份额的计算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highlight w:val="none"/>
              </w:rPr>
            </w:pPr>
            <w:r>
              <w:rPr>
                <w:rFonts w:hint="eastAsia" w:ascii="楷体" w:hAnsi="楷体" w:eastAsia="楷体" w:cs="宋体"/>
                <w:spacing w:val="-2"/>
                <w:kern w:val="0"/>
                <w:sz w:val="21"/>
                <w:szCs w:val="21"/>
                <w:highlight w:val="none"/>
                <w:lang w:val="en-US" w:eastAsia="zh-CN" w:bidi="ar-SA"/>
              </w:rPr>
              <w:t>申购份额=申购金额/申购受理日产品单位净值（四舍五入保留2位小数）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4"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numPr>
                <w:ilvl w:val="0"/>
                <w:numId w:val="1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本产品F份额</w:t>
            </w:r>
            <w:r>
              <w:rPr>
                <w:rFonts w:hint="eastAsia" w:ascii="楷体" w:hAnsi="楷体" w:eastAsia="楷体" w:cs="宋体"/>
                <w:spacing w:val="-2"/>
                <w:kern w:val="0"/>
                <w:szCs w:val="21"/>
                <w:highlight w:val="none"/>
              </w:rPr>
              <w:t>自动赎回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本产品以</w:t>
            </w:r>
            <w:r>
              <w:rPr>
                <w:rFonts w:hint="eastAsia" w:ascii="楷体" w:hAnsi="楷体" w:eastAsia="楷体" w:cs="宋体"/>
                <w:spacing w:val="-2"/>
                <w:kern w:val="0"/>
                <w:szCs w:val="21"/>
                <w:highlight w:val="none"/>
                <w:lang w:val="en-US" w:eastAsia="zh-CN"/>
              </w:rPr>
              <w:t>98</w:t>
            </w:r>
            <w:r>
              <w:rPr>
                <w:rFonts w:hint="eastAsia" w:ascii="楷体" w:hAnsi="楷体" w:eastAsia="楷体" w:cs="宋体"/>
                <w:spacing w:val="-2"/>
                <w:kern w:val="0"/>
                <w:szCs w:val="21"/>
                <w:highlight w:val="none"/>
              </w:rPr>
              <w:t>天为</w:t>
            </w:r>
            <w:r>
              <w:rPr>
                <w:rFonts w:hint="eastAsia" w:ascii="楷体" w:hAnsi="楷体" w:eastAsia="楷体" w:cs="宋体"/>
                <w:spacing w:val="-2"/>
                <w:kern w:val="0"/>
                <w:szCs w:val="21"/>
                <w:highlight w:val="none"/>
                <w:lang w:val="en-US" w:eastAsia="zh-CN"/>
              </w:rPr>
              <w:t>单</w:t>
            </w:r>
            <w:r>
              <w:rPr>
                <w:rFonts w:hint="eastAsia" w:ascii="楷体" w:hAnsi="楷体" w:eastAsia="楷体" w:cs="宋体"/>
                <w:spacing w:val="-2"/>
                <w:kern w:val="0"/>
                <w:szCs w:val="21"/>
                <w:highlight w:val="none"/>
              </w:rPr>
              <w:t>个投资周期。</w:t>
            </w:r>
          </w:p>
          <w:p>
            <w:pPr>
              <w:numPr>
                <w:ilvl w:val="0"/>
                <w:numId w:val="1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销售机构不支持滚续，投资者份额持有单个投资周期。投资者</w:t>
            </w:r>
            <w:r>
              <w:rPr>
                <w:rFonts w:hint="eastAsia" w:ascii="楷体" w:hAnsi="楷体" w:eastAsia="楷体" w:cs="宋体"/>
                <w:spacing w:val="-2"/>
                <w:kern w:val="0"/>
                <w:szCs w:val="21"/>
                <w:highlight w:val="none"/>
              </w:rPr>
              <w:t>份额持有时间达到</w:t>
            </w:r>
            <w:r>
              <w:rPr>
                <w:rFonts w:hint="eastAsia" w:ascii="楷体" w:hAnsi="楷体" w:eastAsia="楷体" w:cs="宋体"/>
                <w:spacing w:val="-2"/>
                <w:kern w:val="0"/>
                <w:szCs w:val="21"/>
                <w:highlight w:val="none"/>
                <w:lang w:val="en-US" w:eastAsia="zh-CN"/>
              </w:rPr>
              <w:t>98</w:t>
            </w:r>
            <w:r>
              <w:rPr>
                <w:rFonts w:hint="eastAsia" w:ascii="楷体" w:hAnsi="楷体" w:eastAsia="楷体" w:cs="宋体"/>
                <w:spacing w:val="-2"/>
                <w:kern w:val="0"/>
                <w:szCs w:val="21"/>
                <w:highlight w:val="none"/>
              </w:rPr>
              <w:t>天，系统自动发起赎回。</w:t>
            </w:r>
            <w:r>
              <w:rPr>
                <w:rFonts w:hint="eastAsia" w:ascii="楷体" w:hAnsi="楷体" w:eastAsia="楷体" w:cs="宋体"/>
                <w:b/>
                <w:spacing w:val="-2"/>
                <w:kern w:val="0"/>
                <w:szCs w:val="21"/>
                <w:highlight w:val="none"/>
                <w:u w:val="single"/>
              </w:rPr>
              <w:t>如份额确认日对应的</w:t>
            </w:r>
            <w:r>
              <w:rPr>
                <w:rFonts w:hint="eastAsia" w:ascii="楷体" w:hAnsi="楷体" w:eastAsia="楷体" w:cs="宋体"/>
                <w:b/>
                <w:spacing w:val="-2"/>
                <w:kern w:val="0"/>
                <w:szCs w:val="21"/>
                <w:highlight w:val="none"/>
                <w:u w:val="single"/>
                <w:lang w:val="en-US" w:eastAsia="zh-CN"/>
              </w:rPr>
              <w:t>98</w:t>
            </w:r>
            <w:r>
              <w:rPr>
                <w:rFonts w:hint="eastAsia" w:ascii="楷体" w:hAnsi="楷体" w:eastAsia="楷体" w:cs="宋体"/>
                <w:b/>
                <w:spacing w:val="-2"/>
                <w:kern w:val="0"/>
                <w:szCs w:val="21"/>
                <w:highlight w:val="none"/>
                <w:u w:val="single"/>
              </w:rPr>
              <w:t>天为非工作日，苏银理财将对自动赎回日进行动态调整，以苏银理财的公告和系统设置为准，在此情形下投资周期可能会略长于或短于</w:t>
            </w:r>
            <w:r>
              <w:rPr>
                <w:rFonts w:hint="eastAsia" w:ascii="楷体" w:hAnsi="楷体" w:eastAsia="楷体" w:cs="宋体"/>
                <w:b/>
                <w:spacing w:val="-2"/>
                <w:kern w:val="0"/>
                <w:szCs w:val="21"/>
                <w:highlight w:val="none"/>
                <w:u w:val="single"/>
                <w:lang w:val="en-US" w:eastAsia="zh-CN"/>
              </w:rPr>
              <w:t>98</w:t>
            </w:r>
            <w:r>
              <w:rPr>
                <w:rFonts w:hint="eastAsia" w:ascii="楷体" w:hAnsi="楷体" w:eastAsia="楷体" w:cs="宋体"/>
                <w:b/>
                <w:spacing w:val="-2"/>
                <w:kern w:val="0"/>
                <w:szCs w:val="21"/>
                <w:highlight w:val="none"/>
                <w:u w:val="single"/>
              </w:rPr>
              <w:t>天</w:t>
            </w:r>
            <w:r>
              <w:rPr>
                <w:rFonts w:hint="eastAsia" w:ascii="楷体" w:hAnsi="楷体" w:eastAsia="楷体" w:cs="宋体"/>
                <w:spacing w:val="-2"/>
                <w:kern w:val="0"/>
                <w:szCs w:val="21"/>
                <w:highlight w:val="none"/>
              </w:rPr>
              <w:t>。</w:t>
            </w:r>
          </w:p>
          <w:p>
            <w:pPr>
              <w:numPr>
                <w:ilvl w:val="0"/>
                <w:numId w:val="13"/>
              </w:numPr>
              <w:jc w:val="left"/>
              <w:rPr>
                <w:rFonts w:hint="eastAsia" w:ascii="楷体" w:hAnsi="楷体" w:eastAsia="楷体" w:cs="宋体"/>
                <w:bCs/>
                <w:spacing w:val="-2"/>
                <w:kern w:val="0"/>
                <w:szCs w:val="21"/>
                <w:highlight w:val="none"/>
              </w:rPr>
            </w:pPr>
            <w:r>
              <w:rPr>
                <w:rFonts w:hint="eastAsia" w:ascii="楷体" w:hAnsi="楷体" w:eastAsia="楷体" w:cs="宋体"/>
                <w:spacing w:val="-2"/>
                <w:kern w:val="0"/>
                <w:szCs w:val="21"/>
                <w:highlight w:val="none"/>
                <w:lang w:val="en-US" w:eastAsia="zh-CN"/>
              </w:rPr>
              <w:t>销售机构支持滚续，</w:t>
            </w:r>
            <w:r>
              <w:rPr>
                <w:rFonts w:hint="eastAsia" w:ascii="楷体" w:hAnsi="楷体" w:eastAsia="楷体" w:cs="宋体"/>
                <w:spacing w:val="-2"/>
                <w:kern w:val="0"/>
                <w:szCs w:val="21"/>
                <w:highlight w:val="none"/>
              </w:rPr>
              <w:t>投资者份额可持有单个或多个投资周期</w:t>
            </w:r>
            <w:r>
              <w:rPr>
                <w:rFonts w:hint="eastAsia" w:ascii="楷体" w:hAnsi="楷体" w:eastAsia="楷体" w:cs="宋体"/>
                <w:spacing w:val="-2"/>
                <w:kern w:val="0"/>
                <w:szCs w:val="21"/>
                <w:highlight w:val="none"/>
                <w:lang w:eastAsia="zh-CN"/>
              </w:rPr>
              <w:t>。</w:t>
            </w:r>
            <w:r>
              <w:rPr>
                <w:rFonts w:hint="eastAsia" w:ascii="楷体" w:hAnsi="楷体" w:eastAsia="楷体" w:cs="宋体"/>
                <w:b w:val="0"/>
                <w:bCs/>
                <w:spacing w:val="-2"/>
                <w:szCs w:val="21"/>
                <w:u w:val="single"/>
                <w:lang w:val="en-US" w:eastAsia="zh-CN"/>
              </w:rPr>
              <w:t>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p>
          <w:p>
            <w:pPr>
              <w:numPr>
                <w:ilvl w:val="0"/>
                <w:numId w:val="13"/>
              </w:numPr>
              <w:jc w:val="left"/>
              <w:rPr>
                <w:rFonts w:hint="eastAsia" w:ascii="楷体" w:hAnsi="楷体" w:eastAsia="楷体" w:cs="宋体"/>
                <w:b/>
                <w:bCs w:val="0"/>
                <w:spacing w:val="-2"/>
                <w:kern w:val="0"/>
                <w:szCs w:val="21"/>
                <w:highlight w:val="none"/>
              </w:rPr>
            </w:pPr>
            <w:r>
              <w:rPr>
                <w:rFonts w:hint="eastAsia" w:ascii="楷体" w:hAnsi="楷体" w:eastAsia="楷体" w:cs="宋体"/>
                <w:b/>
                <w:bCs w:val="0"/>
                <w:spacing w:val="-2"/>
                <w:kern w:val="0"/>
                <w:szCs w:val="21"/>
                <w:highlight w:val="none"/>
              </w:rPr>
              <w:t>持有期未到投资周期结束日，投资者不可以提前赎回退出。</w:t>
            </w:r>
          </w:p>
          <w:p>
            <w:pPr>
              <w:numPr>
                <w:ilvl w:val="0"/>
                <w:numId w:val="13"/>
              </w:numPr>
              <w:jc w:val="left"/>
              <w:rPr>
                <w:rFonts w:ascii="楷体" w:hAnsi="楷体" w:eastAsia="楷体" w:cs="宋体"/>
                <w:b/>
                <w:spacing w:val="-2"/>
                <w:kern w:val="0"/>
                <w:szCs w:val="21"/>
                <w:highlight w:val="none"/>
                <w:u w:val="single"/>
              </w:rPr>
            </w:pPr>
            <w:r>
              <w:rPr>
                <w:rFonts w:hint="eastAsia" w:ascii="楷体" w:hAnsi="楷体" w:eastAsia="楷体" w:cs="宋体"/>
                <w:spacing w:val="-2"/>
                <w:kern w:val="0"/>
                <w:szCs w:val="21"/>
                <w:highlight w:val="none"/>
              </w:rPr>
              <w:t>赎回时按实际赎回日前一工作日产品单位净值计算客户赎回兑付金额。</w:t>
            </w:r>
          </w:p>
          <w:p>
            <w:pPr>
              <w:jc w:val="left"/>
              <w:rPr>
                <w:rFonts w:hint="eastAsia" w:ascii="楷体" w:hAnsi="楷体" w:eastAsia="楷体" w:cs="宋体"/>
                <w:spacing w:val="-2"/>
                <w:kern w:val="0"/>
                <w:szCs w:val="21"/>
              </w:rPr>
            </w:pP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赎回金额的计算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详见下文“十一、产品运作”</w:t>
            </w:r>
            <w:r>
              <w:rPr>
                <w:rFonts w:hint="eastAsia" w:ascii="楷体" w:hAnsi="楷体" w:eastAsia="楷体" w:cs="宋体"/>
                <w:spacing w:val="-2"/>
                <w:sz w:val="21"/>
                <w:szCs w:val="21"/>
                <w:highlight w:val="none"/>
                <w:lang w:val="en-US" w:eastAsia="zh-CN"/>
              </w:rPr>
              <w:t>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 w:val="21"/>
                <w:szCs w:val="21"/>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2"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b/>
                <w:spacing w:val="-2"/>
                <w:kern w:val="2"/>
                <w:sz w:val="21"/>
                <w:szCs w:val="21"/>
                <w:highlight w:val="none"/>
                <w:u w:val="single"/>
                <w:lang w:val="en-US" w:eastAsia="zh-CN" w:bidi="ar-SA"/>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614"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5" w:hRule="exact"/>
          <w:jc w:val="center"/>
        </w:trPr>
        <w:tc>
          <w:tcPr>
            <w:tcW w:w="2278" w:type="dxa"/>
            <w:noWrap w:val="0"/>
            <w:vAlign w:val="center"/>
          </w:tcPr>
          <w:p>
            <w:pPr>
              <w:pStyle w:val="32"/>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614"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w:t>
            </w:r>
            <w:r>
              <w:rPr>
                <w:rFonts w:hint="eastAsia" w:ascii="楷体" w:hAnsi="楷体" w:eastAsia="楷体" w:cs="宋体"/>
                <w:spacing w:val="-2"/>
                <w:kern w:val="0"/>
                <w:szCs w:val="21"/>
                <w:highlight w:val="none"/>
                <w:lang w:eastAsia="zh-CN"/>
              </w:rPr>
              <w:t>理财产品（代理）销售协议书</w:t>
            </w:r>
            <w:r>
              <w:rPr>
                <w:rFonts w:hint="eastAsia" w:ascii="楷体" w:hAnsi="楷体" w:eastAsia="楷体" w:cs="宋体"/>
                <w:spacing w:val="-2"/>
                <w:kern w:val="0"/>
                <w:szCs w:val="21"/>
                <w:highlight w:val="none"/>
              </w:rPr>
              <w:t>》相关条款确定。（以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lang w:eastAsia="zh-CN"/>
              </w:rPr>
              <w:t>）</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r>
              <w:rPr>
                <w:rFonts w:hint="eastAsia" w:ascii="楷体" w:hAnsi="楷体" w:eastAsia="楷体" w:cs="宋体"/>
                <w:b/>
                <w:spacing w:val="-2"/>
                <w:kern w:val="0"/>
                <w:szCs w:val="21"/>
                <w:highlight w:val="none"/>
                <w:u w:val="single"/>
              </w:rPr>
              <w:t>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5"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w:t>
            </w:r>
            <w:r>
              <w:rPr>
                <w:rFonts w:hint="eastAsia" w:ascii="楷体" w:hAnsi="楷体" w:eastAsia="楷体" w:cs="宋体"/>
                <w:spacing w:val="-2"/>
                <w:sz w:val="21"/>
                <w:szCs w:val="21"/>
                <w:highlight w:val="none"/>
              </w:rPr>
              <w:t>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7" w:hRule="exact"/>
          <w:jc w:val="center"/>
        </w:trPr>
        <w:tc>
          <w:tcPr>
            <w:tcW w:w="2278" w:type="dxa"/>
            <w:noWrap w:val="0"/>
            <w:vAlign w:val="center"/>
          </w:tcPr>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spacing w:before="37" w:line="273" w:lineRule="auto"/>
              <w:ind w:left="103" w:right="10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年化1.90%-2.80%</w:t>
            </w:r>
          </w:p>
          <w:p>
            <w:pPr>
              <w:pStyle w:val="32"/>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2"/>
              <w:kinsoku w:val="0"/>
              <w:overflowPunct w:val="0"/>
              <w:spacing w:before="37" w:line="273" w:lineRule="auto"/>
              <w:ind w:right="103"/>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p>
            <w:pPr>
              <w:pStyle w:val="32"/>
              <w:kinsoku w:val="0"/>
              <w:overflowPunct w:val="0"/>
              <w:spacing w:before="37" w:line="273" w:lineRule="auto"/>
              <w:ind w:right="103"/>
              <w:rPr>
                <w:rFonts w:hint="eastAsia" w:ascii="楷体" w:hAnsi="楷体" w:eastAsia="楷体" w:cs="宋体"/>
                <w:b/>
                <w:spacing w:val="-2"/>
                <w:sz w:val="21"/>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2" w:hRule="exact"/>
          <w:jc w:val="center"/>
        </w:trPr>
        <w:tc>
          <w:tcPr>
            <w:tcW w:w="2278" w:type="dxa"/>
            <w:noWrap w:val="0"/>
            <w:vAlign w:val="center"/>
          </w:tcPr>
          <w:p>
            <w:pPr>
              <w:pStyle w:val="32"/>
              <w:kinsoku w:val="0"/>
              <w:overflowPunct w:val="0"/>
              <w:spacing w:before="18"/>
              <w:ind w:left="4"/>
              <w:rPr>
                <w:rFonts w:hint="eastAsia"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ind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2．销售服务费率：F份额0</w:t>
            </w:r>
            <w:r>
              <w:rPr>
                <w:rFonts w:ascii="楷体" w:hAnsi="楷体" w:eastAsia="楷体" w:cs="宋体"/>
                <w:spacing w:val="-2"/>
                <w:szCs w:val="21"/>
              </w:rPr>
              <w:t>.20</w:t>
            </w:r>
            <w:r>
              <w:rPr>
                <w:rFonts w:hint="eastAsia" w:ascii="楷体" w:hAnsi="楷体" w:eastAsia="楷体" w:cs="宋体"/>
                <w:spacing w:val="-2"/>
                <w:szCs w:val="21"/>
              </w:rPr>
              <w:t>%/年；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w:t>
            </w:r>
            <w:r>
              <w:rPr>
                <w:rFonts w:ascii="楷体" w:hAnsi="楷体" w:eastAsia="楷体" w:cs="宋体"/>
                <w:spacing w:val="-2"/>
                <w:szCs w:val="21"/>
              </w:rPr>
              <w:t>F份额</w:t>
            </w:r>
            <w:r>
              <w:rPr>
                <w:rFonts w:hint="eastAsia" w:ascii="楷体" w:hAnsi="楷体" w:eastAsia="楷体" w:cs="宋体"/>
                <w:spacing w:val="-2"/>
                <w:szCs w:val="21"/>
              </w:rPr>
              <w:t>0</w:t>
            </w:r>
            <w:r>
              <w:rPr>
                <w:rFonts w:ascii="楷体" w:hAnsi="楷体" w:eastAsia="楷体" w:cs="宋体"/>
                <w:spacing w:val="-2"/>
                <w:szCs w:val="21"/>
              </w:rPr>
              <w:t>.80</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rPr>
              <w:t>。</w:t>
            </w:r>
          </w:p>
          <w:p>
            <w:pPr>
              <w:ind w:right="115" w:rightChars="55"/>
              <w:rPr>
                <w:rFonts w:ascii="楷体" w:hAnsi="楷体" w:eastAsia="楷体" w:cs="宋体"/>
                <w:spacing w:val="-2"/>
                <w:szCs w:val="21"/>
              </w:rPr>
            </w:pPr>
            <w:r>
              <w:rPr>
                <w:rFonts w:hint="eastAsia" w:ascii="楷体" w:hAnsi="楷体" w:eastAsia="楷体" w:cs="宋体"/>
                <w:spacing w:val="-2"/>
                <w:szCs w:val="21"/>
              </w:rPr>
              <w:t>4.超额业绩报酬：</w:t>
            </w:r>
            <w:r>
              <w:rPr>
                <w:rFonts w:hint="eastAsia" w:ascii="楷体" w:hAnsi="楷体" w:eastAsia="楷体" w:cs="宋体"/>
                <w:spacing w:val="-2"/>
                <w:szCs w:val="21"/>
                <w:highlight w:val="none"/>
              </w:rPr>
              <w:t>客户赎回时若持有份额的净值增长率超过业绩比较基准上限，管理人将在赎回时</w:t>
            </w:r>
            <w:r>
              <w:rPr>
                <w:rFonts w:ascii="楷体" w:hAnsi="楷体" w:eastAsia="楷体" w:cs="宋体"/>
                <w:spacing w:val="-2"/>
                <w:szCs w:val="21"/>
                <w:highlight w:val="none"/>
              </w:rPr>
              <w:t>对超过业绩比较基准上限的部分收取30%超额业绩报酬。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产品存续期内苏银理财可对</w:t>
            </w:r>
            <w:r>
              <w:rPr>
                <w:rFonts w:hint="eastAsia" w:ascii="楷体" w:hAnsi="楷体" w:eastAsia="楷体" w:cs="宋体"/>
                <w:spacing w:val="-2"/>
                <w:szCs w:val="21"/>
                <w:highlight w:val="none"/>
                <w:lang w:val="en-US" w:eastAsia="zh-CN"/>
              </w:rPr>
              <w:t>产品费用进行调整</w:t>
            </w:r>
            <w:r>
              <w:rPr>
                <w:rFonts w:hint="eastAsia" w:ascii="楷体" w:hAnsi="楷体" w:eastAsia="楷体" w:cs="宋体"/>
                <w:spacing w:val="-2"/>
                <w:szCs w:val="21"/>
                <w:highlight w:val="none"/>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估值日</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3" w:hRule="exact"/>
          <w:jc w:val="center"/>
        </w:trPr>
        <w:tc>
          <w:tcPr>
            <w:tcW w:w="2278" w:type="dxa"/>
            <w:noWrap w:val="0"/>
            <w:vAlign w:val="center"/>
          </w:tcPr>
          <w:p>
            <w:pPr>
              <w:pStyle w:val="32"/>
              <w:kinsoku w:val="0"/>
              <w:overflowPunct w:val="0"/>
              <w:spacing w:before="18"/>
              <w:ind w:left="4"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w:t>
            </w:r>
            <w:r>
              <w:rPr>
                <w:rFonts w:hint="eastAsia" w:ascii="楷体" w:hAnsi="楷体" w:eastAsia="楷体" w:cs="宋体"/>
                <w:spacing w:val="-2"/>
                <w:szCs w:val="21"/>
                <w:highlight w:val="none"/>
                <w:lang w:val="en-US" w:eastAsia="zh-CN"/>
              </w:rPr>
              <w:t>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收益分配</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信息披露</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税款</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金额上限、认购资金的最</w:t>
      </w:r>
      <w:r>
        <w:rPr>
          <w:rFonts w:hint="eastAsia" w:ascii="楷体" w:hAnsi="楷体" w:eastAsia="楷体" w:cs="Calibri"/>
          <w:sz w:val="24"/>
          <w:szCs w:val="24"/>
          <w:highlight w:val="none"/>
          <w:lang w:val="en-US" w:eastAsia="zh-CN"/>
        </w:rPr>
        <w:t>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1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法律法规、监管政策和本理财计划文件约定的其他权利。</w:t>
      </w:r>
    </w:p>
    <w:p>
      <w:pPr>
        <w:ind w:firstLine="480" w:firstLineChars="200"/>
        <w:rPr>
          <w:rFonts w:hint="eastAsia" w:ascii="楷体" w:hAnsi="楷体" w:eastAsia="楷体"/>
          <w:sz w:val="24"/>
          <w:szCs w:val="24"/>
        </w:rPr>
      </w:pP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w:t>
      </w:r>
      <w:r>
        <w:rPr>
          <w:rFonts w:hint="eastAsia" w:ascii="楷体" w:hAnsi="楷体" w:eastAsia="楷体"/>
          <w:sz w:val="24"/>
          <w:szCs w:val="24"/>
          <w:highlight w:val="none"/>
          <w:lang w:val="en-US" w:eastAsia="zh-CN"/>
        </w:rPr>
        <w:t>进行</w:t>
      </w:r>
      <w:r>
        <w:rPr>
          <w:rFonts w:hint="eastAsia" w:ascii="楷体" w:hAnsi="楷体" w:eastAsia="楷体"/>
          <w:sz w:val="24"/>
          <w:szCs w:val="24"/>
          <w:highlight w:val="none"/>
        </w:rPr>
        <w:t>销售。</w:t>
      </w:r>
      <w:r>
        <w:rPr>
          <w:rFonts w:hint="eastAsia" w:ascii="楷体" w:hAnsi="楷体" w:eastAsia="楷体"/>
          <w:b/>
          <w:sz w:val="24"/>
          <w:szCs w:val="24"/>
          <w:highlight w:val="none"/>
          <w:u w:val="single"/>
          <w:lang w:val="en-US" w:eastAsia="zh-CN"/>
        </w:rPr>
        <w:t>销售</w:t>
      </w:r>
      <w:r>
        <w:rPr>
          <w:rFonts w:hint="eastAsia" w:ascii="楷体" w:hAnsi="楷体" w:eastAsia="楷体"/>
          <w:b/>
          <w:sz w:val="24"/>
          <w:szCs w:val="24"/>
          <w:highlight w:val="none"/>
          <w:u w:val="single"/>
        </w:rPr>
        <w:t>机构负责</w:t>
      </w:r>
      <w:r>
        <w:rPr>
          <w:rFonts w:ascii="楷体" w:hAnsi="楷体" w:eastAsia="楷体"/>
          <w:b/>
          <w:sz w:val="24"/>
          <w:szCs w:val="24"/>
          <w:highlight w:val="none"/>
          <w:u w:val="single"/>
        </w:rPr>
        <w:t>理财产品宣传推广、投资者风险承受能力评估和投资者适当性管理、理财产品客户身份识别及反洗钱</w:t>
      </w:r>
      <w:r>
        <w:rPr>
          <w:rFonts w:hint="eastAsia" w:ascii="楷体" w:hAnsi="楷体" w:eastAsia="楷体"/>
          <w:b/>
          <w:sz w:val="24"/>
          <w:szCs w:val="24"/>
          <w:highlight w:val="none"/>
          <w:u w:val="single"/>
        </w:rPr>
        <w:t>、反恐怖融资及非居民金融账户涉税信息</w:t>
      </w:r>
      <w:r>
        <w:rPr>
          <w:rFonts w:ascii="楷体" w:hAnsi="楷体" w:eastAsia="楷体"/>
          <w:b/>
          <w:sz w:val="24"/>
          <w:szCs w:val="24"/>
          <w:highlight w:val="none"/>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highlight w:val="none"/>
          <w:u w:val="single"/>
        </w:rPr>
        <w:t>工作。</w:t>
      </w:r>
      <w:r>
        <w:rPr>
          <w:rFonts w:hint="eastAsia" w:ascii="楷体" w:hAnsi="楷体" w:eastAsia="楷体"/>
          <w:b/>
          <w:sz w:val="24"/>
          <w:szCs w:val="24"/>
          <w:highlight w:val="none"/>
          <w:u w:val="single"/>
          <w:lang w:val="en-US" w:eastAsia="zh-CN"/>
        </w:rPr>
        <w:t>销售</w:t>
      </w:r>
      <w:r>
        <w:rPr>
          <w:rFonts w:hint="eastAsia" w:ascii="楷体" w:hAnsi="楷体" w:eastAsia="楷体"/>
          <w:b/>
          <w:sz w:val="24"/>
          <w:szCs w:val="24"/>
          <w:highlight w:val="none"/>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21"/>
        <w:gridCol w:w="3955"/>
        <w:gridCol w:w="35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440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F份额</w:t>
            </w:r>
          </w:p>
        </w:tc>
        <w:tc>
          <w:tcPr>
            <w:tcW w:w="3955"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广东南粤银行股份有限公司</w:t>
            </w:r>
          </w:p>
        </w:tc>
        <w:tc>
          <w:tcPr>
            <w:tcW w:w="3543"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深圳前海微众银行股份有限公司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浙江平湖农村商业银行股份有限公司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浙江苍南农村商业银行股份有限公司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中邮邮惠万家银行有限责任公司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兰州银行股份有限公司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浙江德清农村商业银行股份有限公司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厦门银行股份有限公司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齐鲁银行股份有限公司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浙江桐乡农村商业银行股份有限公司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浙江永嘉农村商业银行股份有限公司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西安银行股份有限公司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上海银行股份有限公司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汉口银行股份有限公司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浙江嵊州农村商业银行股份有限公司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浙江兰溪农村商业银行股份有限公司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广州农村商业银行股份有限公司</w:t>
            </w:r>
          </w:p>
        </w:tc>
        <w:tc>
          <w:tcPr>
            <w:tcW w:w="3543"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潍坊银行股份有限公司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99" w:type="pct"/>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955"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浙江富阳农村商业银行股份有限公司</w:t>
            </w:r>
          </w:p>
        </w:tc>
        <w:tc>
          <w:tcPr>
            <w:tcW w:w="2079" w:type="pct"/>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bl>
    <w:p>
      <w:pPr>
        <w:ind w:firstLine="480" w:firstLineChars="200"/>
        <w:rPr>
          <w:rFonts w:hint="eastAsia" w:ascii="楷体" w:hAnsi="楷体" w:eastAsia="楷体"/>
          <w:sz w:val="24"/>
          <w:szCs w:val="24"/>
        </w:rPr>
      </w:pP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spacing w:line="0" w:lineRule="atLeast"/>
              <w:jc w:val="center"/>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w:t>
            </w:r>
          </w:p>
        </w:tc>
        <w:tc>
          <w:tcPr>
            <w:tcW w:w="2919" w:type="pct"/>
            <w:noWrap w:val="0"/>
            <w:vAlign w:val="top"/>
          </w:tcPr>
          <w:p>
            <w:pPr>
              <w:spacing w:line="0" w:lineRule="atLeast"/>
              <w:jc w:val="left"/>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华泰证券（上海）资产管理有限公司成立于2014年10月16日，系经中国证监会批准（证监许可【2014】679号），由华泰证券股份有限公司100%控股设立，注册资本26亿元。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w:t>
            </w:r>
          </w:p>
        </w:tc>
        <w:tc>
          <w:tcPr>
            <w:tcW w:w="2919"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2919" w:type="pct"/>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w:t>
      </w:r>
      <w:r>
        <w:rPr>
          <w:rFonts w:hint="eastAsia" w:ascii="楷体" w:hAnsi="楷体" w:eastAsia="楷体"/>
          <w:sz w:val="24"/>
          <w:szCs w:val="24"/>
          <w:highlight w:val="none"/>
          <w:lang w:val="en-US" w:eastAsia="zh-CN"/>
        </w:rPr>
        <w:t>披露新增的投资合作机构</w:t>
      </w:r>
      <w:r>
        <w:rPr>
          <w:rFonts w:hint="eastAsia" w:ascii="楷体" w:hAnsi="楷体" w:eastAsia="楷体"/>
          <w:sz w:val="24"/>
          <w:szCs w:val="24"/>
          <w:highlight w:val="none"/>
          <w:lang w:eastAsia="zh-CN"/>
        </w:rPr>
        <w:t>。</w:t>
      </w: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6"/>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1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w:t>
      </w:r>
      <w:r>
        <w:rPr>
          <w:rFonts w:hint="eastAsia" w:ascii="楷体" w:hAnsi="楷体" w:eastAsia="楷体" w:cs="Calibri"/>
          <w:sz w:val="24"/>
          <w:szCs w:val="24"/>
          <w:highlight w:val="none"/>
          <w:lang w:val="en-US" w:eastAsia="zh-CN"/>
        </w:rPr>
        <w:t>日申季持1号</w:t>
      </w:r>
      <w:r>
        <w:rPr>
          <w:rFonts w:hint="eastAsia" w:ascii="楷体" w:hAnsi="楷体" w:eastAsia="楷体" w:cs="Calibri"/>
          <w:sz w:val="24"/>
          <w:szCs w:val="24"/>
          <w:highlight w:val="none"/>
        </w:rPr>
        <w:t>”理财产品。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7"/>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1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1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1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20"/>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20"/>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w:t>
      </w:r>
    </w:p>
    <w:p>
      <w:pPr>
        <w:numPr>
          <w:ilvl w:val="0"/>
          <w:numId w:val="0"/>
        </w:numPr>
        <w:tabs>
          <w:tab w:val="left" w:pos="728"/>
        </w:tabs>
        <w:rPr>
          <w:rFonts w:hint="eastAsia" w:ascii="楷体" w:hAnsi="楷体" w:eastAsia="楷体" w:cs="Calibri"/>
          <w:sz w:val="24"/>
          <w:szCs w:val="24"/>
        </w:rPr>
      </w:pPr>
      <w:r>
        <w:rPr>
          <w:rFonts w:hint="eastAsia" w:ascii="楷体" w:hAnsi="楷体" w:eastAsia="楷体" w:cs="Calibri"/>
          <w:sz w:val="24"/>
          <w:szCs w:val="24"/>
          <w:highlight w:val="none"/>
          <w:lang w:val="en-US" w:eastAsia="zh-CN"/>
        </w:rPr>
        <w:t>和延迟等。</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2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投资集中度限制</w:t>
      </w:r>
    </w:p>
    <w:p>
      <w:pPr>
        <w:numPr>
          <w:ilvl w:val="0"/>
          <w:numId w:val="22"/>
        </w:numPr>
        <w:tabs>
          <w:tab w:val="left" w:pos="728"/>
          <w:tab w:val="clear" w:pos="312"/>
        </w:tabs>
        <w:ind w:left="420" w:leftChars="200"/>
        <w:rPr>
          <w:rFonts w:hint="eastAsia"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21"/>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2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2"/>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w:t>
      </w:r>
      <w:r>
        <w:rPr>
          <w:rFonts w:ascii="楷体" w:hAnsi="楷体" w:eastAsia="楷体" w:cs="Calibri"/>
          <w:sz w:val="24"/>
          <w:szCs w:val="24"/>
        </w:rPr>
        <w:t>021</w:t>
      </w:r>
      <w:r>
        <w:rPr>
          <w:rFonts w:hint="eastAsia" w:ascii="楷体" w:hAnsi="楷体" w:eastAsia="楷体" w:cs="Calibri"/>
          <w:sz w:val="24"/>
          <w:szCs w:val="24"/>
        </w:rPr>
        <w:t>年7月27日9:00至2</w:t>
      </w:r>
      <w:r>
        <w:rPr>
          <w:rFonts w:ascii="楷体" w:hAnsi="楷体" w:eastAsia="楷体" w:cs="Calibri"/>
          <w:sz w:val="24"/>
          <w:szCs w:val="24"/>
        </w:rPr>
        <w:t>021</w:t>
      </w:r>
      <w:r>
        <w:rPr>
          <w:rFonts w:hint="eastAsia" w:ascii="楷体" w:hAnsi="楷体" w:eastAsia="楷体" w:cs="Calibri"/>
          <w:sz w:val="24"/>
          <w:szCs w:val="24"/>
        </w:rPr>
        <w:t>年7月29日17:00。</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83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恒源日申季持1号F</w:t>
            </w:r>
          </w:p>
        </w:tc>
        <w:tc>
          <w:tcPr>
            <w:tcW w:w="1404" w:type="dxa"/>
            <w:noWrap w:val="0"/>
            <w:vAlign w:val="center"/>
          </w:tcPr>
          <w:p>
            <w:pPr>
              <w:tabs>
                <w:tab w:val="left" w:pos="993"/>
              </w:tabs>
              <w:jc w:val="center"/>
              <w:rPr>
                <w:rFonts w:ascii="楷体" w:hAnsi="楷体" w:eastAsia="楷体" w:cs="Calibri"/>
                <w:szCs w:val="21"/>
              </w:rPr>
            </w:pPr>
            <w:r>
              <w:rPr>
                <w:rFonts w:ascii="楷体" w:hAnsi="楷体" w:eastAsia="楷体" w:cs="Calibri"/>
                <w:szCs w:val="21"/>
              </w:rPr>
              <w:t>J01977</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bl>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79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2932" w:type="dxa"/>
            <w:noWrap w:val="0"/>
            <w:vAlign w:val="center"/>
          </w:tcPr>
          <w:p>
            <w:pPr>
              <w:rPr>
                <w:rFonts w:hint="eastAsia" w:ascii="楷体" w:hAnsi="楷体" w:eastAsia="楷体" w:cs="Calibri"/>
                <w:szCs w:val="21"/>
              </w:rPr>
            </w:pPr>
            <w:r>
              <w:rPr>
                <w:rFonts w:hint="eastAsia" w:ascii="楷体" w:hAnsi="楷体" w:eastAsia="楷体" w:cs="Calibri"/>
                <w:szCs w:val="21"/>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恒源日申季持1号F</w:t>
            </w:r>
          </w:p>
        </w:tc>
        <w:tc>
          <w:tcPr>
            <w:tcW w:w="1790" w:type="dxa"/>
            <w:noWrap w:val="0"/>
            <w:vAlign w:val="center"/>
          </w:tcPr>
          <w:p>
            <w:pPr>
              <w:tabs>
                <w:tab w:val="left" w:pos="993"/>
              </w:tabs>
              <w:jc w:val="center"/>
              <w:rPr>
                <w:rFonts w:ascii="楷体" w:hAnsi="楷体" w:eastAsia="楷体" w:cs="Calibri"/>
                <w:szCs w:val="21"/>
              </w:rPr>
            </w:pPr>
            <w:r>
              <w:rPr>
                <w:rFonts w:ascii="楷体" w:hAnsi="楷体" w:eastAsia="楷体" w:cs="Calibri"/>
                <w:szCs w:val="21"/>
              </w:rPr>
              <w:t>J01977</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bl>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lang w:val="en-US" w:eastAsia="zh-CN"/>
        </w:rPr>
        <w:t>F份额</w:t>
      </w:r>
      <w:r>
        <w:rPr>
          <w:rFonts w:hint="eastAsia" w:ascii="楷体" w:hAnsi="楷体" w:eastAsia="楷体" w:cs="Calibri"/>
          <w:sz w:val="24"/>
          <w:szCs w:val="24"/>
        </w:rPr>
        <w:t>于2</w:t>
      </w:r>
      <w:r>
        <w:rPr>
          <w:rFonts w:ascii="楷体" w:hAnsi="楷体" w:eastAsia="楷体" w:cs="Calibri"/>
          <w:sz w:val="24"/>
          <w:szCs w:val="24"/>
        </w:rPr>
        <w:t>021</w:t>
      </w:r>
      <w:r>
        <w:rPr>
          <w:rFonts w:hint="eastAsia" w:ascii="楷体" w:hAnsi="楷体" w:eastAsia="楷体" w:cs="Calibri"/>
          <w:sz w:val="24"/>
          <w:szCs w:val="24"/>
        </w:rPr>
        <w:t>年7月30日进行份额登记。</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产品申购、赎回</w:t>
      </w:r>
    </w:p>
    <w:p>
      <w:pPr>
        <w:numPr>
          <w:ilvl w:val="0"/>
          <w:numId w:val="24"/>
        </w:numPr>
        <w:tabs>
          <w:tab w:val="left" w:pos="993"/>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w:t>
      </w:r>
      <w:r>
        <w:rPr>
          <w:rFonts w:hint="eastAsia" w:ascii="楷体" w:hAnsi="楷体" w:eastAsia="楷体" w:cs="Calibri"/>
          <w:sz w:val="24"/>
          <w:szCs w:val="24"/>
          <w:highlight w:val="none"/>
        </w:rPr>
        <w:t>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2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2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“未知价”原则：投资者申购本理财产品时，采用“未知价”原则，以</w:t>
      </w:r>
      <w:r>
        <w:rPr>
          <w:rFonts w:hint="eastAsia" w:ascii="楷体" w:hAnsi="楷体" w:eastAsia="楷体" w:cs="Calibri"/>
          <w:sz w:val="24"/>
          <w:szCs w:val="24"/>
          <w:highlight w:val="none"/>
          <w:lang w:val="en-US" w:eastAsia="zh-CN"/>
        </w:rPr>
        <w:t>投资者</w:t>
      </w:r>
      <w:r>
        <w:rPr>
          <w:rFonts w:hint="eastAsia" w:ascii="楷体" w:hAnsi="楷体" w:eastAsia="楷体" w:cs="Calibri"/>
          <w:sz w:val="24"/>
          <w:szCs w:val="24"/>
          <w:highlight w:val="none"/>
        </w:rPr>
        <w:t>申购受理日当日产品单位净值为准计算申购份额。</w:t>
      </w:r>
    </w:p>
    <w:p>
      <w:pPr>
        <w:numPr>
          <w:ilvl w:val="0"/>
          <w:numId w:val="2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“金额申购”原则：本理财产品申购以金额申请,申购份额=申购金额/</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受理日</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产品单位净值。</w:t>
      </w:r>
    </w:p>
    <w:p>
      <w:pPr>
        <w:numPr>
          <w:ilvl w:val="0"/>
          <w:numId w:val="25"/>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27"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2493"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T日系统实时受理并冻结资金</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周一0:0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周一</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周二0:0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周二</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周三0:0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周三</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周四0:0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周四</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周五0:0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周五</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周六0:0</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 xml:space="preserve">周日 </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bl>
    <w:p>
      <w:pPr>
        <w:tabs>
          <w:tab w:val="left" w:pos="728"/>
          <w:tab w:val="left" w:pos="1092"/>
        </w:tabs>
        <w:ind w:firstLine="480" w:firstLineChars="200"/>
        <w:rPr>
          <w:rFonts w:hint="eastAsia" w:ascii="楷体" w:hAnsi="楷体" w:eastAsia="楷体" w:cs="Calibri"/>
          <w:sz w:val="24"/>
          <w:szCs w:val="24"/>
        </w:rPr>
      </w:pP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highlight w:val="none"/>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苏银理财不计付在途资金从冻结日至份额确认日间的利息。</w:t>
      </w:r>
    </w:p>
    <w:p>
      <w:pPr>
        <w:numPr>
          <w:ilvl w:val="0"/>
          <w:numId w:val="25"/>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2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27"/>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24"/>
        </w:numPr>
        <w:tabs>
          <w:tab w:val="left" w:pos="993"/>
        </w:tabs>
        <w:ind w:left="0" w:firstLine="482" w:firstLineChars="200"/>
        <w:outlineLvl w:val="2"/>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自动赎回时间</w:t>
      </w:r>
    </w:p>
    <w:p>
      <w:pPr>
        <w:numPr>
          <w:ilvl w:val="0"/>
          <w:numId w:val="0"/>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本产品以</w:t>
      </w:r>
      <w:r>
        <w:rPr>
          <w:rFonts w:hint="eastAsia" w:ascii="楷体" w:hAnsi="楷体" w:eastAsia="楷体" w:cs="Calibri"/>
          <w:sz w:val="24"/>
          <w:szCs w:val="24"/>
          <w:highlight w:val="none"/>
          <w:lang w:val="en-US" w:eastAsia="zh-CN"/>
        </w:rPr>
        <w:t>98</w:t>
      </w:r>
      <w:r>
        <w:rPr>
          <w:rFonts w:hint="eastAsia" w:ascii="楷体" w:hAnsi="楷体" w:eastAsia="楷体" w:cs="Calibri"/>
          <w:sz w:val="24"/>
          <w:szCs w:val="24"/>
          <w:highlight w:val="none"/>
        </w:rPr>
        <w:t>天为</w:t>
      </w:r>
      <w:r>
        <w:rPr>
          <w:rFonts w:hint="eastAsia" w:ascii="楷体" w:hAnsi="楷体" w:eastAsia="楷体" w:cs="Calibri"/>
          <w:sz w:val="24"/>
          <w:szCs w:val="24"/>
          <w:highlight w:val="none"/>
          <w:lang w:val="en-US" w:eastAsia="zh-CN"/>
        </w:rPr>
        <w:t>单</w:t>
      </w:r>
      <w:r>
        <w:rPr>
          <w:rFonts w:hint="eastAsia" w:ascii="楷体" w:hAnsi="楷体" w:eastAsia="楷体" w:cs="Calibri"/>
          <w:sz w:val="24"/>
          <w:szCs w:val="24"/>
          <w:highlight w:val="none"/>
        </w:rPr>
        <w:t>个投资周期</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销售机构不支持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，客户份额持有时间达到</w:t>
      </w:r>
      <w:r>
        <w:rPr>
          <w:rFonts w:hint="eastAsia" w:ascii="楷体" w:hAnsi="楷体" w:eastAsia="楷体" w:cs="Calibri"/>
          <w:sz w:val="24"/>
          <w:szCs w:val="24"/>
          <w:highlight w:val="none"/>
          <w:lang w:val="en-US" w:eastAsia="zh-CN"/>
        </w:rPr>
        <w:t>98</w:t>
      </w:r>
      <w:r>
        <w:rPr>
          <w:rFonts w:hint="eastAsia" w:ascii="楷体" w:hAnsi="楷体" w:eastAsia="楷体" w:cs="Calibri"/>
          <w:sz w:val="24"/>
          <w:szCs w:val="24"/>
          <w:highlight w:val="none"/>
        </w:rPr>
        <w:t>天，系统自动发起赎回。</w:t>
      </w:r>
      <w:r>
        <w:rPr>
          <w:rFonts w:hint="eastAsia" w:ascii="楷体" w:hAnsi="楷体" w:eastAsia="楷体" w:cs="宋体"/>
          <w:b/>
          <w:spacing w:val="-2"/>
          <w:kern w:val="0"/>
          <w:sz w:val="24"/>
          <w:szCs w:val="24"/>
          <w:highlight w:val="none"/>
          <w:u w:val="single"/>
        </w:rPr>
        <w:t>如份额确认日对应的</w:t>
      </w:r>
      <w:r>
        <w:rPr>
          <w:rFonts w:hint="eastAsia" w:ascii="楷体" w:hAnsi="楷体" w:eastAsia="楷体" w:cs="宋体"/>
          <w:b/>
          <w:spacing w:val="-2"/>
          <w:kern w:val="0"/>
          <w:sz w:val="24"/>
          <w:szCs w:val="24"/>
          <w:highlight w:val="none"/>
          <w:u w:val="single"/>
          <w:lang w:val="en-US" w:eastAsia="zh-CN"/>
        </w:rPr>
        <w:t>98</w:t>
      </w:r>
      <w:r>
        <w:rPr>
          <w:rFonts w:hint="eastAsia" w:ascii="楷体" w:hAnsi="楷体" w:eastAsia="楷体" w:cs="宋体"/>
          <w:b/>
          <w:spacing w:val="-2"/>
          <w:kern w:val="0"/>
          <w:sz w:val="24"/>
          <w:szCs w:val="24"/>
          <w:highlight w:val="none"/>
          <w:u w:val="single"/>
        </w:rPr>
        <w:t>天为非工作日，苏银理财将对自动赎回日进行动态调整，以管理人的公告和系统设置为准，在此情形下投资周期可能会略长于或短于</w:t>
      </w:r>
      <w:r>
        <w:rPr>
          <w:rFonts w:hint="eastAsia" w:ascii="楷体" w:hAnsi="楷体" w:eastAsia="楷体" w:cs="宋体"/>
          <w:b/>
          <w:spacing w:val="-2"/>
          <w:kern w:val="0"/>
          <w:sz w:val="24"/>
          <w:szCs w:val="24"/>
          <w:highlight w:val="none"/>
          <w:u w:val="single"/>
          <w:lang w:val="en-US" w:eastAsia="zh-CN"/>
        </w:rPr>
        <w:t>98</w:t>
      </w:r>
      <w:r>
        <w:rPr>
          <w:rFonts w:hint="eastAsia" w:ascii="楷体" w:hAnsi="楷体" w:eastAsia="楷体" w:cs="宋体"/>
          <w:b/>
          <w:spacing w:val="-2"/>
          <w:kern w:val="0"/>
          <w:sz w:val="24"/>
          <w:szCs w:val="24"/>
          <w:highlight w:val="none"/>
          <w:u w:val="single"/>
        </w:rPr>
        <w:t>天</w:t>
      </w:r>
      <w:r>
        <w:rPr>
          <w:rFonts w:hint="eastAsia" w:ascii="楷体" w:hAnsi="楷体" w:eastAsia="楷体" w:cs="宋体"/>
          <w:spacing w:val="-2"/>
          <w:kern w:val="0"/>
          <w:sz w:val="24"/>
          <w:szCs w:val="24"/>
          <w:highlight w:val="none"/>
        </w:rPr>
        <w:t>。</w:t>
      </w:r>
    </w:p>
    <w:p>
      <w:pPr>
        <w:numPr>
          <w:ilvl w:val="0"/>
          <w:numId w:val="0"/>
        </w:num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highlight w:val="none"/>
        </w:rPr>
        <w:t>销售机构支持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投资者份额可持有单个或多个投资周期。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r>
        <w:rPr>
          <w:rFonts w:hint="eastAsia" w:ascii="楷体" w:hAnsi="楷体" w:eastAsia="楷体" w:cs="Calibri"/>
          <w:sz w:val="24"/>
          <w:szCs w:val="24"/>
          <w:highlight w:val="none"/>
          <w:lang w:eastAsia="zh-CN"/>
        </w:rPr>
        <w:t>。</w:t>
      </w:r>
    </w:p>
    <w:p>
      <w:pPr>
        <w:numPr>
          <w:ilvl w:val="0"/>
          <w:numId w:val="28"/>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赎回原则</w:t>
      </w:r>
    </w:p>
    <w:p>
      <w:pPr>
        <w:numPr>
          <w:ilvl w:val="0"/>
          <w:numId w:val="29"/>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“未知价”原则：投资者赎回本理财产品时，采用“未知价”原则，自动赎回时按实际赎回日前一工作日产品单位净值计算赎回兑付金额。</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赎回限制：</w:t>
      </w:r>
      <w:r>
        <w:rPr>
          <w:rFonts w:hint="eastAsia" w:ascii="楷体" w:hAnsi="楷体" w:eastAsia="楷体" w:cs="Calibri"/>
          <w:sz w:val="24"/>
          <w:szCs w:val="24"/>
          <w:lang w:val="en-US" w:eastAsia="zh-CN"/>
        </w:rPr>
        <w:t>自动</w:t>
      </w:r>
      <w:r>
        <w:rPr>
          <w:rFonts w:hint="eastAsia" w:ascii="楷体" w:hAnsi="楷体" w:eastAsia="楷体" w:cs="Calibri"/>
          <w:sz w:val="24"/>
          <w:szCs w:val="24"/>
        </w:rPr>
        <w:t>赎回不受</w:t>
      </w:r>
      <w:r>
        <w:rPr>
          <w:rFonts w:hint="eastAsia" w:ascii="楷体" w:hAnsi="楷体" w:eastAsia="楷体" w:cs="Calibri"/>
          <w:sz w:val="24"/>
          <w:szCs w:val="24"/>
          <w:lang w:val="en-US" w:eastAsia="zh-CN"/>
        </w:rPr>
        <w:t>巨</w:t>
      </w:r>
      <w:r>
        <w:rPr>
          <w:rFonts w:hint="eastAsia" w:ascii="楷体" w:hAnsi="楷体" w:eastAsia="楷体" w:cs="Calibri"/>
          <w:sz w:val="24"/>
          <w:szCs w:val="24"/>
        </w:rPr>
        <w:t>额赎回限制。</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赎回资金到账：实际赎回日后2个工作日内到达投资者资金账户。</w:t>
      </w:r>
    </w:p>
    <w:p>
      <w:pPr>
        <w:numPr>
          <w:ilvl w:val="0"/>
          <w:numId w:val="24"/>
        </w:numPr>
        <w:tabs>
          <w:tab w:val="left" w:pos="993"/>
        </w:tabs>
        <w:ind w:left="0" w:firstLine="482" w:firstLineChars="200"/>
        <w:outlineLvl w:val="2"/>
        <w:rPr>
          <w:rFonts w:hint="eastAsia" w:ascii="楷体" w:hAnsi="楷体" w:eastAsia="楷体" w:cs="Calibri"/>
          <w:b/>
          <w:bCs w:val="0"/>
          <w:sz w:val="24"/>
          <w:szCs w:val="24"/>
          <w:highlight w:val="none"/>
        </w:rPr>
      </w:pPr>
      <w:r>
        <w:rPr>
          <w:rFonts w:hint="eastAsia" w:ascii="楷体" w:hAnsi="楷体" w:eastAsia="楷体" w:cs="Calibri"/>
          <w:b/>
          <w:bCs w:val="0"/>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产品估值</w:t>
      </w:r>
    </w:p>
    <w:p>
      <w:pPr>
        <w:numPr>
          <w:ilvl w:val="0"/>
          <w:numId w:val="30"/>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r>
        <w:rPr>
          <w:rFonts w:hint="eastAsia" w:ascii="楷体" w:hAnsi="楷体" w:eastAsia="楷体"/>
          <w:sz w:val="24"/>
          <w:szCs w:val="24"/>
          <w:highlight w:val="none"/>
        </w:rPr>
        <w:t>。</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3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3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w:t>
      </w:r>
      <w:r>
        <w:rPr>
          <w:rFonts w:hint="eastAsia" w:ascii="楷体" w:hAnsi="楷体" w:eastAsia="楷体"/>
          <w:sz w:val="24"/>
          <w:szCs w:val="24"/>
          <w:lang w:val="en-US" w:eastAsia="zh-CN"/>
        </w:rPr>
        <w:t>确认日</w:t>
      </w:r>
      <w:r>
        <w:rPr>
          <w:rFonts w:hint="eastAsia" w:ascii="楷体" w:hAnsi="楷体" w:eastAsia="楷体"/>
          <w:sz w:val="24"/>
          <w:szCs w:val="24"/>
        </w:rPr>
        <w:t>前一工作日产品单位净值-超额业绩报酬（若有）</w:t>
      </w:r>
    </w:p>
    <w:p>
      <w:pPr>
        <w:ind w:firstLine="480" w:firstLineChars="200"/>
        <w:rPr>
          <w:rFonts w:hint="eastAsia" w:ascii="楷体" w:hAnsi="楷体" w:eastAsia="楷体"/>
          <w:sz w:val="24"/>
          <w:szCs w:val="24"/>
        </w:rPr>
      </w:pPr>
      <w:r>
        <w:rPr>
          <w:rFonts w:hint="eastAsia" w:ascii="楷体" w:hAnsi="楷体" w:eastAsia="楷体"/>
          <w:sz w:val="24"/>
          <w:szCs w:val="24"/>
        </w:rPr>
        <w:t>赎回金额以四舍五入的方法保留到小数点后两位</w:t>
      </w:r>
    </w:p>
    <w:p>
      <w:pPr>
        <w:numPr>
          <w:ilvl w:val="0"/>
          <w:numId w:val="3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highlight w:val="none"/>
          <w:u w:val="single"/>
        </w:rPr>
        <w:t>以下示例均为假设情况，不代表本产品实际投资业绩。</w:t>
      </w:r>
      <w:r>
        <w:rPr>
          <w:rFonts w:hint="eastAsia" w:ascii="楷体" w:hAnsi="楷体" w:eastAsia="楷体" w:cs="Calibri"/>
          <w:b w:val="0"/>
          <w:sz w:val="24"/>
          <w:szCs w:val="24"/>
          <w:highlight w:val="none"/>
          <w:u w:val="none"/>
          <w:lang w:val="en-US" w:eastAsia="zh-CN"/>
        </w:rPr>
        <w:t>展示示例以客户持有单个投资周期为例进行计算，若客户持有多个投资周期，</w:t>
      </w:r>
      <w:r>
        <w:rPr>
          <w:rFonts w:hint="eastAsia" w:ascii="楷体" w:hAnsi="楷体" w:eastAsia="楷体" w:cs="Calibri"/>
          <w:sz w:val="24"/>
          <w:szCs w:val="24"/>
          <w:lang w:val="en-US" w:eastAsia="zh-CN"/>
        </w:rPr>
        <w:t>赎回资金、年化收益率等计算以客户实际持有期为准。</w:t>
      </w:r>
    </w:p>
    <w:p>
      <w:pPr>
        <w:numPr>
          <w:ilvl w:val="0"/>
          <w:numId w:val="3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hint="eastAsia" w:ascii="楷体" w:hAnsi="楷体" w:eastAsia="楷体" w:cs="Calibri"/>
          <w:sz w:val="24"/>
          <w:szCs w:val="24"/>
          <w:highlight w:val="none"/>
        </w:rPr>
        <w:t>1.007468</w:t>
      </w:r>
      <w:r>
        <w:rPr>
          <w:rFonts w:hint="eastAsia" w:ascii="楷体" w:hAnsi="楷体" w:eastAsia="楷体" w:cs="Calibri"/>
          <w:sz w:val="24"/>
          <w:szCs w:val="24"/>
        </w:rPr>
        <w:t>。</w:t>
      </w:r>
    </w:p>
    <w:p>
      <w:pPr>
        <w:ind w:firstLine="424" w:firstLineChars="177"/>
        <w:rPr>
          <w:rFonts w:hint="eastAsia"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hint="eastAsia" w:ascii="楷体" w:hAnsi="楷体" w:eastAsia="楷体" w:cs="Calibri"/>
          <w:sz w:val="24"/>
          <w:szCs w:val="24"/>
          <w:highlight w:val="none"/>
        </w:rPr>
        <w:t>1.007468</w:t>
      </w:r>
      <w:r>
        <w:rPr>
          <w:rFonts w:hint="eastAsia" w:ascii="楷体" w:hAnsi="楷体" w:eastAsia="楷体" w:cs="Calibri"/>
          <w:sz w:val="24"/>
          <w:szCs w:val="24"/>
        </w:rPr>
        <w:t>/1.000035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w:t>
      </w:r>
      <w:r>
        <w:rPr>
          <w:rFonts w:hint="eastAsia" w:ascii="楷体" w:hAnsi="楷体" w:eastAsia="楷体" w:cs="Calibri"/>
          <w:sz w:val="24"/>
          <w:szCs w:val="24"/>
          <w:lang w:val="en-US" w:eastAsia="zh-CN"/>
        </w:rPr>
        <w:t>2.77</w:t>
      </w:r>
      <w:r>
        <w:rPr>
          <w:rFonts w:ascii="楷体" w:hAnsi="楷体" w:eastAsia="楷体" w:cs="Calibri"/>
          <w:sz w:val="24"/>
          <w:szCs w:val="24"/>
        </w:rPr>
        <w:t>%</w:t>
      </w:r>
      <w:r>
        <w:rPr>
          <w:rFonts w:hint="eastAsia" w:ascii="楷体" w:hAnsi="楷体" w:eastAsia="楷体" w:cs="Calibri"/>
          <w:sz w:val="24"/>
          <w:szCs w:val="24"/>
        </w:rPr>
        <w:t>，</w:t>
      </w:r>
      <w:r>
        <w:rPr>
          <w:rFonts w:ascii="楷体" w:hAnsi="楷体" w:eastAsia="楷体" w:cs="Calibri"/>
          <w:sz w:val="24"/>
          <w:szCs w:val="24"/>
        </w:rPr>
        <w:t>未超过</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hint="eastAsia" w:ascii="楷体" w:hAnsi="楷体" w:eastAsia="楷体" w:cs="Calibri"/>
          <w:sz w:val="24"/>
          <w:szCs w:val="24"/>
        </w:rPr>
        <w:t>，</w:t>
      </w:r>
      <w:r>
        <w:rPr>
          <w:rFonts w:ascii="楷体" w:hAnsi="楷体" w:eastAsia="楷体" w:cs="Calibri"/>
          <w:sz w:val="24"/>
          <w:szCs w:val="24"/>
        </w:rPr>
        <w:t>管理人不收取超额业绩报酬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hint="eastAsia" w:ascii="楷体" w:hAnsi="楷体" w:eastAsia="楷体" w:cs="Calibri"/>
          <w:sz w:val="24"/>
          <w:szCs w:val="24"/>
          <w:highlight w:val="none"/>
        </w:rPr>
        <w:t>1.007468</w:t>
      </w:r>
      <w:r>
        <w:rPr>
          <w:rFonts w:hint="eastAsia" w:ascii="楷体" w:hAnsi="楷体" w:eastAsia="楷体" w:cs="Calibri"/>
          <w:sz w:val="24"/>
          <w:szCs w:val="24"/>
        </w:rPr>
        <w:t>＝</w:t>
      </w:r>
      <w:r>
        <w:rPr>
          <w:rFonts w:hint="eastAsia" w:ascii="楷体" w:hAnsi="楷体" w:eastAsia="楷体" w:cs="Calibri"/>
          <w:sz w:val="24"/>
          <w:szCs w:val="24"/>
          <w:highlight w:val="none"/>
        </w:rPr>
        <w:t>100</w:t>
      </w:r>
      <w:r>
        <w:rPr>
          <w:rFonts w:hint="eastAsia" w:ascii="楷体" w:hAnsi="楷体" w:eastAsia="楷体" w:cs="Calibri"/>
          <w:sz w:val="24"/>
          <w:szCs w:val="24"/>
          <w:highlight w:val="none"/>
          <w:lang w:val="en-US" w:eastAsia="zh-CN"/>
        </w:rPr>
        <w:t>74.33</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highlight w:val="none"/>
        </w:rPr>
        <w:t>100</w:t>
      </w:r>
      <w:r>
        <w:rPr>
          <w:rFonts w:hint="eastAsia" w:ascii="楷体" w:hAnsi="楷体" w:eastAsia="楷体" w:cs="Calibri"/>
          <w:sz w:val="24"/>
          <w:szCs w:val="24"/>
          <w:highlight w:val="none"/>
          <w:lang w:val="en-US" w:eastAsia="zh-CN"/>
        </w:rPr>
        <w:t>74.33</w:t>
      </w:r>
      <w:r>
        <w:rPr>
          <w:rFonts w:hint="eastAsia" w:ascii="楷体" w:hAnsi="楷体" w:eastAsia="楷体" w:cs="Calibri"/>
          <w:sz w:val="24"/>
          <w:szCs w:val="24"/>
        </w:rPr>
        <w:t>-10000）/10000*365/98=</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tabs>
          <w:tab w:val="left" w:pos="728"/>
        </w:tabs>
        <w:ind w:left="420"/>
        <w:rPr>
          <w:rFonts w:ascii="楷体" w:hAnsi="楷体" w:eastAsia="楷体" w:cs="Calibri"/>
          <w:sz w:val="24"/>
          <w:szCs w:val="24"/>
        </w:rPr>
      </w:pPr>
      <w:r>
        <w:rPr>
          <w:rFonts w:hint="eastAsia" w:ascii="楷体" w:hAnsi="楷体" w:eastAsia="楷体" w:cs="Calibri"/>
          <w:sz w:val="24"/>
          <w:szCs w:val="24"/>
        </w:rPr>
        <w:t>2</w:t>
      </w:r>
      <w:r>
        <w:rPr>
          <w:rFonts w:ascii="楷体" w:hAnsi="楷体" w:eastAsia="楷体" w:cs="Calibri"/>
          <w:sz w:val="24"/>
          <w:szCs w:val="24"/>
        </w:rPr>
        <w:t>.情景二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p>
    <w:p>
      <w:pPr>
        <w:tabs>
          <w:tab w:val="left" w:pos="728"/>
        </w:tabs>
        <w:ind w:firstLine="424" w:firstLineChars="177"/>
        <w:rPr>
          <w:rFonts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98*365=4.57%</w:t>
      </w:r>
      <w:r>
        <w:rPr>
          <w:rFonts w:hint="eastAsia" w:ascii="楷体" w:hAnsi="楷体" w:eastAsia="楷体" w:cs="Calibri"/>
          <w:sz w:val="24"/>
          <w:szCs w:val="24"/>
        </w:rPr>
        <w:t>，</w:t>
      </w:r>
      <w:r>
        <w:rPr>
          <w:rFonts w:ascii="楷体" w:hAnsi="楷体" w:eastAsia="楷体" w:cs="Calibri"/>
          <w:sz w:val="24"/>
          <w:szCs w:val="24"/>
        </w:rPr>
        <w:t>超过</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hint="eastAsia" w:ascii="楷体" w:hAnsi="楷体" w:eastAsia="楷体" w:cs="Calibri"/>
          <w:sz w:val="24"/>
          <w:szCs w:val="24"/>
        </w:rPr>
        <w:t>，</w:t>
      </w:r>
      <w:r>
        <w:rPr>
          <w:rFonts w:ascii="楷体" w:hAnsi="楷体" w:eastAsia="楷体" w:cs="Calibri"/>
          <w:sz w:val="24"/>
          <w:szCs w:val="24"/>
        </w:rPr>
        <w:t>管理人将按超出部分</w:t>
      </w:r>
      <w:r>
        <w:rPr>
          <w:rFonts w:hint="eastAsia" w:ascii="楷体" w:hAnsi="楷体" w:eastAsia="楷体" w:cs="Calibri"/>
          <w:sz w:val="24"/>
          <w:szCs w:val="24"/>
        </w:rPr>
        <w:t>3</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ascii="楷体" w:hAnsi="楷体" w:eastAsia="楷体" w:cs="Calibri"/>
          <w:sz w:val="24"/>
          <w:szCs w:val="24"/>
        </w:rPr>
        <w:t>超额业绩报酬</w:t>
      </w:r>
      <w:r>
        <w:rPr>
          <w:rFonts w:hint="eastAsia" w:ascii="楷体" w:hAnsi="楷体" w:eastAsia="楷体" w:cs="Calibri"/>
          <w:sz w:val="24"/>
          <w:szCs w:val="24"/>
        </w:rPr>
        <w:t>=</w:t>
      </w:r>
      <w:r>
        <w:rPr>
          <w:rFonts w:hint="eastAsia" w:ascii="楷体" w:hAnsi="楷体" w:eastAsia="楷体" w:cs="Calibri"/>
          <w:sz w:val="24"/>
          <w:szCs w:val="24"/>
          <w:highlight w:val="none"/>
        </w:rPr>
        <w:t>（4</w:t>
      </w:r>
      <w:r>
        <w:rPr>
          <w:rFonts w:ascii="楷体" w:hAnsi="楷体" w:eastAsia="楷体" w:cs="Calibri"/>
          <w:sz w:val="24"/>
          <w:szCs w:val="24"/>
          <w:highlight w:val="none"/>
        </w:rPr>
        <w:t>.57</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2.80</w:t>
      </w:r>
      <w:r>
        <w:rPr>
          <w:rFonts w:hint="eastAsia" w:ascii="楷体" w:hAnsi="楷体" w:eastAsia="楷体" w:cs="Calibri"/>
          <w:sz w:val="24"/>
          <w:szCs w:val="24"/>
          <w:highlight w:val="none"/>
        </w:rPr>
        <w:t>%）*</w:t>
      </w:r>
      <w:r>
        <w:rPr>
          <w:rFonts w:ascii="楷体" w:hAnsi="楷体" w:eastAsia="楷体" w:cs="Calibri"/>
          <w:sz w:val="24"/>
          <w:szCs w:val="24"/>
          <w:highlight w:val="none"/>
        </w:rPr>
        <w:t>30</w:t>
      </w:r>
      <w:r>
        <w:rPr>
          <w:rFonts w:hint="eastAsia" w:ascii="楷体" w:hAnsi="楷体" w:eastAsia="楷体" w:cs="Calibri"/>
          <w:sz w:val="24"/>
          <w:szCs w:val="24"/>
          <w:highlight w:val="none"/>
        </w:rPr>
        <w:t>%*1.000035*9999.65*</w:t>
      </w:r>
      <w:r>
        <w:rPr>
          <w:rFonts w:ascii="楷体" w:hAnsi="楷体" w:eastAsia="楷体" w:cs="Calibri"/>
          <w:sz w:val="24"/>
          <w:szCs w:val="24"/>
          <w:highlight w:val="none"/>
        </w:rPr>
        <w:t>98/365=</w:t>
      </w:r>
      <w:r>
        <w:rPr>
          <w:rFonts w:hint="eastAsia" w:ascii="楷体" w:hAnsi="楷体" w:eastAsia="楷体" w:cs="Calibri"/>
          <w:sz w:val="24"/>
          <w:szCs w:val="24"/>
          <w:highlight w:val="none"/>
          <w:lang w:val="en-US" w:eastAsia="zh-CN"/>
        </w:rPr>
        <w:t>14.26</w:t>
      </w:r>
      <w:r>
        <w:rPr>
          <w:rFonts w:hint="eastAsia" w:ascii="楷体" w:hAnsi="楷体" w:eastAsia="楷体" w:cs="Calibri"/>
          <w:sz w:val="24"/>
          <w:szCs w:val="24"/>
          <w:highlight w:val="none"/>
        </w:rPr>
        <w:t xml:space="preserve"> </w:t>
      </w:r>
      <w:r>
        <w:rPr>
          <w:rFonts w:ascii="楷体" w:hAnsi="楷体" w:eastAsia="楷体" w:cs="Calibri"/>
          <w:sz w:val="24"/>
          <w:szCs w:val="24"/>
          <w:highlight w:val="none"/>
        </w:rPr>
        <w:t>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w:t>
      </w:r>
      <w:r>
        <w:rPr>
          <w:rFonts w:hint="eastAsia" w:ascii="楷体" w:hAnsi="楷体" w:eastAsia="楷体" w:cs="Calibri"/>
          <w:sz w:val="24"/>
          <w:szCs w:val="24"/>
          <w:highlight w:val="none"/>
        </w:rPr>
        <w:t>9999.65*</w:t>
      </w:r>
      <w:r>
        <w:rPr>
          <w:rFonts w:ascii="楷体" w:hAnsi="楷体" w:eastAsia="楷体" w:cs="Calibri"/>
          <w:sz w:val="24"/>
          <w:szCs w:val="24"/>
          <w:highlight w:val="none"/>
        </w:rPr>
        <w:t>1.</w:t>
      </w:r>
      <w:r>
        <w:rPr>
          <w:rFonts w:hint="eastAsia" w:ascii="楷体" w:hAnsi="楷体" w:eastAsia="楷体" w:cs="Calibri"/>
          <w:sz w:val="24"/>
          <w:szCs w:val="24"/>
          <w:highlight w:val="none"/>
        </w:rPr>
        <w:t>01</w:t>
      </w:r>
      <w:r>
        <w:rPr>
          <w:rFonts w:ascii="楷体" w:hAnsi="楷体" w:eastAsia="楷体" w:cs="Calibri"/>
          <w:sz w:val="24"/>
          <w:szCs w:val="24"/>
          <w:highlight w:val="none"/>
        </w:rPr>
        <w:t>23</w:t>
      </w:r>
      <w:r>
        <w:rPr>
          <w:rFonts w:hint="eastAsia" w:ascii="楷体" w:hAnsi="楷体" w:eastAsia="楷体" w:cs="Calibri"/>
          <w:sz w:val="24"/>
          <w:szCs w:val="24"/>
          <w:highlight w:val="none"/>
        </w:rPr>
        <w:t>15-</w:t>
      </w:r>
      <w:r>
        <w:rPr>
          <w:rFonts w:hint="eastAsia" w:ascii="楷体" w:hAnsi="楷体" w:eastAsia="楷体" w:cs="Calibri"/>
          <w:sz w:val="24"/>
          <w:szCs w:val="24"/>
          <w:highlight w:val="none"/>
          <w:lang w:val="en-US" w:eastAsia="zh-CN"/>
        </w:rPr>
        <w:t>14.26</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10108.54</w:t>
      </w:r>
      <w:r>
        <w:rPr>
          <w:rFonts w:hint="eastAsia" w:ascii="楷体" w:hAnsi="楷体" w:eastAsia="楷体" w:cs="Calibri"/>
          <w:sz w:val="24"/>
          <w:szCs w:val="24"/>
          <w:highlight w:val="none"/>
        </w:rPr>
        <w:t xml:space="preserve"> 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highlight w:val="none"/>
          <w:lang w:val="en-US" w:eastAsia="zh-CN"/>
        </w:rPr>
        <w:t>10108.54</w:t>
      </w:r>
      <w:r>
        <w:rPr>
          <w:rFonts w:hint="eastAsia" w:ascii="楷体" w:hAnsi="楷体" w:eastAsia="楷体" w:cs="Calibri"/>
          <w:sz w:val="24"/>
          <w:szCs w:val="24"/>
          <w:highlight w:val="none"/>
        </w:rPr>
        <w:t>-10000）/10000*365/</w:t>
      </w:r>
      <w:r>
        <w:rPr>
          <w:rFonts w:ascii="楷体" w:hAnsi="楷体" w:eastAsia="楷体" w:cs="Calibri"/>
          <w:sz w:val="24"/>
          <w:szCs w:val="24"/>
          <w:highlight w:val="none"/>
        </w:rPr>
        <w:t>98</w:t>
      </w:r>
      <w:r>
        <w:rPr>
          <w:rFonts w:hint="eastAsia" w:ascii="楷体" w:hAnsi="楷体" w:eastAsia="楷体" w:cs="Calibri"/>
          <w:sz w:val="24"/>
          <w:szCs w:val="24"/>
          <w:highlight w:val="none"/>
        </w:rPr>
        <w:t>=4.</w:t>
      </w:r>
      <w:r>
        <w:rPr>
          <w:rFonts w:hint="eastAsia" w:ascii="楷体" w:hAnsi="楷体" w:eastAsia="楷体" w:cs="Calibri"/>
          <w:sz w:val="24"/>
          <w:szCs w:val="24"/>
          <w:highlight w:val="none"/>
          <w:lang w:val="en-US" w:eastAsia="zh-CN"/>
        </w:rPr>
        <w:t>04</w:t>
      </w:r>
      <w:r>
        <w:rPr>
          <w:rFonts w:hint="eastAsia" w:ascii="楷体" w:hAnsi="楷体" w:eastAsia="楷体" w:cs="Calibri"/>
          <w:sz w:val="24"/>
          <w:szCs w:val="24"/>
          <w:highlight w:val="none"/>
        </w:rPr>
        <w:t>%</w:t>
      </w:r>
    </w:p>
    <w:p>
      <w:pPr>
        <w:autoSpaceDE w:val="0"/>
        <w:autoSpaceDN w:val="0"/>
        <w:adjustRightInd w:val="0"/>
        <w:ind w:firstLine="424" w:firstLineChars="177"/>
        <w:jc w:val="left"/>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F份额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hint="eastAsia"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0.99</w:t>
      </w:r>
      <w:r>
        <w:rPr>
          <w:rFonts w:hint="eastAsia" w:ascii="楷体" w:hAnsi="楷体" w:eastAsia="楷体" w:cs="Calibri"/>
          <w:sz w:val="24"/>
          <w:szCs w:val="24"/>
        </w:rPr>
        <w:t>1536。</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0.99</w:t>
      </w:r>
      <w:r>
        <w:rPr>
          <w:rFonts w:hint="eastAsia" w:ascii="楷体" w:hAnsi="楷体" w:eastAsia="楷体" w:cs="Calibri"/>
          <w:sz w:val="24"/>
          <w:szCs w:val="24"/>
        </w:rPr>
        <w:t>1536＝</w:t>
      </w:r>
      <w:r>
        <w:rPr>
          <w:rFonts w:ascii="楷体" w:hAnsi="楷体" w:eastAsia="楷体" w:cs="Calibri"/>
          <w:sz w:val="24"/>
          <w:szCs w:val="24"/>
        </w:rPr>
        <w:t>99</w:t>
      </w:r>
      <w:r>
        <w:rPr>
          <w:rFonts w:hint="eastAsia" w:ascii="楷体" w:hAnsi="楷体" w:eastAsia="楷体" w:cs="Calibri"/>
          <w:sz w:val="24"/>
          <w:szCs w:val="24"/>
        </w:rPr>
        <w:t>15.01元</w:t>
      </w:r>
    </w:p>
    <w:p>
      <w:pPr>
        <w:ind w:firstLine="422" w:firstLineChars="176"/>
        <w:rPr>
          <w:rFonts w:hint="eastAsia" w:ascii="楷体" w:hAnsi="楷体" w:eastAsia="楷体" w:cs="Calibri"/>
          <w:sz w:val="24"/>
          <w:szCs w:val="24"/>
        </w:rPr>
      </w:pPr>
      <w:r>
        <w:rPr>
          <w:rFonts w:hint="eastAsia" w:ascii="楷体" w:hAnsi="楷体" w:eastAsia="楷体" w:cs="Calibri"/>
          <w:sz w:val="24"/>
          <w:szCs w:val="24"/>
        </w:rPr>
        <w:t>客户实际亏损84.99元，</w:t>
      </w: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3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6"/>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3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产品费用</w:t>
      </w:r>
    </w:p>
    <w:p>
      <w:pPr>
        <w:numPr>
          <w:ilvl w:val="0"/>
          <w:numId w:val="4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4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w:t>
      </w:r>
      <w:r>
        <w:rPr>
          <w:rFonts w:hint="eastAsia" w:ascii="楷体" w:hAnsi="楷体" w:eastAsia="楷体"/>
          <w:sz w:val="24"/>
          <w:szCs w:val="24"/>
          <w:highlight w:val="none"/>
        </w:rPr>
        <w:t>客户赎回时若持有份额的净值增长率超过业绩比较基准上限，管理人将在赎回时对超过业绩比较基准上限的部分收取30%超额业绩报酬。</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4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4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信息披露</w:t>
      </w:r>
    </w:p>
    <w:p>
      <w:pPr>
        <w:numPr>
          <w:ilvl w:val="0"/>
          <w:numId w:val="4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4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44"/>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其他</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highlight w:val="none"/>
        </w:rPr>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bookmarkEnd w:id="0"/>
    </w:p>
    <w:p>
      <w:pPr>
        <w:jc w:val="center"/>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9"/>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50"/>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50"/>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51"/>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52"/>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52"/>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52"/>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3"/>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3"/>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4"/>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4"/>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4"/>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4"/>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4"/>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4"/>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4"/>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DBF0F3A3"/>
    <w:multiLevelType w:val="singleLevel"/>
    <w:tmpl w:val="DBF0F3A3"/>
    <w:lvl w:ilvl="0" w:tentative="0">
      <w:start w:val="1"/>
      <w:numFmt w:val="decimal"/>
      <w:suff w:val="nothing"/>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F7924E5E"/>
    <w:multiLevelType w:val="singleLevel"/>
    <w:tmpl w:val="F7924E5E"/>
    <w:lvl w:ilvl="0" w:tentative="0">
      <w:start w:val="1"/>
      <w:numFmt w:val="decimal"/>
      <w:lvlText w:val="%1."/>
      <w:lvlJc w:val="left"/>
      <w:pPr>
        <w:tabs>
          <w:tab w:val="left" w:pos="312"/>
        </w:tabs>
      </w:pPr>
    </w:lvl>
  </w:abstractNum>
  <w:abstractNum w:abstractNumId="6">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8">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2">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8278C74"/>
    <w:multiLevelType w:val="singleLevel"/>
    <w:tmpl w:val="18278C74"/>
    <w:lvl w:ilvl="0" w:tentative="0">
      <w:start w:val="2"/>
      <w:numFmt w:val="decimal"/>
      <w:suff w:val="space"/>
      <w:lvlText w:val="%1."/>
      <w:lvlJc w:val="left"/>
    </w:lvl>
  </w:abstractNum>
  <w:abstractNum w:abstractNumId="15">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2">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D3D19BD"/>
    <w:multiLevelType w:val="singleLevel"/>
    <w:tmpl w:val="2D3D19BD"/>
    <w:lvl w:ilvl="0" w:tentative="0">
      <w:start w:val="4"/>
      <w:numFmt w:val="decimal"/>
      <w:suff w:val="space"/>
      <w:lvlText w:val="%1."/>
      <w:lvlJc w:val="left"/>
    </w:lvl>
  </w:abstractNum>
  <w:abstractNum w:abstractNumId="24">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4">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67AF553"/>
    <w:multiLevelType w:val="singleLevel"/>
    <w:tmpl w:val="767AF553"/>
    <w:lvl w:ilvl="0" w:tentative="0">
      <w:start w:val="8"/>
      <w:numFmt w:val="decimal"/>
      <w:suff w:val="space"/>
      <w:lvlText w:val="%1."/>
      <w:lvlJc w:val="left"/>
    </w:lvl>
  </w:abstractNum>
  <w:abstractNum w:abstractNumId="51">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2">
    <w:nsid w:val="79465E6D"/>
    <w:multiLevelType w:val="singleLevel"/>
    <w:tmpl w:val="79465E6D"/>
    <w:lvl w:ilvl="0" w:tentative="0">
      <w:start w:val="1"/>
      <w:numFmt w:val="decimal"/>
      <w:suff w:val="nothing"/>
      <w:lvlText w:val="（%1）"/>
      <w:lvlJc w:val="left"/>
    </w:lvl>
  </w:abstractNum>
  <w:abstractNum w:abstractNumId="53">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0"/>
  </w:num>
  <w:num w:numId="2">
    <w:abstractNumId w:val="17"/>
  </w:num>
  <w:num w:numId="3">
    <w:abstractNumId w:val="4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1"/>
  </w:num>
  <w:num w:numId="8">
    <w:abstractNumId w:val="52"/>
  </w:num>
  <w:num w:numId="9">
    <w:abstractNumId w:val="16"/>
  </w:num>
  <w:num w:numId="10">
    <w:abstractNumId w:val="33"/>
  </w:num>
  <w:num w:numId="11">
    <w:abstractNumId w:val="32"/>
  </w:num>
  <w:num w:numId="12">
    <w:abstractNumId w:val="15"/>
  </w:num>
  <w:num w:numId="13">
    <w:abstractNumId w:val="2"/>
  </w:num>
  <w:num w:numId="14">
    <w:abstractNumId w:val="26"/>
  </w:num>
  <w:num w:numId="15">
    <w:abstractNumId w:val="19"/>
  </w:num>
  <w:num w:numId="16">
    <w:abstractNumId w:val="39"/>
  </w:num>
  <w:num w:numId="17">
    <w:abstractNumId w:val="45"/>
  </w:num>
  <w:num w:numId="18">
    <w:abstractNumId w:val="18"/>
  </w:num>
  <w:num w:numId="19">
    <w:abstractNumId w:val="31"/>
  </w:num>
  <w:num w:numId="20">
    <w:abstractNumId w:val="4"/>
  </w:num>
  <w:num w:numId="21">
    <w:abstractNumId w:val="49"/>
  </w:num>
  <w:num w:numId="22">
    <w:abstractNumId w:val="5"/>
  </w:num>
  <w:num w:numId="23">
    <w:abstractNumId w:val="35"/>
  </w:num>
  <w:num w:numId="24">
    <w:abstractNumId w:val="20"/>
  </w:num>
  <w:num w:numId="25">
    <w:abstractNumId w:val="6"/>
  </w:num>
  <w:num w:numId="26">
    <w:abstractNumId w:val="41"/>
  </w:num>
  <w:num w:numId="27">
    <w:abstractNumId w:val="29"/>
  </w:num>
  <w:num w:numId="28">
    <w:abstractNumId w:val="11"/>
  </w:num>
  <w:num w:numId="29">
    <w:abstractNumId w:val="44"/>
  </w:num>
  <w:num w:numId="30">
    <w:abstractNumId w:val="36"/>
  </w:num>
  <w:num w:numId="31">
    <w:abstractNumId w:val="12"/>
  </w:num>
  <w:num w:numId="32">
    <w:abstractNumId w:val="10"/>
  </w:num>
  <w:num w:numId="33">
    <w:abstractNumId w:val="22"/>
  </w:num>
  <w:num w:numId="34">
    <w:abstractNumId w:val="13"/>
  </w:num>
  <w:num w:numId="35">
    <w:abstractNumId w:val="24"/>
  </w:num>
  <w:num w:numId="36">
    <w:abstractNumId w:val="43"/>
  </w:num>
  <w:num w:numId="37">
    <w:abstractNumId w:val="9"/>
  </w:num>
  <w:num w:numId="38">
    <w:abstractNumId w:val="46"/>
  </w:num>
  <w:num w:numId="39">
    <w:abstractNumId w:val="38"/>
  </w:num>
  <w:num w:numId="40">
    <w:abstractNumId w:val="47"/>
  </w:num>
  <w:num w:numId="41">
    <w:abstractNumId w:val="53"/>
  </w:num>
  <w:num w:numId="42">
    <w:abstractNumId w:val="42"/>
  </w:num>
  <w:num w:numId="43">
    <w:abstractNumId w:val="25"/>
  </w:num>
  <w:num w:numId="44">
    <w:abstractNumId w:val="37"/>
  </w:num>
  <w:num w:numId="45">
    <w:abstractNumId w:val="34"/>
  </w:num>
  <w:num w:numId="46">
    <w:abstractNumId w:val="40"/>
  </w:num>
  <w:num w:numId="47">
    <w:abstractNumId w:val="8"/>
  </w:num>
  <w:num w:numId="48">
    <w:abstractNumId w:val="28"/>
  </w:num>
  <w:num w:numId="49">
    <w:abstractNumId w:val="1"/>
  </w:num>
  <w:num w:numId="50">
    <w:abstractNumId w:val="3"/>
  </w:num>
  <w:num w:numId="51">
    <w:abstractNumId w:val="23"/>
  </w:num>
  <w:num w:numId="52">
    <w:abstractNumId w:val="14"/>
  </w:num>
  <w:num w:numId="53">
    <w:abstractNumId w:val="50"/>
  </w:num>
  <w:num w:numId="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61E1970"/>
    <w:rsid w:val="094626F4"/>
    <w:rsid w:val="09621297"/>
    <w:rsid w:val="0A8B05D2"/>
    <w:rsid w:val="0B743C6A"/>
    <w:rsid w:val="0CA06217"/>
    <w:rsid w:val="0CB27657"/>
    <w:rsid w:val="0CFD44CC"/>
    <w:rsid w:val="0D727345"/>
    <w:rsid w:val="0D8F029B"/>
    <w:rsid w:val="0E176017"/>
    <w:rsid w:val="0FD31AF6"/>
    <w:rsid w:val="104C5F0D"/>
    <w:rsid w:val="10BA0C20"/>
    <w:rsid w:val="10BA7A9A"/>
    <w:rsid w:val="10E55ACF"/>
    <w:rsid w:val="11082D62"/>
    <w:rsid w:val="112015D4"/>
    <w:rsid w:val="112604F4"/>
    <w:rsid w:val="11805B2E"/>
    <w:rsid w:val="118329E5"/>
    <w:rsid w:val="1205519F"/>
    <w:rsid w:val="12137B73"/>
    <w:rsid w:val="12622050"/>
    <w:rsid w:val="12793DD5"/>
    <w:rsid w:val="132D0579"/>
    <w:rsid w:val="13814287"/>
    <w:rsid w:val="138451DD"/>
    <w:rsid w:val="13F65B7F"/>
    <w:rsid w:val="150B07DA"/>
    <w:rsid w:val="15DA5A19"/>
    <w:rsid w:val="170D0A48"/>
    <w:rsid w:val="179E4EFF"/>
    <w:rsid w:val="1B18317C"/>
    <w:rsid w:val="1BD7768D"/>
    <w:rsid w:val="1DA62D13"/>
    <w:rsid w:val="20217CFA"/>
    <w:rsid w:val="20AC3E49"/>
    <w:rsid w:val="21B423D1"/>
    <w:rsid w:val="220729C5"/>
    <w:rsid w:val="23EC7071"/>
    <w:rsid w:val="24412304"/>
    <w:rsid w:val="24E75339"/>
    <w:rsid w:val="24E82487"/>
    <w:rsid w:val="25641323"/>
    <w:rsid w:val="26C72E54"/>
    <w:rsid w:val="2773039B"/>
    <w:rsid w:val="27F40D92"/>
    <w:rsid w:val="289A6B28"/>
    <w:rsid w:val="29F42783"/>
    <w:rsid w:val="2A58349A"/>
    <w:rsid w:val="2AAF0D62"/>
    <w:rsid w:val="2AB94ECA"/>
    <w:rsid w:val="2B202C73"/>
    <w:rsid w:val="2B4260B7"/>
    <w:rsid w:val="2B6D575D"/>
    <w:rsid w:val="2D6F33C4"/>
    <w:rsid w:val="2F503F9B"/>
    <w:rsid w:val="301E0463"/>
    <w:rsid w:val="30B61278"/>
    <w:rsid w:val="31974E38"/>
    <w:rsid w:val="31F23497"/>
    <w:rsid w:val="32135324"/>
    <w:rsid w:val="32B91CFC"/>
    <w:rsid w:val="32CA46DD"/>
    <w:rsid w:val="32CD697B"/>
    <w:rsid w:val="3319338D"/>
    <w:rsid w:val="33477538"/>
    <w:rsid w:val="33735DCF"/>
    <w:rsid w:val="33A563AE"/>
    <w:rsid w:val="34591CB0"/>
    <w:rsid w:val="346202B8"/>
    <w:rsid w:val="3487520A"/>
    <w:rsid w:val="35054DAB"/>
    <w:rsid w:val="378D747F"/>
    <w:rsid w:val="382A6007"/>
    <w:rsid w:val="389A69BE"/>
    <w:rsid w:val="3A0044D5"/>
    <w:rsid w:val="3A077573"/>
    <w:rsid w:val="3A463477"/>
    <w:rsid w:val="3A4D1D2D"/>
    <w:rsid w:val="3B2B36C1"/>
    <w:rsid w:val="3C806B04"/>
    <w:rsid w:val="3C893E03"/>
    <w:rsid w:val="3D1A55EC"/>
    <w:rsid w:val="3DFB24B8"/>
    <w:rsid w:val="3E4B0206"/>
    <w:rsid w:val="3EBF5B14"/>
    <w:rsid w:val="3FE3608F"/>
    <w:rsid w:val="3FEE32A1"/>
    <w:rsid w:val="41877BC5"/>
    <w:rsid w:val="42545162"/>
    <w:rsid w:val="4260438F"/>
    <w:rsid w:val="426567D2"/>
    <w:rsid w:val="43AB20C9"/>
    <w:rsid w:val="453A5F85"/>
    <w:rsid w:val="45CC5C53"/>
    <w:rsid w:val="46064560"/>
    <w:rsid w:val="466325D2"/>
    <w:rsid w:val="474D3716"/>
    <w:rsid w:val="47A11C10"/>
    <w:rsid w:val="47F171BF"/>
    <w:rsid w:val="48741741"/>
    <w:rsid w:val="48AE0D5D"/>
    <w:rsid w:val="48AE7C97"/>
    <w:rsid w:val="4901232A"/>
    <w:rsid w:val="497A2F9B"/>
    <w:rsid w:val="4A2F33B3"/>
    <w:rsid w:val="4AAA0106"/>
    <w:rsid w:val="4B824133"/>
    <w:rsid w:val="4CA37F9E"/>
    <w:rsid w:val="4D003975"/>
    <w:rsid w:val="4EAA3FBC"/>
    <w:rsid w:val="4F1563ED"/>
    <w:rsid w:val="507A5BD7"/>
    <w:rsid w:val="50BA7AE6"/>
    <w:rsid w:val="50E33CCC"/>
    <w:rsid w:val="51E65204"/>
    <w:rsid w:val="529B07C4"/>
    <w:rsid w:val="54095FAC"/>
    <w:rsid w:val="546423BE"/>
    <w:rsid w:val="54F15C57"/>
    <w:rsid w:val="5729597A"/>
    <w:rsid w:val="57CC3D7C"/>
    <w:rsid w:val="57FB5C36"/>
    <w:rsid w:val="587E2CF1"/>
    <w:rsid w:val="58C76E59"/>
    <w:rsid w:val="59082E70"/>
    <w:rsid w:val="5A396BE5"/>
    <w:rsid w:val="5A3D29B3"/>
    <w:rsid w:val="5A940F14"/>
    <w:rsid w:val="5AB14664"/>
    <w:rsid w:val="5AB86FE7"/>
    <w:rsid w:val="5ACC69B8"/>
    <w:rsid w:val="5AF53D8F"/>
    <w:rsid w:val="5AF756C1"/>
    <w:rsid w:val="5B7B1236"/>
    <w:rsid w:val="5B8D3101"/>
    <w:rsid w:val="5BA11BE8"/>
    <w:rsid w:val="5BBC7CE4"/>
    <w:rsid w:val="5BBD5EFA"/>
    <w:rsid w:val="5C847989"/>
    <w:rsid w:val="5C974816"/>
    <w:rsid w:val="5CAA3C0E"/>
    <w:rsid w:val="5CCF2BA2"/>
    <w:rsid w:val="5D774E07"/>
    <w:rsid w:val="5E9572B0"/>
    <w:rsid w:val="5F2F6753"/>
    <w:rsid w:val="60733F65"/>
    <w:rsid w:val="60A52598"/>
    <w:rsid w:val="60B973AC"/>
    <w:rsid w:val="60E26FBD"/>
    <w:rsid w:val="611129DC"/>
    <w:rsid w:val="613931D7"/>
    <w:rsid w:val="61EE6E14"/>
    <w:rsid w:val="62030149"/>
    <w:rsid w:val="62866FC4"/>
    <w:rsid w:val="62B12D52"/>
    <w:rsid w:val="630E6D8B"/>
    <w:rsid w:val="632B4924"/>
    <w:rsid w:val="636C7181"/>
    <w:rsid w:val="6450536C"/>
    <w:rsid w:val="649C0035"/>
    <w:rsid w:val="64BD4633"/>
    <w:rsid w:val="64CD333C"/>
    <w:rsid w:val="65834E5D"/>
    <w:rsid w:val="65BC1CA3"/>
    <w:rsid w:val="66412E1A"/>
    <w:rsid w:val="680F6CAD"/>
    <w:rsid w:val="695946CE"/>
    <w:rsid w:val="69A10978"/>
    <w:rsid w:val="69A445C0"/>
    <w:rsid w:val="69CC0897"/>
    <w:rsid w:val="6A691709"/>
    <w:rsid w:val="6B1C4FB1"/>
    <w:rsid w:val="6B1F6537"/>
    <w:rsid w:val="6B4808E8"/>
    <w:rsid w:val="6B702A2A"/>
    <w:rsid w:val="6B921D4C"/>
    <w:rsid w:val="6C5A3BC4"/>
    <w:rsid w:val="6C780999"/>
    <w:rsid w:val="6CC23729"/>
    <w:rsid w:val="6D3B484F"/>
    <w:rsid w:val="6DC64B38"/>
    <w:rsid w:val="6E576E1E"/>
    <w:rsid w:val="6E666CEE"/>
    <w:rsid w:val="701A473E"/>
    <w:rsid w:val="70DB7D4D"/>
    <w:rsid w:val="70FC3D33"/>
    <w:rsid w:val="714B7AF8"/>
    <w:rsid w:val="715D0235"/>
    <w:rsid w:val="71FD663E"/>
    <w:rsid w:val="72C62065"/>
    <w:rsid w:val="73742257"/>
    <w:rsid w:val="73A90ADD"/>
    <w:rsid w:val="742079D1"/>
    <w:rsid w:val="74C34A38"/>
    <w:rsid w:val="74ED7FD8"/>
    <w:rsid w:val="753C14F7"/>
    <w:rsid w:val="754B6B88"/>
    <w:rsid w:val="757454EC"/>
    <w:rsid w:val="75DA2941"/>
    <w:rsid w:val="768F2FEA"/>
    <w:rsid w:val="76B305CC"/>
    <w:rsid w:val="76E235BA"/>
    <w:rsid w:val="76EC0227"/>
    <w:rsid w:val="77F1491C"/>
    <w:rsid w:val="795D757D"/>
    <w:rsid w:val="798761B7"/>
    <w:rsid w:val="79CD77D8"/>
    <w:rsid w:val="79F97B94"/>
    <w:rsid w:val="7A5D35B5"/>
    <w:rsid w:val="7AA2566E"/>
    <w:rsid w:val="7BA36827"/>
    <w:rsid w:val="7BA4596D"/>
    <w:rsid w:val="7BD56206"/>
    <w:rsid w:val="7C161E9E"/>
    <w:rsid w:val="7C7D76E6"/>
    <w:rsid w:val="7C806E7C"/>
    <w:rsid w:val="7CF9768E"/>
    <w:rsid w:val="7F5303E6"/>
    <w:rsid w:val="7FBF01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32756</Words>
  <Characters>33824</Characters>
  <Lines>279</Lines>
  <Paragraphs>78</Paragraphs>
  <TotalTime>5</TotalTime>
  <ScaleCrop>false</ScaleCrop>
  <LinksUpToDate>false</LinksUpToDate>
  <CharactersWithSpaces>34064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2025-09-29T07:23:28Z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A913E73D0AFB4E26903E7B0C7B6302A6</vt:lpwstr>
  </property>
</Properties>
</file>