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AEDDB" w14:textId="77777777" w:rsidR="009862B8" w:rsidRDefault="002919C9">
      <w:pPr>
        <w:spacing w:line="0" w:lineRule="atLeast"/>
        <w:jc w:val="center"/>
        <w:rPr>
          <w:b/>
          <w:bCs/>
          <w:kern w:val="0"/>
          <w:sz w:val="24"/>
          <w:szCs w:val="24"/>
        </w:rPr>
      </w:pPr>
      <w:r>
        <w:rPr>
          <w:rFonts w:hint="eastAsia"/>
          <w:b/>
          <w:bCs/>
          <w:kern w:val="0"/>
          <w:sz w:val="24"/>
          <w:szCs w:val="24"/>
        </w:rPr>
        <w:t>理财产品风险揭示书</w:t>
      </w:r>
    </w:p>
    <w:p w14:paraId="5BB3E8F6" w14:textId="77777777" w:rsidR="009862B8" w:rsidRDefault="002919C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1FFD0FB1" w14:textId="77777777" w:rsidR="009862B8" w:rsidRDefault="002919C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4A4FC979" w14:textId="77777777" w:rsidR="009862B8" w:rsidRDefault="002919C9">
      <w:pPr>
        <w:widowControl/>
        <w:spacing w:line="200" w:lineRule="exact"/>
        <w:ind w:firstLineChars="200" w:firstLine="261"/>
        <w:rPr>
          <w:b/>
          <w:color w:val="3D3D3D"/>
          <w:kern w:val="0"/>
          <w:sz w:val="13"/>
          <w:szCs w:val="13"/>
        </w:rPr>
      </w:pPr>
      <w:r>
        <w:rPr>
          <w:rFonts w:hint="eastAsia"/>
          <w:b/>
          <w:color w:val="3D3D3D"/>
          <w:kern w:val="0"/>
          <w:sz w:val="13"/>
          <w:szCs w:val="13"/>
        </w:rPr>
        <w:t>重要提示：</w:t>
      </w:r>
      <w:proofErr w:type="gramStart"/>
      <w:r>
        <w:rPr>
          <w:rFonts w:hint="eastAsia"/>
          <w:b/>
          <w:color w:val="3D3D3D"/>
          <w:kern w:val="0"/>
          <w:sz w:val="13"/>
          <w:szCs w:val="13"/>
        </w:rPr>
        <w:t>南银理财</w:t>
      </w:r>
      <w:proofErr w:type="gramEnd"/>
      <w:r>
        <w:rPr>
          <w:rFonts w:hint="eastAsia"/>
          <w:b/>
          <w:color w:val="3D3D3D"/>
          <w:kern w:val="0"/>
          <w:sz w:val="13"/>
          <w:szCs w:val="13"/>
        </w:rPr>
        <w:t>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w:t>
      </w:r>
      <w:proofErr w:type="gramStart"/>
      <w:r>
        <w:rPr>
          <w:rFonts w:hint="eastAsia"/>
          <w:b/>
          <w:color w:val="3D3D3D"/>
          <w:kern w:val="0"/>
          <w:sz w:val="13"/>
          <w:szCs w:val="13"/>
        </w:rPr>
        <w:t>构成南银理财</w:t>
      </w:r>
      <w:proofErr w:type="gramEnd"/>
      <w:r>
        <w:rPr>
          <w:rFonts w:hint="eastAsia"/>
          <w:b/>
          <w:color w:val="3D3D3D"/>
          <w:kern w:val="0"/>
          <w:sz w:val="13"/>
          <w:szCs w:val="13"/>
        </w:rPr>
        <w:t>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71F10E6E" w14:textId="77777777" w:rsidR="009862B8" w:rsidRDefault="002919C9">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47C38C3E" w14:textId="77777777" w:rsidR="009862B8" w:rsidRDefault="002919C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3E81126"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68E6A47C"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w:t>
      </w:r>
      <w:proofErr w:type="gramStart"/>
      <w:r>
        <w:rPr>
          <w:rFonts w:hint="eastAsia"/>
          <w:color w:val="3D3D3D"/>
          <w:kern w:val="0"/>
          <w:sz w:val="13"/>
          <w:szCs w:val="13"/>
        </w:rPr>
        <w:t>南银理财</w:t>
      </w:r>
      <w:proofErr w:type="gramEnd"/>
      <w:r>
        <w:rPr>
          <w:rFonts w:hint="eastAsia"/>
          <w:color w:val="3D3D3D"/>
          <w:kern w:val="0"/>
          <w:sz w:val="13"/>
          <w:szCs w:val="13"/>
        </w:rPr>
        <w:t>有权以理财产品管理人名义代表投资者利益行使诉讼权利或实施其他法律行为，若这些权利在未来得以实现，在扣除相关费用后，将继续向投资者进行清偿。</w:t>
      </w:r>
    </w:p>
    <w:p w14:paraId="73412666"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56B12D7"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17BE7848"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01192226"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C3FC3ED"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754C36CF"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07DF9518"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w:t>
      </w:r>
      <w:proofErr w:type="gramStart"/>
      <w:r>
        <w:rPr>
          <w:rFonts w:hint="eastAsia"/>
          <w:color w:val="3D3D3D"/>
          <w:kern w:val="0"/>
          <w:sz w:val="13"/>
          <w:szCs w:val="13"/>
        </w:rPr>
        <w:t>经南银理财</w:t>
      </w:r>
      <w:proofErr w:type="gramEnd"/>
      <w:r>
        <w:rPr>
          <w:rFonts w:hint="eastAsia"/>
          <w:color w:val="3D3D3D"/>
          <w:kern w:val="0"/>
          <w:sz w:val="13"/>
          <w:szCs w:val="13"/>
        </w:rPr>
        <w:t>合理判断难以按照对应期次《理财产品说明书》的规定向投资者提供本理财服务的，</w:t>
      </w:r>
      <w:proofErr w:type="gramStart"/>
      <w:r>
        <w:rPr>
          <w:rFonts w:hint="eastAsia"/>
          <w:color w:val="3D3D3D"/>
          <w:kern w:val="0"/>
          <w:sz w:val="13"/>
          <w:szCs w:val="13"/>
        </w:rPr>
        <w:t>南银理财</w:t>
      </w:r>
      <w:proofErr w:type="gramEnd"/>
      <w:r>
        <w:rPr>
          <w:rFonts w:hint="eastAsia"/>
          <w:color w:val="3D3D3D"/>
          <w:kern w:val="0"/>
          <w:sz w:val="13"/>
          <w:szCs w:val="13"/>
        </w:rPr>
        <w:t>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276770CB"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465EE2A1"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w:t>
      </w:r>
      <w:proofErr w:type="gramStart"/>
      <w:r>
        <w:rPr>
          <w:rFonts w:hint="eastAsia"/>
          <w:color w:val="3D3D3D"/>
          <w:kern w:val="0"/>
          <w:sz w:val="13"/>
          <w:szCs w:val="13"/>
        </w:rPr>
        <w:t>南银理财</w:t>
      </w:r>
      <w:proofErr w:type="gramEnd"/>
      <w:r>
        <w:rPr>
          <w:rFonts w:hint="eastAsia"/>
          <w:color w:val="3D3D3D"/>
          <w:kern w:val="0"/>
          <w:sz w:val="13"/>
          <w:szCs w:val="13"/>
        </w:rPr>
        <w:t>有权根据市场变化等情况提前终止本理财产品，一旦理财产品被提前终止，投资者可能面临再投资风险、本金和收益蒙受损失的风险。</w:t>
      </w:r>
    </w:p>
    <w:p w14:paraId="41290DE2" w14:textId="77777777" w:rsidR="009862B8" w:rsidRDefault="002919C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5F06774F" w14:textId="77777777" w:rsidR="009862B8" w:rsidRDefault="002919C9">
      <w:pPr>
        <w:widowControl/>
        <w:spacing w:line="200" w:lineRule="exact"/>
        <w:ind w:firstLine="260"/>
        <w:rPr>
          <w:b/>
          <w:bCs/>
          <w:color w:val="3D3D3D"/>
          <w:kern w:val="0"/>
          <w:sz w:val="13"/>
          <w:szCs w:val="13"/>
        </w:rPr>
      </w:pPr>
      <w:proofErr w:type="gramStart"/>
      <w:r>
        <w:rPr>
          <w:rFonts w:hint="eastAsia"/>
          <w:b/>
          <w:bCs/>
          <w:color w:val="3D3D3D"/>
          <w:kern w:val="0"/>
          <w:sz w:val="13"/>
          <w:szCs w:val="13"/>
        </w:rPr>
        <w:t>南银理财</w:t>
      </w:r>
      <w:proofErr w:type="gramEnd"/>
      <w:r>
        <w:rPr>
          <w:rFonts w:hint="eastAsia"/>
          <w:b/>
          <w:bCs/>
          <w:color w:val="3D3D3D"/>
          <w:kern w:val="0"/>
          <w:sz w:val="13"/>
          <w:szCs w:val="13"/>
        </w:rPr>
        <w:t>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161BF43C" w14:textId="77777777" w:rsidR="009862B8" w:rsidRDefault="002919C9">
      <w:pPr>
        <w:widowControl/>
        <w:spacing w:line="200" w:lineRule="exact"/>
        <w:ind w:firstLine="260"/>
        <w:rPr>
          <w:b/>
          <w:bCs/>
          <w:color w:val="3D3D3D"/>
          <w:kern w:val="0"/>
          <w:sz w:val="13"/>
          <w:szCs w:val="13"/>
        </w:rPr>
      </w:pPr>
      <w:r>
        <w:rPr>
          <w:rFonts w:hint="eastAsia"/>
          <w:b/>
          <w:bCs/>
          <w:color w:val="3D3D3D"/>
          <w:kern w:val="0"/>
          <w:sz w:val="13"/>
          <w:szCs w:val="13"/>
        </w:rPr>
        <w:t>投资者预留</w:t>
      </w:r>
      <w:proofErr w:type="gramStart"/>
      <w:r>
        <w:rPr>
          <w:rFonts w:hint="eastAsia"/>
          <w:b/>
          <w:bCs/>
          <w:color w:val="3D3D3D"/>
          <w:kern w:val="0"/>
          <w:sz w:val="13"/>
          <w:szCs w:val="13"/>
        </w:rPr>
        <w:t>在南银理财</w:t>
      </w:r>
      <w:proofErr w:type="gramEnd"/>
      <w:r>
        <w:rPr>
          <w:rFonts w:hint="eastAsia"/>
          <w:b/>
          <w:bCs/>
          <w:color w:val="3D3D3D"/>
          <w:kern w:val="0"/>
          <w:sz w:val="13"/>
          <w:szCs w:val="13"/>
        </w:rPr>
        <w:t>或销售机构的有效联系方式变更的，应及时</w:t>
      </w:r>
      <w:proofErr w:type="gramStart"/>
      <w:r>
        <w:rPr>
          <w:rFonts w:hint="eastAsia"/>
          <w:b/>
          <w:bCs/>
          <w:color w:val="3D3D3D"/>
          <w:kern w:val="0"/>
          <w:sz w:val="13"/>
          <w:szCs w:val="13"/>
        </w:rPr>
        <w:t>通知南银理财</w:t>
      </w:r>
      <w:proofErr w:type="gramEnd"/>
      <w:r>
        <w:rPr>
          <w:rFonts w:hint="eastAsia"/>
          <w:b/>
          <w:bCs/>
          <w:color w:val="3D3D3D"/>
          <w:kern w:val="0"/>
          <w:sz w:val="13"/>
          <w:szCs w:val="13"/>
        </w:rPr>
        <w:t>或销售机构。如投资者未及时</w:t>
      </w:r>
      <w:proofErr w:type="gramStart"/>
      <w:r>
        <w:rPr>
          <w:rFonts w:hint="eastAsia"/>
          <w:b/>
          <w:bCs/>
          <w:color w:val="3D3D3D"/>
          <w:kern w:val="0"/>
          <w:sz w:val="13"/>
          <w:szCs w:val="13"/>
        </w:rPr>
        <w:t>告知南银理财</w:t>
      </w:r>
      <w:proofErr w:type="gramEnd"/>
      <w:r>
        <w:rPr>
          <w:rFonts w:hint="eastAsia"/>
          <w:b/>
          <w:bCs/>
          <w:color w:val="3D3D3D"/>
          <w:kern w:val="0"/>
          <w:sz w:val="13"/>
          <w:szCs w:val="13"/>
        </w:rPr>
        <w:t>或销售机构联系方式变更，</w:t>
      </w:r>
      <w:proofErr w:type="gramStart"/>
      <w:r>
        <w:rPr>
          <w:rFonts w:hint="eastAsia"/>
          <w:b/>
          <w:bCs/>
          <w:color w:val="3D3D3D"/>
          <w:kern w:val="0"/>
          <w:sz w:val="13"/>
          <w:szCs w:val="13"/>
        </w:rPr>
        <w:t>造成南银理财</w:t>
      </w:r>
      <w:proofErr w:type="gramEnd"/>
      <w:r>
        <w:rPr>
          <w:rFonts w:hint="eastAsia"/>
          <w:b/>
          <w:bCs/>
          <w:color w:val="3D3D3D"/>
          <w:kern w:val="0"/>
          <w:sz w:val="13"/>
          <w:szCs w:val="13"/>
        </w:rPr>
        <w:t>或销售机构在需要时无法联系投资者，并由此影响投资者的投资决策，因此而产生的责任和风险由投资者自行承担。</w:t>
      </w:r>
    </w:p>
    <w:p w14:paraId="49754FCD"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w:t>
      </w:r>
      <w:proofErr w:type="gramStart"/>
      <w:r>
        <w:rPr>
          <w:rFonts w:hint="eastAsia"/>
          <w:color w:val="3D3D3D"/>
          <w:kern w:val="0"/>
          <w:sz w:val="13"/>
          <w:szCs w:val="13"/>
        </w:rPr>
        <w:t>或</w:t>
      </w:r>
      <w:r>
        <w:rPr>
          <w:rFonts w:hint="eastAsia"/>
          <w:color w:val="3D3D3D"/>
          <w:kern w:val="0"/>
          <w:sz w:val="13"/>
          <w:szCs w:val="13"/>
        </w:rPr>
        <w:t>南银理财</w:t>
      </w:r>
      <w:proofErr w:type="gramEnd"/>
      <w:r>
        <w:rPr>
          <w:rFonts w:hint="eastAsia"/>
          <w:color w:val="3D3D3D"/>
          <w:kern w:val="0"/>
          <w:sz w:val="13"/>
          <w:szCs w:val="13"/>
        </w:rPr>
        <w:t>、</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3483598B"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（十三）税收风险：</w:t>
      </w:r>
      <w:proofErr w:type="gramStart"/>
      <w:r>
        <w:rPr>
          <w:rFonts w:hint="eastAsia"/>
          <w:color w:val="3D3D3D"/>
          <w:kern w:val="0"/>
          <w:sz w:val="13"/>
          <w:szCs w:val="13"/>
        </w:rPr>
        <w:t>南银理财</w:t>
      </w:r>
      <w:proofErr w:type="gramEnd"/>
      <w:r>
        <w:rPr>
          <w:rFonts w:hint="eastAsia"/>
          <w:color w:val="3D3D3D"/>
          <w:kern w:val="0"/>
          <w:sz w:val="13"/>
          <w:szCs w:val="13"/>
        </w:rPr>
        <w:t>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w:t>
      </w:r>
      <w:proofErr w:type="gramStart"/>
      <w:r>
        <w:rPr>
          <w:rFonts w:hint="eastAsia"/>
          <w:color w:val="3D3D3D"/>
          <w:kern w:val="0"/>
          <w:sz w:val="13"/>
          <w:szCs w:val="13"/>
        </w:rPr>
        <w:t>南银理财</w:t>
      </w:r>
      <w:proofErr w:type="gramEnd"/>
      <w:r>
        <w:rPr>
          <w:rFonts w:hint="eastAsia"/>
          <w:color w:val="3D3D3D"/>
          <w:kern w:val="0"/>
          <w:sz w:val="13"/>
          <w:szCs w:val="13"/>
        </w:rPr>
        <w:t>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2E0EFCD1"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1005B72B"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4650ACE9"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w:t>
      </w:r>
      <w:proofErr w:type="gramStart"/>
      <w:r>
        <w:rPr>
          <w:rFonts w:hint="eastAsia"/>
          <w:color w:val="3D3D3D"/>
          <w:kern w:val="0"/>
          <w:sz w:val="13"/>
          <w:szCs w:val="13"/>
        </w:rPr>
        <w:t>划转至南银理财</w:t>
      </w:r>
      <w:proofErr w:type="gramEnd"/>
      <w:r>
        <w:rPr>
          <w:rFonts w:hint="eastAsia"/>
          <w:color w:val="3D3D3D"/>
          <w:kern w:val="0"/>
          <w:sz w:val="13"/>
          <w:szCs w:val="13"/>
        </w:rPr>
        <w:t>，将导致投资者无法完成认购</w:t>
      </w:r>
      <w:r>
        <w:rPr>
          <w:color w:val="3D3D3D"/>
          <w:kern w:val="0"/>
          <w:sz w:val="13"/>
          <w:szCs w:val="13"/>
        </w:rPr>
        <w:t>/</w:t>
      </w:r>
      <w:r>
        <w:rPr>
          <w:rFonts w:hint="eastAsia"/>
          <w:color w:val="3D3D3D"/>
          <w:kern w:val="0"/>
          <w:sz w:val="13"/>
          <w:szCs w:val="13"/>
        </w:rPr>
        <w:t>申购，因此造成的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不承担责</w:t>
      </w:r>
      <w:r>
        <w:rPr>
          <w:rFonts w:hint="eastAsia"/>
          <w:color w:val="3D3D3D"/>
          <w:kern w:val="0"/>
          <w:sz w:val="13"/>
          <w:szCs w:val="13"/>
        </w:rPr>
        <w:lastRenderedPageBreak/>
        <w:t>任。在赎回和产品终止清算时，</w:t>
      </w:r>
      <w:proofErr w:type="gramStart"/>
      <w:r>
        <w:rPr>
          <w:rFonts w:hint="eastAsia"/>
          <w:color w:val="3D3D3D"/>
          <w:kern w:val="0"/>
          <w:sz w:val="13"/>
          <w:szCs w:val="13"/>
        </w:rPr>
        <w:t>南银理财</w:t>
      </w:r>
      <w:proofErr w:type="gramEnd"/>
      <w:r>
        <w:rPr>
          <w:rFonts w:hint="eastAsia"/>
          <w:color w:val="3D3D3D"/>
          <w:kern w:val="0"/>
          <w:sz w:val="13"/>
          <w:szCs w:val="13"/>
        </w:rPr>
        <w:t>将投资者应得资金划转至代销机构指定账户后，由代销机构将相应应得资金划转至投资者账户。若代销机构未及时进行划付，因此造成的</w:t>
      </w:r>
      <w:proofErr w:type="gramStart"/>
      <w:r>
        <w:rPr>
          <w:rFonts w:hint="eastAsia"/>
          <w:color w:val="3D3D3D"/>
          <w:kern w:val="0"/>
          <w:sz w:val="13"/>
          <w:szCs w:val="13"/>
        </w:rPr>
        <w:t>损失南银理财</w:t>
      </w:r>
      <w:proofErr w:type="gramEnd"/>
      <w:r>
        <w:rPr>
          <w:rFonts w:hint="eastAsia"/>
          <w:color w:val="3D3D3D"/>
          <w:kern w:val="0"/>
          <w:sz w:val="13"/>
          <w:szCs w:val="13"/>
        </w:rPr>
        <w:t>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0063AA4" w14:textId="77777777" w:rsidR="009862B8" w:rsidRDefault="002919C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2A0470CF" w14:textId="77777777" w:rsidR="009862B8" w:rsidRDefault="002919C9">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76876C4" w14:textId="77777777" w:rsidR="009862B8" w:rsidRDefault="002919C9">
      <w:pPr>
        <w:pStyle w:val="Normalc94f7571"/>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4DA0EE35" w14:textId="77777777" w:rsidR="009862B8" w:rsidRDefault="002919C9">
      <w:pPr>
        <w:spacing w:line="200" w:lineRule="exact"/>
      </w:pPr>
      <w:r>
        <w:rPr>
          <w:rFonts w:cs="宋体"/>
          <w:b/>
          <w:sz w:val="13"/>
          <w:szCs w:val="20"/>
        </w:rPr>
        <w:t xml:space="preserve">    1.</w:t>
      </w:r>
      <w:r>
        <w:rPr>
          <w:rFonts w:cs="宋体"/>
          <w:b/>
          <w:sz w:val="13"/>
          <w:szCs w:val="20"/>
        </w:rPr>
        <w:t>债券类资产投资风险</w:t>
      </w:r>
    </w:p>
    <w:p w14:paraId="31DF3927" w14:textId="77777777" w:rsidR="009862B8" w:rsidRDefault="002919C9">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BA05519" w14:textId="77777777" w:rsidR="009862B8" w:rsidRDefault="002919C9">
      <w:pPr>
        <w:spacing w:line="200" w:lineRule="exact"/>
      </w:pPr>
      <w:r>
        <w:rPr>
          <w:rFonts w:cs="宋体"/>
          <w:b/>
          <w:sz w:val="13"/>
          <w:szCs w:val="20"/>
        </w:rPr>
        <w:t xml:space="preserve">    2.</w:t>
      </w:r>
      <w:r>
        <w:rPr>
          <w:rFonts w:cs="宋体"/>
          <w:b/>
          <w:sz w:val="13"/>
          <w:szCs w:val="20"/>
        </w:rPr>
        <w:t>非标准化债权类资产投资风险</w:t>
      </w:r>
    </w:p>
    <w:p w14:paraId="30ED884F" w14:textId="77777777" w:rsidR="009862B8" w:rsidRDefault="002919C9">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23930B94" w14:textId="77777777" w:rsidR="009862B8" w:rsidRDefault="002919C9">
      <w:pPr>
        <w:spacing w:line="200" w:lineRule="exact"/>
      </w:pPr>
      <w:r>
        <w:rPr>
          <w:rFonts w:cs="宋体"/>
          <w:b/>
          <w:sz w:val="13"/>
          <w:szCs w:val="20"/>
        </w:rPr>
        <w:t xml:space="preserve">    3.</w:t>
      </w:r>
      <w:r>
        <w:rPr>
          <w:rFonts w:cs="宋体"/>
          <w:b/>
          <w:sz w:val="13"/>
          <w:szCs w:val="20"/>
        </w:rPr>
        <w:t>资产管理产品投资风险</w:t>
      </w:r>
    </w:p>
    <w:p w14:paraId="5B2FEE2D" w14:textId="77777777" w:rsidR="009862B8" w:rsidRDefault="002919C9">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58D12424" w14:textId="77777777" w:rsidR="009862B8" w:rsidRDefault="002919C9">
      <w:pPr>
        <w:spacing w:line="200" w:lineRule="exact"/>
      </w:pPr>
      <w:r>
        <w:rPr>
          <w:rFonts w:cs="宋体"/>
          <w:b/>
          <w:sz w:val="13"/>
          <w:szCs w:val="20"/>
        </w:rPr>
        <w:t xml:space="preserve">    4.</w:t>
      </w:r>
      <w:r>
        <w:rPr>
          <w:rFonts w:cs="宋体"/>
          <w:b/>
          <w:sz w:val="13"/>
          <w:szCs w:val="20"/>
        </w:rPr>
        <w:t>非标准化债权类资产无法投资的风险</w:t>
      </w:r>
    </w:p>
    <w:p w14:paraId="6A645337" w14:textId="77777777" w:rsidR="009862B8" w:rsidRDefault="002919C9">
      <w:pPr>
        <w:spacing w:line="200" w:lineRule="exact"/>
      </w:pPr>
      <w:r>
        <w:rPr>
          <w:rFonts w:cs="宋体"/>
          <w:b/>
          <w:sz w:val="13"/>
          <w:szCs w:val="20"/>
        </w:rPr>
        <w:t xml:space="preserve">    </w:t>
      </w:r>
      <w:r>
        <w:rPr>
          <w:rFonts w:cs="宋体"/>
          <w:b/>
          <w:sz w:val="13"/>
          <w:szCs w:val="20"/>
        </w:rPr>
        <w:t>若受到市场影响出现融资人临时变更融资要素（如取消该笔资</w:t>
      </w:r>
      <w:proofErr w:type="gramStart"/>
      <w:r>
        <w:rPr>
          <w:rFonts w:cs="宋体"/>
          <w:b/>
          <w:sz w:val="13"/>
          <w:szCs w:val="20"/>
        </w:rPr>
        <w:t>产发行</w:t>
      </w:r>
      <w:proofErr w:type="gramEnd"/>
      <w:r>
        <w:rPr>
          <w:rFonts w:cs="宋体"/>
          <w:b/>
          <w:sz w:val="13"/>
          <w:szCs w:val="20"/>
        </w:rPr>
        <w:t>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25D95287" w14:textId="77777777" w:rsidR="009862B8" w:rsidRDefault="002919C9">
      <w:pPr>
        <w:pStyle w:val="Normalc94f7571"/>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1D3FCDF3" w14:textId="77777777" w:rsidR="009862B8" w:rsidRDefault="002919C9">
      <w:pPr>
        <w:pStyle w:val="Normalc94f7571"/>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749</w:t>
      </w:r>
      <w:r>
        <w:rPr>
          <w:rFonts w:hint="eastAsia"/>
          <w:b/>
          <w:bCs/>
          <w:color w:val="3D3D3D"/>
          <w:kern w:val="0"/>
          <w:sz w:val="13"/>
          <w:szCs w:val="13"/>
        </w:rPr>
        <w:t>天</w:t>
      </w:r>
      <w:r>
        <w:rPr>
          <w:rFonts w:hint="eastAsia"/>
          <w:b/>
          <w:color w:val="3D3D3D"/>
          <w:kern w:val="0"/>
          <w:sz w:val="13"/>
          <w:szCs w:val="13"/>
        </w:rPr>
        <w:t>。</w:t>
      </w:r>
    </w:p>
    <w:p w14:paraId="33CCB301" w14:textId="77777777" w:rsidR="009862B8" w:rsidRDefault="002919C9">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4EFBEB07" w14:textId="77777777" w:rsidR="009862B8" w:rsidRDefault="002919C9">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w:t>
      </w:r>
      <w:proofErr w:type="gramStart"/>
      <w:r>
        <w:rPr>
          <w:rFonts w:hint="eastAsia"/>
          <w:b/>
          <w:bCs/>
          <w:color w:val="3D3D3D"/>
          <w:kern w:val="0"/>
          <w:sz w:val="13"/>
          <w:szCs w:val="13"/>
        </w:rPr>
        <w:t>为南银理财</w:t>
      </w:r>
      <w:proofErr w:type="gramEnd"/>
      <w:r>
        <w:rPr>
          <w:rFonts w:hint="eastAsia"/>
          <w:b/>
          <w:bCs/>
          <w:color w:val="3D3D3D"/>
          <w:kern w:val="0"/>
          <w:sz w:val="13"/>
          <w:szCs w:val="13"/>
        </w:rPr>
        <w:t>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1745831" w14:textId="77777777" w:rsidR="009862B8" w:rsidRDefault="002919C9">
      <w:pPr>
        <w:pStyle w:val="Normalc94f7571"/>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576811D0" w14:textId="77777777" w:rsidR="009862B8" w:rsidRDefault="002919C9">
      <w:pPr>
        <w:pStyle w:val="Normalc94f7571"/>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4E803360" w14:textId="77777777" w:rsidR="009862B8" w:rsidRDefault="002919C9">
      <w:pPr>
        <w:pStyle w:val="Normalc94f7571"/>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273FC969" w14:textId="77777777" w:rsidR="009862B8" w:rsidRDefault="002919C9">
      <w:pPr>
        <w:pStyle w:val="Normalc94f7571"/>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551E8B53" w14:textId="77777777" w:rsidR="009862B8" w:rsidRDefault="009862B8">
      <w:pPr>
        <w:pStyle w:val="Normalc94f7571"/>
        <w:widowControl/>
        <w:spacing w:line="200" w:lineRule="exact"/>
        <w:ind w:firstLine="260"/>
        <w:rPr>
          <w:b/>
          <w:color w:val="3D3D3D"/>
          <w:kern w:val="0"/>
          <w:sz w:val="13"/>
          <w:szCs w:val="13"/>
        </w:rPr>
      </w:pPr>
    </w:p>
    <w:p w14:paraId="0FD3C240" w14:textId="77777777" w:rsidR="009862B8" w:rsidRDefault="002919C9">
      <w:pPr>
        <w:pStyle w:val="Normalc94f7571"/>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49CFD596" w14:textId="77777777" w:rsidR="009862B8" w:rsidRDefault="009862B8">
      <w:pPr>
        <w:pStyle w:val="Normalc94f7571"/>
        <w:widowControl/>
        <w:spacing w:line="200" w:lineRule="exact"/>
        <w:ind w:firstLine="260"/>
        <w:jc w:val="center"/>
        <w:rPr>
          <w:b/>
          <w:color w:val="3D3D3D"/>
          <w:kern w:val="0"/>
          <w:sz w:val="15"/>
          <w:szCs w:val="15"/>
          <w:u w:val="single"/>
        </w:rPr>
      </w:pPr>
    </w:p>
    <w:p w14:paraId="4541A825" w14:textId="77777777" w:rsidR="009862B8" w:rsidRDefault="002919C9">
      <w:pPr>
        <w:pStyle w:val="Normalc94f7571"/>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02DC6651" w14:textId="77777777" w:rsidR="009862B8" w:rsidRDefault="002919C9">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5C4DE0DB"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proofErr w:type="gramStart"/>
      <w:r>
        <w:rPr>
          <w:rFonts w:hint="eastAsia"/>
          <w:b/>
          <w:color w:val="3D3D3D"/>
          <w:kern w:val="0"/>
          <w:sz w:val="15"/>
          <w:szCs w:val="15"/>
          <w:u w:val="single"/>
        </w:rPr>
        <w:t>确认南银理财</w:t>
      </w:r>
      <w:proofErr w:type="gramEnd"/>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w:t>
      </w:r>
      <w:proofErr w:type="gramStart"/>
      <w:r>
        <w:rPr>
          <w:rFonts w:hint="eastAsia"/>
          <w:b/>
          <w:color w:val="3D3D3D"/>
          <w:kern w:val="0"/>
          <w:sz w:val="15"/>
          <w:szCs w:val="15"/>
          <w:u w:val="single"/>
        </w:rPr>
        <w:t>减轻南银理财</w:t>
      </w:r>
      <w:proofErr w:type="gramEnd"/>
      <w:r>
        <w:rPr>
          <w:rFonts w:hint="eastAsia"/>
          <w:b/>
          <w:color w:val="3D3D3D"/>
          <w:kern w:val="0"/>
          <w:sz w:val="15"/>
          <w:szCs w:val="15"/>
          <w:u w:val="single"/>
        </w:rPr>
        <w:t>责任</w:t>
      </w:r>
      <w:proofErr w:type="gramStart"/>
      <w:r>
        <w:rPr>
          <w:rFonts w:hint="eastAsia"/>
          <w:b/>
          <w:color w:val="3D3D3D"/>
          <w:kern w:val="0"/>
          <w:sz w:val="15"/>
          <w:szCs w:val="15"/>
          <w:u w:val="single"/>
        </w:rPr>
        <w:t>或南银理财</w:t>
      </w:r>
      <w:proofErr w:type="gramEnd"/>
      <w:r>
        <w:rPr>
          <w:rFonts w:hint="eastAsia"/>
          <w:b/>
          <w:color w:val="3D3D3D"/>
          <w:kern w:val="0"/>
          <w:sz w:val="15"/>
          <w:szCs w:val="15"/>
          <w:u w:val="single"/>
        </w:rPr>
        <w:t>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32B80A94"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597A9227"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4E45B975"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63E8AECB"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70869429"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本次投资决策，并未依赖于南银理财和销售机构在理财产品销售文件之外的任何陈述、说明、文件或承诺，南银理财和销售机构的义务和责任以理财产品销售文件明确记载的书面内容为准。</w:t>
      </w:r>
    </w:p>
    <w:p w14:paraId="75EED0BE" w14:textId="77777777" w:rsidR="009862B8" w:rsidRDefault="002919C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65CAFFEF" w14:textId="77777777" w:rsidR="009862B8" w:rsidRDefault="002919C9">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37C957DB" w14:textId="77777777" w:rsidR="009862B8" w:rsidRDefault="002919C9">
      <w:pPr>
        <w:widowControl/>
        <w:spacing w:line="200" w:lineRule="exact"/>
        <w:ind w:firstLine="210"/>
        <w:rPr>
          <w:color w:val="3D3D3D"/>
          <w:kern w:val="0"/>
          <w:sz w:val="15"/>
          <w:szCs w:val="15"/>
        </w:rPr>
      </w:pPr>
      <w:r>
        <w:rPr>
          <w:rFonts w:hint="eastAsia"/>
          <w:color w:val="3D3D3D"/>
          <w:kern w:val="0"/>
          <w:sz w:val="15"/>
          <w:szCs w:val="15"/>
        </w:rPr>
        <w:t xml:space="preserve">         </w:t>
      </w:r>
    </w:p>
    <w:p w14:paraId="423C32D7" w14:textId="77777777" w:rsidR="009862B8" w:rsidRDefault="009862B8">
      <w:pPr>
        <w:widowControl/>
        <w:spacing w:line="200" w:lineRule="exact"/>
        <w:ind w:firstLine="210"/>
        <w:rPr>
          <w:color w:val="3D3D3D"/>
          <w:kern w:val="0"/>
          <w:sz w:val="15"/>
          <w:szCs w:val="15"/>
        </w:rPr>
      </w:pPr>
    </w:p>
    <w:p w14:paraId="1A774A7C" w14:textId="77777777" w:rsidR="009862B8" w:rsidRDefault="002919C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6D712B7F" w14:textId="77777777" w:rsidR="009862B8" w:rsidRDefault="009862B8">
      <w:pPr>
        <w:widowControl/>
        <w:spacing w:line="200" w:lineRule="exact"/>
        <w:ind w:firstLine="210"/>
        <w:rPr>
          <w:color w:val="3D3D3D"/>
          <w:kern w:val="0"/>
          <w:sz w:val="13"/>
          <w:szCs w:val="13"/>
        </w:rPr>
      </w:pPr>
    </w:p>
    <w:p w14:paraId="299E86AC" w14:textId="77777777" w:rsidR="009862B8" w:rsidRDefault="009862B8">
      <w:pPr>
        <w:widowControl/>
        <w:spacing w:line="200" w:lineRule="exact"/>
        <w:ind w:firstLine="210"/>
        <w:jc w:val="left"/>
        <w:rPr>
          <w:color w:val="3D3D3D"/>
          <w:kern w:val="0"/>
          <w:sz w:val="13"/>
          <w:szCs w:val="13"/>
        </w:rPr>
      </w:pPr>
    </w:p>
    <w:p w14:paraId="41A13EBD" w14:textId="77777777" w:rsidR="009862B8" w:rsidRDefault="009862B8">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9862B8" w14:paraId="6A0549C8"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1F0B2B9" w14:textId="77777777" w:rsidR="009862B8" w:rsidRDefault="002919C9">
            <w:pPr>
              <w:widowControl/>
              <w:spacing w:line="400" w:lineRule="exact"/>
              <w:jc w:val="center"/>
              <w:rPr>
                <w:b/>
                <w:sz w:val="15"/>
                <w:szCs w:val="15"/>
              </w:rPr>
            </w:pPr>
            <w:r>
              <w:rPr>
                <w:rFonts w:hint="eastAsia"/>
                <w:b/>
                <w:sz w:val="15"/>
                <w:szCs w:val="15"/>
              </w:rPr>
              <w:t>个人投资者</w:t>
            </w:r>
          </w:p>
        </w:tc>
      </w:tr>
      <w:tr w:rsidR="009862B8" w14:paraId="118A0F4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7EC710B" w14:textId="77777777" w:rsidR="009862B8" w:rsidRDefault="002919C9">
            <w:pPr>
              <w:widowControl/>
              <w:spacing w:line="360" w:lineRule="auto"/>
              <w:rPr>
                <w:color w:val="3D3D3D"/>
                <w:kern w:val="0"/>
                <w:sz w:val="13"/>
                <w:szCs w:val="13"/>
              </w:rPr>
            </w:pPr>
            <w:r>
              <w:rPr>
                <w:rFonts w:hint="eastAsia"/>
                <w:sz w:val="15"/>
                <w:szCs w:val="15"/>
              </w:rPr>
              <w:t>签名：</w:t>
            </w:r>
          </w:p>
          <w:p w14:paraId="74B9A8B5" w14:textId="77777777" w:rsidR="009862B8" w:rsidRDefault="002919C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862B8" w14:paraId="7B2076F2"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879FE5F" w14:textId="77777777" w:rsidR="009862B8" w:rsidRDefault="002919C9">
            <w:pPr>
              <w:widowControl/>
              <w:spacing w:line="400" w:lineRule="exact"/>
              <w:jc w:val="center"/>
              <w:rPr>
                <w:sz w:val="15"/>
                <w:szCs w:val="15"/>
              </w:rPr>
            </w:pPr>
            <w:r>
              <w:rPr>
                <w:rFonts w:hint="eastAsia"/>
                <w:b/>
                <w:bCs/>
                <w:color w:val="3D3D3D"/>
                <w:kern w:val="0"/>
                <w:sz w:val="15"/>
                <w:szCs w:val="15"/>
              </w:rPr>
              <w:t>机构投资者</w:t>
            </w:r>
          </w:p>
        </w:tc>
      </w:tr>
      <w:tr w:rsidR="009862B8" w14:paraId="630275DA"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27802C9C" w14:textId="77777777" w:rsidR="009862B8" w:rsidRDefault="009862B8">
            <w:pPr>
              <w:widowControl/>
              <w:spacing w:line="200" w:lineRule="exact"/>
              <w:jc w:val="left"/>
              <w:rPr>
                <w:b/>
                <w:bCs/>
                <w:color w:val="3D3D3D"/>
                <w:kern w:val="0"/>
                <w:sz w:val="15"/>
                <w:szCs w:val="15"/>
              </w:rPr>
            </w:pPr>
          </w:p>
          <w:p w14:paraId="7B3C1889" w14:textId="77777777" w:rsidR="009862B8" w:rsidRDefault="002919C9">
            <w:pPr>
              <w:widowControl/>
              <w:spacing w:line="200" w:lineRule="exact"/>
              <w:jc w:val="left"/>
              <w:rPr>
                <w:b/>
                <w:bCs/>
                <w:color w:val="3D3D3D"/>
                <w:kern w:val="0"/>
                <w:sz w:val="15"/>
                <w:szCs w:val="15"/>
              </w:rPr>
            </w:pPr>
            <w:r>
              <w:rPr>
                <w:rFonts w:hint="eastAsia"/>
                <w:b/>
                <w:bCs/>
                <w:color w:val="3D3D3D"/>
                <w:kern w:val="0"/>
                <w:sz w:val="15"/>
                <w:szCs w:val="15"/>
              </w:rPr>
              <w:t>盖章（公章）</w:t>
            </w:r>
          </w:p>
          <w:p w14:paraId="4B8644FE" w14:textId="77777777" w:rsidR="009862B8" w:rsidRDefault="009862B8">
            <w:pPr>
              <w:widowControl/>
              <w:spacing w:line="200" w:lineRule="exact"/>
              <w:jc w:val="left"/>
              <w:rPr>
                <w:b/>
                <w:bCs/>
                <w:color w:val="3D3D3D"/>
                <w:kern w:val="0"/>
                <w:sz w:val="15"/>
                <w:szCs w:val="15"/>
              </w:rPr>
            </w:pPr>
          </w:p>
          <w:p w14:paraId="79119C9C" w14:textId="77777777" w:rsidR="009862B8" w:rsidRDefault="002919C9">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33B212CB" w14:textId="77777777" w:rsidR="009862B8" w:rsidRDefault="009862B8">
            <w:pPr>
              <w:widowControl/>
              <w:spacing w:line="200" w:lineRule="exact"/>
              <w:jc w:val="left"/>
              <w:rPr>
                <w:color w:val="3D3D3D"/>
                <w:kern w:val="0"/>
                <w:sz w:val="13"/>
                <w:szCs w:val="13"/>
              </w:rPr>
            </w:pPr>
          </w:p>
          <w:p w14:paraId="5187D4FB" w14:textId="77777777" w:rsidR="009862B8" w:rsidRDefault="002919C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862B8" w14:paraId="161A0822"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70700FC6" w14:textId="77777777" w:rsidR="009862B8" w:rsidRDefault="002919C9">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9862B8" w14:paraId="1F401C2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7FB6B4B9" w14:textId="77777777" w:rsidR="009862B8" w:rsidRDefault="002919C9">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428914E9" w14:textId="788B7713" w:rsidR="009862B8" w:rsidRDefault="009862B8" w:rsidP="00D707DD">
      <w:pPr>
        <w:rPr>
          <w:sz w:val="20"/>
          <w:szCs w:val="20"/>
        </w:rPr>
      </w:pPr>
    </w:p>
    <w:sectPr w:rsidR="009862B8">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AAF2B" w14:textId="77777777" w:rsidR="002919C9" w:rsidRDefault="002919C9">
      <w:r>
        <w:separator/>
      </w:r>
    </w:p>
  </w:endnote>
  <w:endnote w:type="continuationSeparator" w:id="0">
    <w:p w14:paraId="0A93CE61" w14:textId="77777777" w:rsidR="002919C9" w:rsidRDefault="00291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49580" w14:textId="77777777" w:rsidR="002919C9" w:rsidRDefault="002919C9">
      <w:r>
        <w:separator/>
      </w:r>
    </w:p>
  </w:footnote>
  <w:footnote w:type="continuationSeparator" w:id="0">
    <w:p w14:paraId="1C81CDC9" w14:textId="77777777" w:rsidR="002919C9" w:rsidRDefault="00291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DC8A5" w14:textId="77777777" w:rsidR="009862B8" w:rsidRDefault="002919C9">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9042D"/>
    <w:multiLevelType w:val="hybridMultilevel"/>
    <w:tmpl w:val="B28EA678"/>
    <w:lvl w:ilvl="0" w:tplc="E9DE815C">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3D9E6062">
      <w:start w:val="1"/>
      <w:numFmt w:val="lowerLetter"/>
      <w:lvlText w:val="%2)"/>
      <w:lvlJc w:val="left"/>
      <w:pPr>
        <w:tabs>
          <w:tab w:val="num" w:pos="0"/>
        </w:tabs>
        <w:ind w:left="1141" w:hanging="420"/>
      </w:pPr>
      <w:rPr>
        <w:rFonts w:ascii="方正黑体_GBK" w:eastAsia="方正黑体_GBK" w:hAnsi="方正黑体_GBK" w:hint="default"/>
      </w:rPr>
    </w:lvl>
    <w:lvl w:ilvl="2" w:tplc="038A281E">
      <w:start w:val="1"/>
      <w:numFmt w:val="decimal"/>
      <w:lvlText w:val="%3."/>
      <w:lvlJc w:val="right"/>
      <w:pPr>
        <w:tabs>
          <w:tab w:val="num" w:pos="0"/>
        </w:tabs>
        <w:ind w:left="1561" w:hanging="420"/>
      </w:pPr>
      <w:rPr>
        <w:rFonts w:ascii="方正黑体_GBK" w:eastAsia="方正黑体_GBK" w:hAnsi="方正黑体_GBK" w:hint="default"/>
      </w:rPr>
    </w:lvl>
    <w:lvl w:ilvl="3" w:tplc="7E38CDF6">
      <w:start w:val="1"/>
      <w:numFmt w:val="decimal"/>
      <w:lvlText w:val="%4."/>
      <w:lvlJc w:val="left"/>
      <w:pPr>
        <w:tabs>
          <w:tab w:val="num" w:pos="0"/>
        </w:tabs>
        <w:ind w:left="1981" w:hanging="420"/>
      </w:pPr>
      <w:rPr>
        <w:rFonts w:ascii="方正黑体_GBK" w:eastAsia="方正黑体_GBK" w:hAnsi="方正黑体_GBK" w:hint="default"/>
      </w:rPr>
    </w:lvl>
    <w:lvl w:ilvl="4" w:tplc="CFFCA6C0">
      <w:start w:val="1"/>
      <w:numFmt w:val="lowerLetter"/>
      <w:lvlText w:val="%5)"/>
      <w:lvlJc w:val="left"/>
      <w:pPr>
        <w:tabs>
          <w:tab w:val="num" w:pos="0"/>
        </w:tabs>
        <w:ind w:left="2401" w:hanging="420"/>
      </w:pPr>
      <w:rPr>
        <w:rFonts w:ascii="方正黑体_GBK" w:eastAsia="方正黑体_GBK" w:hAnsi="方正黑体_GBK" w:hint="default"/>
      </w:rPr>
    </w:lvl>
    <w:lvl w:ilvl="5" w:tplc="91EEC03C">
      <w:start w:val="1"/>
      <w:numFmt w:val="decimal"/>
      <w:lvlText w:val="%6."/>
      <w:lvlJc w:val="right"/>
      <w:pPr>
        <w:tabs>
          <w:tab w:val="num" w:pos="0"/>
        </w:tabs>
        <w:ind w:left="2821" w:hanging="420"/>
      </w:pPr>
      <w:rPr>
        <w:rFonts w:ascii="方正黑体_GBK" w:eastAsia="方正黑体_GBK" w:hAnsi="方正黑体_GBK" w:hint="default"/>
      </w:rPr>
    </w:lvl>
    <w:lvl w:ilvl="6" w:tplc="58CA9CBA">
      <w:start w:val="1"/>
      <w:numFmt w:val="decimal"/>
      <w:lvlText w:val="%7."/>
      <w:lvlJc w:val="left"/>
      <w:pPr>
        <w:tabs>
          <w:tab w:val="num" w:pos="0"/>
        </w:tabs>
        <w:ind w:left="3241" w:hanging="420"/>
      </w:pPr>
      <w:rPr>
        <w:rFonts w:ascii="方正黑体_GBK" w:eastAsia="方正黑体_GBK" w:hAnsi="方正黑体_GBK" w:hint="default"/>
      </w:rPr>
    </w:lvl>
    <w:lvl w:ilvl="7" w:tplc="FF8AF5D6">
      <w:start w:val="1"/>
      <w:numFmt w:val="lowerLetter"/>
      <w:lvlText w:val="%8)"/>
      <w:lvlJc w:val="left"/>
      <w:pPr>
        <w:tabs>
          <w:tab w:val="num" w:pos="0"/>
        </w:tabs>
        <w:ind w:left="3661" w:hanging="420"/>
      </w:pPr>
      <w:rPr>
        <w:rFonts w:ascii="方正黑体_GBK" w:eastAsia="方正黑体_GBK" w:hAnsi="方正黑体_GBK" w:hint="default"/>
      </w:rPr>
    </w:lvl>
    <w:lvl w:ilvl="8" w:tplc="AFDC048A">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1" w15:restartNumberingAfterBreak="0">
    <w:nsid w:val="28B72CB4"/>
    <w:multiLevelType w:val="multilevel"/>
    <w:tmpl w:val="4828BC3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30B96504"/>
    <w:multiLevelType w:val="hybridMultilevel"/>
    <w:tmpl w:val="2FEE18D2"/>
    <w:lvl w:ilvl="0" w:tplc="A8EA997E">
      <w:start w:val="1"/>
      <w:numFmt w:val="decimal"/>
      <w:lvlRestart w:val="0"/>
      <w:lvlText w:val="%1."/>
      <w:lvlJc w:val="left"/>
      <w:pPr>
        <w:tabs>
          <w:tab w:val="num" w:pos="0"/>
        </w:tabs>
        <w:ind w:left="660" w:hanging="360"/>
      </w:pPr>
      <w:rPr>
        <w:rFonts w:ascii="方正黑体_GBK" w:eastAsia="方正黑体_GBK" w:hAnsi="方正黑体_GBK" w:hint="default"/>
      </w:rPr>
    </w:lvl>
    <w:lvl w:ilvl="1" w:tplc="13A06206">
      <w:start w:val="1"/>
      <w:numFmt w:val="lowerLetter"/>
      <w:lvlText w:val="%2)"/>
      <w:lvlJc w:val="left"/>
      <w:pPr>
        <w:tabs>
          <w:tab w:val="num" w:pos="0"/>
        </w:tabs>
        <w:ind w:left="1140" w:hanging="420"/>
      </w:pPr>
      <w:rPr>
        <w:rFonts w:ascii="方正黑体_GBK" w:eastAsia="方正黑体_GBK" w:hAnsi="方正黑体_GBK" w:hint="default"/>
      </w:rPr>
    </w:lvl>
    <w:lvl w:ilvl="2" w:tplc="E75C5A1C">
      <w:start w:val="1"/>
      <w:numFmt w:val="decimal"/>
      <w:lvlText w:val="%3."/>
      <w:lvlJc w:val="right"/>
      <w:pPr>
        <w:tabs>
          <w:tab w:val="num" w:pos="0"/>
        </w:tabs>
        <w:ind w:left="1560" w:hanging="420"/>
      </w:pPr>
      <w:rPr>
        <w:rFonts w:ascii="方正黑体_GBK" w:eastAsia="方正黑体_GBK" w:hAnsi="方正黑体_GBK" w:hint="default"/>
      </w:rPr>
    </w:lvl>
    <w:lvl w:ilvl="3" w:tplc="7280FD8C">
      <w:start w:val="1"/>
      <w:numFmt w:val="decimal"/>
      <w:lvlText w:val="%4."/>
      <w:lvlJc w:val="left"/>
      <w:pPr>
        <w:tabs>
          <w:tab w:val="num" w:pos="0"/>
        </w:tabs>
        <w:ind w:left="1980" w:hanging="420"/>
      </w:pPr>
      <w:rPr>
        <w:rFonts w:ascii="方正黑体_GBK" w:eastAsia="方正黑体_GBK" w:hAnsi="方正黑体_GBK" w:hint="default"/>
      </w:rPr>
    </w:lvl>
    <w:lvl w:ilvl="4" w:tplc="84B8FCA4">
      <w:start w:val="1"/>
      <w:numFmt w:val="lowerLetter"/>
      <w:lvlText w:val="%5)"/>
      <w:lvlJc w:val="left"/>
      <w:pPr>
        <w:tabs>
          <w:tab w:val="num" w:pos="0"/>
        </w:tabs>
        <w:ind w:left="2400" w:hanging="420"/>
      </w:pPr>
      <w:rPr>
        <w:rFonts w:ascii="方正黑体_GBK" w:eastAsia="方正黑体_GBK" w:hAnsi="方正黑体_GBK" w:hint="default"/>
      </w:rPr>
    </w:lvl>
    <w:lvl w:ilvl="5" w:tplc="D86AFAA0">
      <w:start w:val="1"/>
      <w:numFmt w:val="decimal"/>
      <w:lvlText w:val="%6."/>
      <w:lvlJc w:val="right"/>
      <w:pPr>
        <w:tabs>
          <w:tab w:val="num" w:pos="0"/>
        </w:tabs>
        <w:ind w:left="2820" w:hanging="420"/>
      </w:pPr>
      <w:rPr>
        <w:rFonts w:ascii="方正黑体_GBK" w:eastAsia="方正黑体_GBK" w:hAnsi="方正黑体_GBK" w:hint="default"/>
      </w:rPr>
    </w:lvl>
    <w:lvl w:ilvl="6" w:tplc="8C1A57D4">
      <w:start w:val="1"/>
      <w:numFmt w:val="decimal"/>
      <w:lvlText w:val="%7."/>
      <w:lvlJc w:val="left"/>
      <w:pPr>
        <w:tabs>
          <w:tab w:val="num" w:pos="0"/>
        </w:tabs>
        <w:ind w:left="3240" w:hanging="420"/>
      </w:pPr>
      <w:rPr>
        <w:rFonts w:ascii="方正黑体_GBK" w:eastAsia="方正黑体_GBK" w:hAnsi="方正黑体_GBK" w:hint="default"/>
      </w:rPr>
    </w:lvl>
    <w:lvl w:ilvl="7" w:tplc="E91C6018">
      <w:start w:val="1"/>
      <w:numFmt w:val="lowerLetter"/>
      <w:lvlText w:val="%8)"/>
      <w:lvlJc w:val="left"/>
      <w:pPr>
        <w:tabs>
          <w:tab w:val="num" w:pos="0"/>
        </w:tabs>
        <w:ind w:left="3660" w:hanging="420"/>
      </w:pPr>
      <w:rPr>
        <w:rFonts w:ascii="方正黑体_GBK" w:eastAsia="方正黑体_GBK" w:hAnsi="方正黑体_GBK" w:hint="default"/>
      </w:rPr>
    </w:lvl>
    <w:lvl w:ilvl="8" w:tplc="DEE0E0FC">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56471931"/>
    <w:multiLevelType w:val="multilevel"/>
    <w:tmpl w:val="4342A354"/>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862B8"/>
    <w:rsid w:val="002919C9"/>
    <w:rsid w:val="009862B8"/>
    <w:rsid w:val="00D70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36C1C"/>
  <w15:docId w15:val="{45E5009E-6BAC-4018-8981-D38B161EC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c94f7571">
    <w:name w:val="Normalc94f7571"/>
    <w:pPr>
      <w:widowControl w:val="0"/>
      <w:jc w:val="both"/>
    </w:pPr>
    <w:rPr>
      <w:rFonts w:ascii="方正黑体_GBK" w:eastAsia="方正黑体_GBK" w:hAnsi="方正黑体_GBK" w:cs="Times New Roman"/>
      <w:szCs w:val="21"/>
    </w:rPr>
  </w:style>
  <w:style w:type="paragraph" w:customStyle="1" w:styleId="heading1011c2281">
    <w:name w:val="heading 1011c2281"/>
    <w:basedOn w:val="Normalc94f7571"/>
    <w:next w:val="a"/>
    <w:pPr>
      <w:keepNext/>
      <w:keepLines/>
      <w:spacing w:before="340" w:after="330" w:line="578" w:lineRule="auto"/>
      <w:outlineLvl w:val="0"/>
    </w:pPr>
    <w:rPr>
      <w:b/>
      <w:bCs/>
      <w:kern w:val="44"/>
      <w:sz w:val="44"/>
    </w:rPr>
  </w:style>
  <w:style w:type="paragraph" w:customStyle="1" w:styleId="heading2c6bccf84">
    <w:name w:val="heading 2c6bccf84"/>
    <w:basedOn w:val="Normalc94f7571"/>
    <w:next w:val="a"/>
    <w:pPr>
      <w:keepNext/>
      <w:keepLines/>
      <w:spacing w:before="260" w:after="260" w:line="415" w:lineRule="auto"/>
      <w:outlineLvl w:val="1"/>
    </w:pPr>
    <w:rPr>
      <w:b/>
      <w:sz w:val="32"/>
    </w:rPr>
  </w:style>
  <w:style w:type="paragraph" w:customStyle="1" w:styleId="heading348ff93dc">
    <w:name w:val="heading 348ff93dc"/>
    <w:basedOn w:val="Normalc94f7571"/>
    <w:next w:val="a"/>
    <w:pPr>
      <w:keepNext/>
      <w:keepLines/>
      <w:spacing w:before="260" w:after="260" w:line="415" w:lineRule="auto"/>
      <w:outlineLvl w:val="2"/>
    </w:pPr>
    <w:rPr>
      <w:b/>
      <w:sz w:val="32"/>
    </w:rPr>
  </w:style>
  <w:style w:type="character" w:customStyle="1" w:styleId="DefaultParagraphFont9ecbd7b1">
    <w:name w:val="Default Paragraph Font9ecbd7b1"/>
  </w:style>
  <w:style w:type="paragraph" w:customStyle="1" w:styleId="toc1766810de">
    <w:name w:val="toc 1766810de"/>
    <w:basedOn w:val="Normalc94f7571"/>
    <w:next w:val="a"/>
    <w:autoRedefine/>
  </w:style>
  <w:style w:type="paragraph" w:customStyle="1" w:styleId="toc25d556094">
    <w:name w:val="toc 25d556094"/>
    <w:basedOn w:val="Normalc94f7571"/>
    <w:next w:val="a"/>
    <w:autoRedefine/>
    <w:pPr>
      <w:ind w:left="420"/>
    </w:pPr>
  </w:style>
  <w:style w:type="paragraph" w:customStyle="1" w:styleId="toc355ee5a50">
    <w:name w:val="toc 355ee5a50"/>
    <w:basedOn w:val="Normalc94f7571"/>
    <w:next w:val="a"/>
    <w:autoRedefine/>
    <w:pPr>
      <w:ind w:left="840"/>
    </w:pPr>
  </w:style>
  <w:style w:type="paragraph" w:customStyle="1" w:styleId="toc4e34f0c9c">
    <w:name w:val="toc 4e34f0c9c"/>
    <w:basedOn w:val="Normalc94f7571"/>
    <w:next w:val="a"/>
    <w:autoRedefine/>
    <w:pPr>
      <w:ind w:left="1260"/>
    </w:pPr>
  </w:style>
  <w:style w:type="paragraph" w:customStyle="1" w:styleId="toc53396e203">
    <w:name w:val="toc 53396e203"/>
    <w:basedOn w:val="Normalc94f7571"/>
    <w:next w:val="a"/>
    <w:autoRedefine/>
    <w:pPr>
      <w:ind w:left="1680"/>
    </w:pPr>
  </w:style>
  <w:style w:type="paragraph" w:customStyle="1" w:styleId="header3675828f">
    <w:name w:val="header3675828f"/>
    <w:basedOn w:val="Normalc94f7571"/>
    <w:pPr>
      <w:pBdr>
        <w:bottom w:val="single" w:sz="6" w:space="1" w:color="auto"/>
      </w:pBdr>
      <w:tabs>
        <w:tab w:val="center" w:pos="4153"/>
        <w:tab w:val="right" w:pos="8307"/>
      </w:tabs>
      <w:snapToGrid w:val="0"/>
      <w:jc w:val="center"/>
    </w:pPr>
    <w:rPr>
      <w:sz w:val="18"/>
    </w:rPr>
  </w:style>
  <w:style w:type="paragraph" w:customStyle="1" w:styleId="footer42017c24">
    <w:name w:val="footer42017c24"/>
    <w:basedOn w:val="Normalc94f7571"/>
    <w:pPr>
      <w:tabs>
        <w:tab w:val="center" w:pos="4153"/>
        <w:tab w:val="right" w:pos="8307"/>
      </w:tabs>
      <w:snapToGrid w:val="0"/>
      <w:jc w:val="left"/>
    </w:pPr>
    <w:rPr>
      <w:sz w:val="18"/>
    </w:rPr>
  </w:style>
  <w:style w:type="character" w:customStyle="1" w:styleId="Strongfc5351bd">
    <w:name w:val="Strongfc5351bd"/>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362b2b20">
    <w:name w:val="Normal362b2b20"/>
    <w:next w:val="TOC1"/>
    <w:pPr>
      <w:widowControl w:val="0"/>
      <w:jc w:val="both"/>
    </w:pPr>
    <w:rPr>
      <w:rFonts w:ascii="方正黑体_GBK" w:eastAsia="方正黑体_GBK" w:hAnsi="方正黑体_GBK" w:cs="Times New Roman"/>
      <w:sz w:val="18"/>
      <w:szCs w:val="18"/>
    </w:rPr>
  </w:style>
  <w:style w:type="paragraph" w:customStyle="1" w:styleId="heading1fe4a2fb6">
    <w:name w:val="heading 1fe4a2fb6"/>
    <w:basedOn w:val="Normal362b2b20"/>
    <w:next w:val="a"/>
    <w:pPr>
      <w:keepNext/>
      <w:keepLines/>
      <w:spacing w:before="340" w:after="330" w:line="578" w:lineRule="auto"/>
      <w:outlineLvl w:val="0"/>
    </w:pPr>
    <w:rPr>
      <w:b/>
      <w:bCs/>
      <w:kern w:val="44"/>
      <w:sz w:val="44"/>
    </w:rPr>
  </w:style>
  <w:style w:type="paragraph" w:customStyle="1" w:styleId="heading212874ca9">
    <w:name w:val="heading 212874ca9"/>
    <w:basedOn w:val="Normal362b2b20"/>
    <w:next w:val="a"/>
    <w:pPr>
      <w:keepNext/>
      <w:keepLines/>
      <w:spacing w:before="260" w:after="260" w:line="415" w:lineRule="auto"/>
      <w:outlineLvl w:val="1"/>
    </w:pPr>
    <w:rPr>
      <w:b/>
      <w:sz w:val="32"/>
    </w:rPr>
  </w:style>
  <w:style w:type="paragraph" w:customStyle="1" w:styleId="heading3904f7f9b">
    <w:name w:val="heading 3904f7f9b"/>
    <w:basedOn w:val="Normal362b2b20"/>
    <w:next w:val="a"/>
    <w:pPr>
      <w:keepNext/>
      <w:keepLines/>
      <w:spacing w:before="260" w:after="260" w:line="415" w:lineRule="auto"/>
      <w:outlineLvl w:val="2"/>
    </w:pPr>
    <w:rPr>
      <w:b/>
      <w:sz w:val="32"/>
    </w:rPr>
  </w:style>
  <w:style w:type="character" w:customStyle="1" w:styleId="DefaultParagraphFont9478b152">
    <w:name w:val="Default Paragraph Font9478b152"/>
  </w:style>
  <w:style w:type="paragraph" w:customStyle="1" w:styleId="NormalIndentb5ed9293">
    <w:name w:val="Normal Indentb5ed9293"/>
    <w:basedOn w:val="Normal362b2b20"/>
    <w:pPr>
      <w:ind w:firstLineChars="200" w:firstLine="200"/>
    </w:pPr>
  </w:style>
  <w:style w:type="paragraph" w:customStyle="1" w:styleId="toc544d86ccd">
    <w:name w:val="toc 544d86ccd"/>
    <w:basedOn w:val="Normal362b2b20"/>
    <w:next w:val="a"/>
    <w:pPr>
      <w:ind w:left="1680"/>
    </w:pPr>
  </w:style>
  <w:style w:type="paragraph" w:customStyle="1" w:styleId="toc364aa22ca">
    <w:name w:val="toc 364aa22ca"/>
    <w:basedOn w:val="Normal362b2b20"/>
    <w:next w:val="a"/>
    <w:pPr>
      <w:ind w:left="840"/>
    </w:pPr>
  </w:style>
  <w:style w:type="paragraph" w:customStyle="1" w:styleId="footerd9a2efed">
    <w:name w:val="footerd9a2efed"/>
    <w:basedOn w:val="Normal362b2b20"/>
    <w:pPr>
      <w:tabs>
        <w:tab w:val="center" w:pos="4153"/>
        <w:tab w:val="right" w:pos="8307"/>
      </w:tabs>
      <w:snapToGrid w:val="0"/>
      <w:jc w:val="left"/>
    </w:pPr>
  </w:style>
  <w:style w:type="paragraph" w:customStyle="1" w:styleId="header6f5daf7f">
    <w:name w:val="header6f5daf7f"/>
    <w:basedOn w:val="Normal362b2b20"/>
    <w:pPr>
      <w:pBdr>
        <w:bottom w:val="single" w:sz="6" w:space="1" w:color="auto"/>
      </w:pBdr>
      <w:tabs>
        <w:tab w:val="center" w:pos="4153"/>
        <w:tab w:val="right" w:pos="8307"/>
      </w:tabs>
      <w:snapToGrid w:val="0"/>
      <w:jc w:val="center"/>
    </w:pPr>
  </w:style>
  <w:style w:type="paragraph" w:customStyle="1" w:styleId="toc12052b4b0">
    <w:name w:val="toc 12052b4b0"/>
    <w:basedOn w:val="Normal362b2b20"/>
    <w:next w:val="a"/>
  </w:style>
  <w:style w:type="paragraph" w:customStyle="1" w:styleId="toc40a25841f">
    <w:name w:val="toc 40a25841f"/>
    <w:basedOn w:val="Normal362b2b20"/>
    <w:next w:val="a"/>
    <w:pPr>
      <w:ind w:left="1260"/>
    </w:pPr>
  </w:style>
  <w:style w:type="paragraph" w:customStyle="1" w:styleId="toc2b35a7123">
    <w:name w:val="toc 2b35a7123"/>
    <w:basedOn w:val="Normal362b2b20"/>
    <w:next w:val="a"/>
    <w:pPr>
      <w:ind w:left="420"/>
    </w:pPr>
  </w:style>
  <w:style w:type="paragraph" w:customStyle="1" w:styleId="NormalWebca53a302">
    <w:name w:val="Normal (Web)ca53a302"/>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9cd0382a9cd0382a">
    <w:name w:val="Normal9cd0382a9cd0382a"/>
    <w:next w:val="TOC1"/>
    <w:pPr>
      <w:widowControl w:val="0"/>
      <w:jc w:val="both"/>
    </w:pPr>
    <w:rPr>
      <w:rFonts w:ascii="方正黑体_GBK" w:eastAsia="方正黑体_GBK" w:hAnsi="方正黑体_GBK" w:cs="Times New Roman"/>
      <w:szCs w:val="21"/>
    </w:rPr>
  </w:style>
  <w:style w:type="paragraph" w:customStyle="1" w:styleId="heading130d6f8f530d6f8f5">
    <w:name w:val="heading 130d6f8f530d6f8f5"/>
    <w:basedOn w:val="Normal9cd0382a9cd0382a"/>
    <w:next w:val="a"/>
    <w:pPr>
      <w:keepNext/>
      <w:keepLines/>
      <w:spacing w:before="340" w:after="330" w:line="578" w:lineRule="auto"/>
      <w:outlineLvl w:val="0"/>
    </w:pPr>
    <w:rPr>
      <w:b/>
      <w:bCs/>
      <w:kern w:val="44"/>
      <w:sz w:val="44"/>
    </w:rPr>
  </w:style>
  <w:style w:type="paragraph" w:customStyle="1" w:styleId="heading2f70b401bf70b401b">
    <w:name w:val="heading 2f70b401bf70b401b"/>
    <w:basedOn w:val="Normal9cd0382a9cd0382a"/>
    <w:next w:val="a"/>
    <w:pPr>
      <w:keepNext/>
      <w:keepLines/>
      <w:spacing w:before="260" w:after="260" w:line="415" w:lineRule="auto"/>
      <w:outlineLvl w:val="1"/>
    </w:pPr>
    <w:rPr>
      <w:b/>
      <w:sz w:val="32"/>
    </w:rPr>
  </w:style>
  <w:style w:type="paragraph" w:customStyle="1" w:styleId="heading39d7ea24c9d7ea24c">
    <w:name w:val="heading 39d7ea24c9d7ea24c"/>
    <w:basedOn w:val="Normal9cd0382a9cd0382a"/>
    <w:next w:val="a"/>
    <w:pPr>
      <w:keepNext/>
      <w:keepLines/>
      <w:spacing w:before="260" w:after="260" w:line="415" w:lineRule="auto"/>
      <w:outlineLvl w:val="2"/>
    </w:pPr>
    <w:rPr>
      <w:b/>
      <w:sz w:val="32"/>
    </w:rPr>
  </w:style>
  <w:style w:type="character" w:customStyle="1" w:styleId="DefaultParagraphFont9d19d2a29d19d2a2">
    <w:name w:val="Default Paragraph Font9d19d2a29d19d2a2"/>
  </w:style>
  <w:style w:type="paragraph" w:customStyle="1" w:styleId="17c08dddd7c08dddd">
    <w:name w:val="引文目录17c08dddd7c08dddd"/>
    <w:basedOn w:val="Normal9cd0382a9cd0382a"/>
    <w:next w:val="a"/>
    <w:pPr>
      <w:ind w:leftChars="200" w:left="200"/>
    </w:pPr>
  </w:style>
  <w:style w:type="paragraph" w:customStyle="1" w:styleId="toc5b8a7e14db8a7e14d">
    <w:name w:val="toc 5b8a7e14db8a7e14d"/>
    <w:basedOn w:val="Normal9cd0382a9cd0382a"/>
    <w:next w:val="a"/>
    <w:pPr>
      <w:ind w:left="1680"/>
    </w:pPr>
  </w:style>
  <w:style w:type="paragraph" w:customStyle="1" w:styleId="toc38bba20b18bba20b1">
    <w:name w:val="toc 38bba20b18bba20b1"/>
    <w:basedOn w:val="Normal9cd0382a9cd0382a"/>
    <w:next w:val="a"/>
    <w:pPr>
      <w:ind w:left="840"/>
    </w:pPr>
  </w:style>
  <w:style w:type="paragraph" w:customStyle="1" w:styleId="footera45d4d26a45d4d26">
    <w:name w:val="footera45d4d26a45d4d26"/>
    <w:basedOn w:val="Normal9cd0382a9cd0382a"/>
    <w:pPr>
      <w:tabs>
        <w:tab w:val="center" w:pos="4153"/>
        <w:tab w:val="right" w:pos="8307"/>
      </w:tabs>
      <w:snapToGrid w:val="0"/>
      <w:jc w:val="left"/>
    </w:pPr>
    <w:rPr>
      <w:sz w:val="18"/>
    </w:rPr>
  </w:style>
  <w:style w:type="paragraph" w:customStyle="1" w:styleId="header9ca993b79ca993b7">
    <w:name w:val="header9ca993b79ca993b7"/>
    <w:basedOn w:val="Normal9cd0382a9cd0382a"/>
    <w:pPr>
      <w:pBdr>
        <w:bottom w:val="single" w:sz="6" w:space="1" w:color="auto"/>
      </w:pBdr>
      <w:tabs>
        <w:tab w:val="center" w:pos="4153"/>
        <w:tab w:val="right" w:pos="8307"/>
      </w:tabs>
      <w:snapToGrid w:val="0"/>
      <w:jc w:val="center"/>
    </w:pPr>
    <w:rPr>
      <w:sz w:val="18"/>
    </w:rPr>
  </w:style>
  <w:style w:type="paragraph" w:customStyle="1" w:styleId="toc1bda6afe4bda6afe4">
    <w:name w:val="toc 1bda6afe4bda6afe4"/>
    <w:basedOn w:val="Normal9cd0382a9cd0382a"/>
    <w:next w:val="a"/>
  </w:style>
  <w:style w:type="paragraph" w:customStyle="1" w:styleId="toc479cbb60679cbb606">
    <w:name w:val="toc 479cbb60679cbb606"/>
    <w:basedOn w:val="Normal9cd0382a9cd0382a"/>
    <w:next w:val="a"/>
    <w:pPr>
      <w:ind w:left="1260"/>
    </w:pPr>
  </w:style>
  <w:style w:type="paragraph" w:customStyle="1" w:styleId="toc2395642cd395642cd">
    <w:name w:val="toc 2395642cd395642cd"/>
    <w:basedOn w:val="Normal9cd0382a9cd0382a"/>
    <w:next w:val="a"/>
    <w:pPr>
      <w:ind w:left="420"/>
    </w:pPr>
  </w:style>
  <w:style w:type="paragraph" w:customStyle="1" w:styleId="1552d791f552d791f">
    <w:name w:val="列出段落1552d791f552d791f"/>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1107</Words>
  <Characters>6315</Characters>
  <Application>Microsoft Office Word</Application>
  <DocSecurity>0</DocSecurity>
  <Lines>52</Lines>
  <Paragraphs>14</Paragraphs>
  <ScaleCrop>false</ScaleCrop>
  <Company/>
  <LinksUpToDate>false</LinksUpToDate>
  <CharactersWithSpaces>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