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f2ae593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f2ae5934"/>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91ea57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91ea57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7841a40"/>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南银理财珠联璧合鑫逸稳半年128期封闭式公募人民币理财产品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ZZ700322500227</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Z7003225000151(投资者可依据该编码在中国理财网www.chinawealth.com.cn查询理财产品相关信息）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A份额：Y70128</w:t>
            </w:r>
          </w:p>
          <w:p>
            <w:pPr>
              <w:pStyle w:val="null10"/>
              <w:spacing w:lineRule="exact" w:line="200"/>
            </w:pPr>
            <w:r>
              <w:rPr>
                <w:rFonts w:ascii="方正黑体_GBK" w:hAnsi="方正黑体_GBK" w:cs="宋体" w:eastAsia="方正黑体_GBK"/>
                <w:sz w:val="18"/>
                <w:szCs w:val="18"/>
              </w:rPr>
              <w:t>B份额：Y71128</w:t>
            </w:r>
          </w:p>
          <w:p>
            <w:pPr>
              <w:pStyle w:val="null10"/>
              <w:spacing w:lineRule="exact" w:line="200"/>
            </w:pPr>
            <w:r>
              <w:rPr>
                <w:rFonts w:ascii="方正黑体_GBK" w:hAnsi="方正黑体_GBK" w:cs="宋体" w:eastAsia="方正黑体_GBK"/>
                <w:sz w:val="18"/>
                <w:szCs w:val="18"/>
              </w:rPr>
              <w:t>C份额：Y72128</w:t>
            </w:r>
          </w:p>
          <w:p>
            <w:pPr>
              <w:pStyle w:val="null10"/>
              <w:spacing w:lineRule="exact" w:line="200"/>
            </w:pPr>
            <w:r>
              <w:rPr>
                <w:rFonts w:ascii="方正黑体_GBK" w:hAnsi="方正黑体_GBK" w:cs="宋体" w:eastAsia="方正黑体_GBK"/>
                <w:sz w:val="18"/>
                <w:szCs w:val="18"/>
              </w:rPr>
              <w:t>D份额：Y73128</w:t>
            </w:r>
          </w:p>
          <w:p>
            <w:pPr>
              <w:pStyle w:val="null10"/>
              <w:spacing w:lineRule="exact" w:line="200"/>
            </w:pPr>
            <w:r>
              <w:rPr>
                <w:rFonts w:ascii="方正黑体_GBK" w:hAnsi="方正黑体_GBK" w:cs="宋体" w:eastAsia="方正黑体_GBK"/>
                <w:sz w:val="18"/>
                <w:szCs w:val="18"/>
              </w:rPr>
              <w:t>F份额：Y75128</w:t>
            </w:r>
          </w:p>
          <w:p>
            <w:pPr>
              <w:pStyle w:val="null10"/>
              <w:spacing w:lineRule="exact" w:line="200"/>
            </w:pPr>
            <w:r>
              <w:rPr>
                <w:rFonts w:ascii="方正黑体_GBK" w:hAnsi="方正黑体_GBK" w:cs="宋体" w:eastAsia="方正黑体_GBK"/>
                <w:sz w:val="18"/>
                <w:szCs w:val="18"/>
              </w:rPr>
              <w:t>G份额：Y76128</w:t>
            </w:r>
          </w:p>
          <w:p>
            <w:pPr>
              <w:pStyle w:val="null10"/>
              <w:spacing w:lineRule="exact" w:line="200"/>
            </w:pPr>
            <w:r>
              <w:rPr>
                <w:rFonts w:ascii="方正黑体_GBK" w:hAnsi="方正黑体_GBK" w:cs="宋体" w:eastAsia="方正黑体_GBK"/>
                <w:sz w:val="18"/>
                <w:szCs w:val="18"/>
              </w:rPr>
              <w:t>H份额：Y77128</w:t>
            </w:r>
          </w:p>
          <w:p>
            <w:pPr>
              <w:pStyle w:val="null10"/>
              <w:spacing w:lineRule="exact" w:line="200"/>
            </w:pPr>
            <w:r>
              <w:rPr>
                <w:rFonts w:ascii="方正黑体_GBK" w:hAnsi="方正黑体_GBK" w:cs="宋体" w:eastAsia="方正黑体_GBK"/>
                <w:sz w:val="18"/>
                <w:szCs w:val="18"/>
              </w:rPr>
              <w:t>I份额：Y78128</w:t>
            </w:r>
          </w:p>
          <w:p>
            <w:pPr>
              <w:pStyle w:val="null10"/>
              <w:spacing w:lineRule="exact" w:line="200"/>
            </w:pPr>
            <w:r>
              <w:rPr>
                <w:rFonts w:ascii="方正黑体_GBK" w:hAnsi="方正黑体_GBK" w:cs="宋体" w:eastAsia="方正黑体_GBK"/>
                <w:sz w:val="18"/>
                <w:szCs w:val="18"/>
              </w:rPr>
              <w:t>J份额：Y79128</w:t>
            </w:r>
          </w:p>
          <w:p>
            <w:pPr>
              <w:pStyle w:val="null10"/>
              <w:spacing w:lineRule="exact" w:line="200"/>
            </w:pPr>
            <w:r>
              <w:rPr>
                <w:rFonts w:ascii="方正黑体_GBK" w:hAnsi="方正黑体_GBK" w:cs="宋体" w:eastAsia="方正黑体_GBK"/>
                <w:sz w:val="18"/>
                <w:szCs w:val="18"/>
              </w:rPr>
              <w:t>K份额：YA70128</w:t>
            </w:r>
          </w:p>
          <w:p>
            <w:pPr>
              <w:pStyle w:val="null10"/>
              <w:spacing w:lineRule="exact" w:line="200"/>
            </w:pPr>
            <w:r>
              <w:rPr>
                <w:rFonts w:ascii="方正黑体_GBK" w:hAnsi="方正黑体_GBK" w:cs="宋体" w:eastAsia="方正黑体_GBK"/>
                <w:sz w:val="18"/>
                <w:szCs w:val="18"/>
              </w:rPr>
              <w:t>L份额：YB70128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A份额：除B、C、D、F、G、H、I、J、K、L份额以外的所有客户（详见“销售机构”条款）。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)、徽商银行股份有限公司( 大众客群)、杭州银行股份有限公司( 大众客群)、温州银行股份有限公司、烟台银行股份有限公司(工会卡 )、浙江民泰商业银行股份有限公司、广州银行股份有限公司、江苏常熟农村商业银行股份有限公司(专属客户)、江苏苏州农村商业银行股份有限公司( 专属客户)、秦皇岛银行股份有限公司、齐鲁银行股份有限公司(政务服务中心支行开业专享)、甘肃银行股份有限公司、台州银行股份有限公司(普通客群)、天津农村商业银行股份有限公司(滨海分行专属)、中原银行股份有限公司(县域客群专属)、桂林银行股份有限公司(常规客户)、宁波通商银行股份有限公司(零售客群)、石嘴山银行股份有限公司( 分行特供)、江苏镇江农村商业银行股份有限公司( 20万元起购)、江苏如皋农村商业银行股份有限公司( 代发客户)、徐州农村商业银行股份有限公司( 财富客群)、江苏紫金农村商业银行股份有限公司、江苏仪征农村商业银行股份有限公司(20万元起购 )。</w:t>
            </w:r>
          </w:p>
          <w:p>
            <w:pPr>
              <w:pStyle w:val="null10"/>
              <w:spacing w:lineRule="exact" w:line="200"/>
            </w:pPr>
            <w:r>
              <w:rPr>
                <w:rFonts w:ascii="方正黑体_GBK" w:hAnsi="方正黑体_GBK" w:cs="宋体" w:eastAsia="方正黑体_GBK"/>
                <w:sz w:val="18"/>
                <w:szCs w:val="18"/>
              </w:rPr>
              <w:t>C份额：青岛银行股份有限公司( 私行客户)、徽商银行股份有限公司(特定分行专享)、杭州银行股份有限公司( 私行客群)、四川天府银行股份有限公司( 新客新资金客户)、江苏江南农村商业银行股份有限公司(财富客户 )、郑州银行股份有限公司、吉林银行股份有限公司、台州银行股份有限公司( 新客专享)、天津农村商业银行股份有限公司(军人客户)、山西银行股份有限公司(30万元起购)、兰州银行股份有限公司、桂林银行股份有限公司( 特供客户)、宁波通商银行股份有限公司( 专项客群)、江苏泰兴农村商业银行股份有限公司、江苏靖江农村商业银行股份有限公司、江苏大丰农村商业银行股份有限公司( 私行特邀客户)、江苏兴化农村商业银行股份有限公司、江苏镇江农村商业银行股份有限公司(100万元起购)、江苏如东农村商业银行股份有限公司、江苏仪征农村商业银行股份有限公司(50万元起购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新客户)、宁波通商银行股份有限公司(对公客群)。</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H份额：交通银行股份有限公司( 宁波分行特邀客户)。</w:t>
            </w:r>
          </w:p>
          <w:p>
            <w:pPr>
              <w:pStyle w:val="null10"/>
              <w:spacing w:lineRule="exact" w:line="200"/>
            </w:pPr>
            <w:r>
              <w:rPr>
                <w:rFonts w:ascii="方正黑体_GBK" w:hAnsi="方正黑体_GBK" w:cs="宋体" w:eastAsia="方正黑体_GBK"/>
                <w:sz w:val="18"/>
                <w:szCs w:val="18"/>
              </w:rPr>
              <w:t>I份额：交通银行股份有限公司( 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K份额：徽商银行股份有限公司( 宁波分行专享)。</w:t>
            </w:r>
          </w:p>
          <w:p>
            <w:pPr>
              <w:pStyle w:val="null10"/>
              <w:spacing w:lineRule="exact" w:line="200"/>
            </w:pPr>
            <w:r>
              <w:rPr>
                <w:rFonts w:ascii="方正黑体_GBK" w:hAnsi="方正黑体_GBK" w:cs="宋体" w:eastAsia="方正黑体_GBK"/>
                <w:sz w:val="18"/>
                <w:szCs w:val="18"/>
              </w:rPr>
              <w:t>L份额：天津农村商业银行股份有限公司(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A份额/B份额/C份额/D份额/F份额/G份额/H份额/I份额/J份额/K份额/L份额：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A份额/B份额/C份额/D份额/F份额/G份额/H份额/I份额/J份额/K份额/L份额：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2025年06月04日 09:00—2025年06月10日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2025年06月11日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2025年06月11日—实际到期日（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2025年12月24日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A份额：业绩比较基准为2.38%(年化)。</w:t>
            </w:r>
          </w:p>
          <w:p>
            <w:pPr>
              <w:pStyle w:val="null10"/>
              <w:spacing w:lineRule="exact" w:line="200"/>
            </w:pPr>
            <w:r>
              <w:rPr>
                <w:rFonts w:ascii="方正黑体_GBK" w:hAnsi="方正黑体_GBK" w:cs="宋体" w:eastAsia="方正黑体_GBK"/>
                <w:sz w:val="18"/>
                <w:szCs w:val="18"/>
              </w:rPr>
              <w:t>B份额：业绩比较基准为2.48%(年化)。</w:t>
            </w:r>
          </w:p>
          <w:p>
            <w:pPr>
              <w:pStyle w:val="null10"/>
              <w:spacing w:lineRule="exact" w:line="200"/>
            </w:pPr>
            <w:r>
              <w:rPr>
                <w:rFonts w:ascii="方正黑体_GBK" w:hAnsi="方正黑体_GBK" w:cs="宋体" w:eastAsia="方正黑体_GBK"/>
                <w:sz w:val="18"/>
                <w:szCs w:val="18"/>
              </w:rPr>
              <w:t>C份额：业绩比较基准为2.58%(年化)。</w:t>
            </w:r>
          </w:p>
          <w:p>
            <w:pPr>
              <w:pStyle w:val="null10"/>
              <w:spacing w:lineRule="exact" w:line="200"/>
            </w:pPr>
            <w:r>
              <w:rPr>
                <w:rFonts w:ascii="方正黑体_GBK" w:hAnsi="方正黑体_GBK" w:cs="宋体" w:eastAsia="方正黑体_GBK"/>
                <w:sz w:val="18"/>
                <w:szCs w:val="18"/>
              </w:rPr>
              <w:t>D份额：业绩比较基准为2.68%(年化)。</w:t>
            </w:r>
          </w:p>
          <w:p>
            <w:pPr>
              <w:pStyle w:val="null10"/>
              <w:spacing w:lineRule="exact" w:line="200"/>
            </w:pPr>
            <w:r>
              <w:rPr>
                <w:rFonts w:ascii="方正黑体_GBK" w:hAnsi="方正黑体_GBK" w:cs="宋体" w:eastAsia="方正黑体_GBK"/>
                <w:sz w:val="18"/>
                <w:szCs w:val="18"/>
              </w:rPr>
              <w:t>F份额：业绩比较基准为2.43%(年化)。</w:t>
            </w:r>
          </w:p>
          <w:p>
            <w:pPr>
              <w:pStyle w:val="null10"/>
              <w:spacing w:lineRule="exact" w:line="200"/>
            </w:pPr>
            <w:r>
              <w:rPr>
                <w:rFonts w:ascii="方正黑体_GBK" w:hAnsi="方正黑体_GBK" w:cs="宋体" w:eastAsia="方正黑体_GBK"/>
                <w:sz w:val="18"/>
                <w:szCs w:val="18"/>
              </w:rPr>
              <w:t>G份额：业绩比较基准为2.48%(年化)。</w:t>
            </w:r>
          </w:p>
          <w:p>
            <w:pPr>
              <w:pStyle w:val="null10"/>
              <w:spacing w:lineRule="exact" w:line="200"/>
            </w:pPr>
            <w:r>
              <w:rPr>
                <w:rFonts w:ascii="方正黑体_GBK" w:hAnsi="方正黑体_GBK" w:cs="宋体" w:eastAsia="方正黑体_GBK"/>
                <w:sz w:val="18"/>
                <w:szCs w:val="18"/>
              </w:rPr>
              <w:t>H份额：业绩比较基准为2.45%(年化)。</w:t>
            </w:r>
          </w:p>
          <w:p>
            <w:pPr>
              <w:pStyle w:val="null10"/>
              <w:spacing w:lineRule="exact" w:line="200"/>
            </w:pPr>
            <w:r>
              <w:rPr>
                <w:rFonts w:ascii="方正黑体_GBK" w:hAnsi="方正黑体_GBK" w:cs="宋体" w:eastAsia="方正黑体_GBK"/>
                <w:sz w:val="18"/>
                <w:szCs w:val="18"/>
              </w:rPr>
              <w:t>I份额：业绩比较基准为2.4%(年化)。</w:t>
            </w:r>
          </w:p>
          <w:p>
            <w:pPr>
              <w:pStyle w:val="null10"/>
              <w:spacing w:lineRule="exact" w:line="200"/>
            </w:pPr>
            <w:r>
              <w:rPr>
                <w:rFonts w:ascii="方正黑体_GBK" w:hAnsi="方正黑体_GBK" w:cs="宋体" w:eastAsia="方正黑体_GBK"/>
                <w:sz w:val="18"/>
                <w:szCs w:val="18"/>
              </w:rPr>
              <w:t>J份额：业绩比较基准为2.38%(年化)。</w:t>
            </w:r>
          </w:p>
          <w:p>
            <w:pPr>
              <w:pStyle w:val="null10"/>
              <w:spacing w:lineRule="exact" w:line="200"/>
            </w:pPr>
            <w:r>
              <w:rPr>
                <w:rFonts w:ascii="方正黑体_GBK" w:hAnsi="方正黑体_GBK" w:cs="宋体" w:eastAsia="方正黑体_GBK"/>
                <w:sz w:val="18"/>
                <w:szCs w:val="18"/>
              </w:rPr>
              <w:t>K份额：业绩比较基准为2.53%(年化)。</w:t>
            </w:r>
          </w:p>
          <w:p>
            <w:pPr>
              <w:pStyle w:val="null10"/>
              <w:spacing w:lineRule="exact" w:line="200"/>
            </w:pPr>
            <w:r>
              <w:rPr>
                <w:rFonts w:ascii="方正黑体_GBK" w:hAnsi="方正黑体_GBK" w:cs="宋体" w:eastAsia="方正黑体_GBK"/>
                <w:sz w:val="18"/>
                <w:szCs w:val="18"/>
              </w:rPr>
              <w:t>L份额：业绩比较基准为2.63%(年化)。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I份额：销售费年化0.2%</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H份额：固定管理费年化0.16%</w:t>
            </w:r>
          </w:p>
          <w:p>
            <w:pPr>
              <w:pStyle w:val="null10"/>
              <w:spacing w:lineRule="exact" w:line="200"/>
            </w:pPr>
            <w:r>
              <w:rPr>
                <w:rFonts w:ascii="方正黑体_GBK" w:hAnsi="方正黑体_GBK" w:cs="宋体" w:eastAsia="方正黑体_GBK"/>
                <w:sz w:val="18"/>
                <w:b/>
                <w:szCs w:val="18"/>
              </w:rPr>
              <w:t>I份额：固定管理费年化0.16%</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K份额：固定管理费年化0.08%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C份额：到期兑付时，当期产品投资的实际资产组合收益（扣除销售费、固定管理费、托管费等相关费用）超过2.58%（年化，即产品该份额对应的业绩报酬计提基准）时，超过部分管理人将按60%收取业绩报酬。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D份额：到期兑付时，当期产品投资的实际资产组合收益（扣除销售费、固定管理费、托管费等相关费用）超过2.68%（年化，即产品该份额对应的业绩报酬计提基准）时，超过部分管理人将按60%收取业绩报酬。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F份额：到期兑付时，当期产品投资的实际资产组合收益（扣除销售费、固定管理费、托管费等相关费用）超过2.43%（年化，即产品该份额对应的业绩报酬计提基准）时，超过部分管理人将按60%收取业绩报酬。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G份额：到期兑付时，当期产品投资的实际资产组合收益（扣除销售费、固定管理费、托管费等相关费用）超过2.48%（年化，即产品该份额对应的业绩报酬计提基准）时，超过部分管理人将按60%收取业绩报酬。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H份额：到期兑付时，当期产品投资的实际资产组合收益（扣除销售费、固定管理费、托管费等相关费用）超过2.45%（年化，即产品该份额对应的业绩报酬计提基准）时，超过部分管理人将按60%收取业绩报酬。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I份额：到期兑付时，当期产品投资的实际资产组合收益（扣除销售费、固定管理费、托管费等相关费用）超过2.4%（年化，即产品该份额对应的业绩报酬计提基准）时，超过部分管理人将按60%收取业绩报酬。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J份额：到期兑付时，当期产品投资的实际资产组合收益（扣除销售费、固定管理费、托管费等相关费用）超过2.38%（年化，即产品该份额对应的业绩报酬计提基准）时，超过部分管理人将按60%收取业绩报酬。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K份额：到期兑付时，当期产品投资的实际资产组合收益（扣除销售费、固定管理费、托管费等相关费用）超过2.53%（年化，即产品该份额对应的业绩报酬计提基准）时，超过部分管理人将按60%收取业绩报酬。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L份额：到期兑付时，当期产品投资的实际资产组合收益（扣除销售费、固定管理费、托管费等相关费用）超过2.63%（年化，即产品该份额对应的业绩报酬计提基准）时，超过部分管理人将按60%收取业绩报酬。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兰州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91ea57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17e7b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17e7be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17e7b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17e7beb"/>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17e7b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17e7b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17e7b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17e7beb"/>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南银理财珠联璧合鑫逸稳半年128期封闭式公募人民币理财产品</w:t>
      </w:r>
      <w:r>
        <w:rPr>
          <w:rFonts w:ascii="方正黑体_GBK" w:eastAsia="方正黑体_GBK" w:hint="eastAsia" w:hAnsi="方正黑体_GBK"/>
          <w:vanish w:val="0"/>
          <w:color w:val="3D3D3D"/>
          <w:kern w:val="0"/>
          <w:sz w:val="15"/>
          <w:szCs w:val="15"/>
        </w:rPr>
        <w:t>。</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17e7beb"/>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17e7beb"/>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17e7beb"/>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17e7be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a84276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a84276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a84276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a84276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a84276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a842760"/>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17e7be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17e7beb"/>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17e7beb"/>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a842760"/>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91ea579"/>
        <w:keepNext w:val="0"/>
        <w:keepLines w:val="0"/>
        <w:pageBreakBefore w:val="0"/>
        <w:widowControl/>
        <w:suppressLineNumbers w:val="0"/>
        <w:suppressAutoHyphens w:val="0"/>
        <w:spacing w:line="200" w:lineRule="exact"/>
        <w:ind w:firstLineChars="200" w:firstLine="300"/>
        <w:rPr>
          <w:rStyle w:val="3a842760"/>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91ea57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91ea57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91ea57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91ea57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91ea57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91ea57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91ea57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91ea57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3"/>
  </w:num>
  <w:num w:numId="3">
    <w:abstractNumId w:val="4"/>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f2ae5934">
    <w:name w:val="Normalf2ae5934"/>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463bd4b">
    <w:name w:val="heading 1d463bd4b"/>
    <w:basedOn w:val="f2ae593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f24d747">
    <w:name w:val="heading 27f24d747"/>
    <w:basedOn w:val="f2ae593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5395aea">
    <w:name w:val="heading 335395aea"/>
    <w:basedOn w:val="f2ae593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decef67">
    <w:name w:val="Default Paragraph Fontbdecef67"/>
  </w:style>
  <w:style xmlns:r="http://schemas.openxmlformats.org/officeDocument/2006/relationships" w:type="paragraph" w:styleId="b646dec7">
    <w:name w:val="toc 1b646dec7"/>
    <w:basedOn w:val="f2ae5934"/>
    <w:autoRedefine/>
    <w:next w:val="0"/>
  </w:style>
  <w:style xmlns:r="http://schemas.openxmlformats.org/officeDocument/2006/relationships" w:type="paragraph" w:styleId="95cd8a73">
    <w:name w:val="toc 295cd8a73"/>
    <w:basedOn w:val="f2ae5934"/>
    <w:autoRedefine/>
    <w:next w:val="0"/>
    <w:pPr>
      <w:ind w:left="420"/>
    </w:pPr>
  </w:style>
  <w:style xmlns:r="http://schemas.openxmlformats.org/officeDocument/2006/relationships" w:type="paragraph" w:styleId="70d23ca6">
    <w:name w:val="toc 370d23ca6"/>
    <w:basedOn w:val="f2ae5934"/>
    <w:autoRedefine/>
    <w:next w:val="0"/>
    <w:pPr>
      <w:ind w:left="840"/>
    </w:pPr>
  </w:style>
  <w:style xmlns:r="http://schemas.openxmlformats.org/officeDocument/2006/relationships" w:type="paragraph" w:styleId="d091768d">
    <w:name w:val="toc 4d091768d"/>
    <w:basedOn w:val="f2ae5934"/>
    <w:autoRedefine/>
    <w:next w:val="0"/>
    <w:pPr>
      <w:ind w:left="1260"/>
    </w:pPr>
  </w:style>
  <w:style xmlns:r="http://schemas.openxmlformats.org/officeDocument/2006/relationships" w:type="paragraph" w:styleId="d58f426d">
    <w:name w:val="toc 5d58f426d"/>
    <w:basedOn w:val="f2ae5934"/>
    <w:autoRedefine/>
    <w:next w:val="0"/>
    <w:pPr>
      <w:ind w:left="1680"/>
    </w:pPr>
  </w:style>
  <w:style xmlns:r="http://schemas.openxmlformats.org/officeDocument/2006/relationships" w:type="paragraph" w:styleId="a1f8bd5e">
    <w:name w:val="headera1f8bd5e"/>
    <w:basedOn w:val="f2ae593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95fa7d7">
    <w:name w:val="footer495fa7d7"/>
    <w:basedOn w:val="f2ae5934"/>
    <w:pPr>
      <w:tabs>
        <w:tab w:val="center" w:pos="4153"/>
        <w:tab w:val="right" w:pos="8307"/>
      </w:tabs>
      <w:adjustRightInd/>
      <w:snapToGrid w:val="0"/>
      <w:contextualSpacing w:val="0"/>
      <w:jc w:val="left"/>
    </w:pPr>
    <w:rPr>
      <w:sz w:val="18"/>
    </w:rPr>
  </w:style>
  <w:style xmlns:r="http://schemas.openxmlformats.org/officeDocument/2006/relationships" w:type="character" w:styleId="17175733">
    <w:name w:val="Strong1717573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91ea579">
    <w:name w:val="Normal991ea57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34a274a">
    <w:name w:val="heading 1e34a274a"/>
    <w:basedOn w:val="991ea57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e0e9622">
    <w:name w:val="heading 24e0e9622"/>
    <w:basedOn w:val="991ea57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3a4daae">
    <w:name w:val="heading 383a4daae"/>
    <w:basedOn w:val="991ea57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25b4140">
    <w:name w:val="Default Paragraph Fontc25b4140"/>
  </w:style>
  <w:style xmlns:r="http://schemas.openxmlformats.org/officeDocument/2006/relationships" w:type="paragraph" w:styleId="d1d3a0e7">
    <w:name w:val="Normal Indentd1d3a0e7"/>
    <w:basedOn w:val="991ea579"/>
    <w:pPr>
      <w:ind w:firstLineChars="200" w:firstLine="200"/>
    </w:pPr>
  </w:style>
  <w:style xmlns:r="http://schemas.openxmlformats.org/officeDocument/2006/relationships" w:type="paragraph" w:styleId="fcf6ab0b">
    <w:name w:val="toc 5fcf6ab0b"/>
    <w:basedOn w:val="991ea579"/>
    <w:next w:val="0"/>
    <w:pPr>
      <w:ind w:left="1680"/>
    </w:pPr>
  </w:style>
  <w:style xmlns:r="http://schemas.openxmlformats.org/officeDocument/2006/relationships" w:type="paragraph" w:styleId="ba508153">
    <w:name w:val="toc 3ba508153"/>
    <w:basedOn w:val="991ea579"/>
    <w:next w:val="0"/>
    <w:pPr>
      <w:ind w:left="840"/>
    </w:pPr>
  </w:style>
  <w:style xmlns:r="http://schemas.openxmlformats.org/officeDocument/2006/relationships" w:type="paragraph" w:styleId="436cc2fa">
    <w:name w:val="footer436cc2fa"/>
    <w:basedOn w:val="991ea579"/>
    <w:pPr>
      <w:tabs>
        <w:tab w:val="center" w:pos="4153"/>
        <w:tab w:val="right" w:pos="8307"/>
      </w:tabs>
      <w:adjustRightInd/>
      <w:snapToGrid w:val="0"/>
      <w:contextualSpacing w:val="0"/>
      <w:jc w:val="left"/>
    </w:pPr>
    <w:rPr>
      <w:sz w:val="18"/>
    </w:rPr>
  </w:style>
  <w:style xmlns:r="http://schemas.openxmlformats.org/officeDocument/2006/relationships" w:type="paragraph" w:styleId="90447ff1">
    <w:name w:val="header90447ff1"/>
    <w:basedOn w:val="991ea57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3729d04">
    <w:name w:val="toc 123729d04"/>
    <w:basedOn w:val="991ea579"/>
    <w:next w:val="0"/>
  </w:style>
  <w:style xmlns:r="http://schemas.openxmlformats.org/officeDocument/2006/relationships" w:type="paragraph" w:styleId="fa9f366f">
    <w:name w:val="toc 4fa9f366f"/>
    <w:basedOn w:val="991ea579"/>
    <w:next w:val="0"/>
    <w:pPr>
      <w:ind w:left="1260"/>
    </w:pPr>
  </w:style>
  <w:style xmlns:r="http://schemas.openxmlformats.org/officeDocument/2006/relationships" w:type="paragraph" w:styleId="abfe9a49">
    <w:name w:val="toc 2abfe9a49"/>
    <w:basedOn w:val="991ea579"/>
    <w:next w:val="0"/>
    <w:pPr>
      <w:ind w:left="420"/>
    </w:pPr>
  </w:style>
  <w:style xmlns:r="http://schemas.openxmlformats.org/officeDocument/2006/relationships" w:type="paragraph" w:styleId="17841a40">
    <w:name w:val="Normal (Web)17841a40"/>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17e7beb">
    <w:name w:val="Normal717e7beb717e7be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f8c418c">
    <w:name w:val="heading 19f8c418c9f8c418c"/>
    <w:basedOn w:val="717e7be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6d1fc5a">
    <w:name w:val="heading 206d1fc5a06d1fc5a"/>
    <w:basedOn w:val="717e7be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ece3652">
    <w:name w:val="heading 30ece36520ece3652"/>
    <w:basedOn w:val="717e7be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feca7fa">
    <w:name w:val="Default Paragraph Font1feca7fa1feca7fa"/>
  </w:style>
  <w:style xmlns:r="http://schemas.openxmlformats.org/officeDocument/2006/relationships" w:type="paragraph" w:customStyle="1" w:styleId="561cebab">
    <w:name w:val="引文目录1561cebab561cebab"/>
    <w:basedOn w:val="717e7beb"/>
    <w:next w:val="0"/>
    <w:pPr>
      <w:ind w:leftChars="200" w:left="200"/>
    </w:pPr>
  </w:style>
  <w:style xmlns:r="http://schemas.openxmlformats.org/officeDocument/2006/relationships" w:type="paragraph" w:styleId="4769c2fc">
    <w:name w:val="toc 54769c2fc4769c2fc"/>
    <w:basedOn w:val="717e7beb"/>
    <w:next w:val="0"/>
    <w:pPr>
      <w:ind w:left="1680"/>
    </w:pPr>
  </w:style>
  <w:style xmlns:r="http://schemas.openxmlformats.org/officeDocument/2006/relationships" w:type="paragraph" w:styleId="fb378efa">
    <w:name w:val="toc 3fb378efafb378efa"/>
    <w:basedOn w:val="717e7beb"/>
    <w:next w:val="0"/>
    <w:pPr>
      <w:ind w:left="840"/>
    </w:pPr>
  </w:style>
  <w:style xmlns:r="http://schemas.openxmlformats.org/officeDocument/2006/relationships" w:type="paragraph" w:styleId="778dcc1a">
    <w:name w:val="footer778dcc1a778dcc1a"/>
    <w:basedOn w:val="717e7beb"/>
    <w:pPr>
      <w:tabs>
        <w:tab w:val="center" w:pos="4153"/>
        <w:tab w:val="right" w:pos="8307"/>
      </w:tabs>
      <w:adjustRightInd/>
      <w:snapToGrid w:val="0"/>
      <w:contextualSpacing w:val="0"/>
      <w:jc w:val="left"/>
    </w:pPr>
    <w:rPr>
      <w:sz w:val="18"/>
    </w:rPr>
  </w:style>
  <w:style xmlns:r="http://schemas.openxmlformats.org/officeDocument/2006/relationships" w:type="paragraph" w:styleId="fbb70407">
    <w:name w:val="headerfbb70407fbb70407"/>
    <w:basedOn w:val="717e7be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d578f18">
    <w:name w:val="toc 11d578f181d578f18"/>
    <w:basedOn w:val="717e7beb"/>
    <w:next w:val="0"/>
  </w:style>
  <w:style xmlns:r="http://schemas.openxmlformats.org/officeDocument/2006/relationships" w:type="paragraph" w:styleId="b84e817a">
    <w:name w:val="toc 4b84e817ab84e817a"/>
    <w:basedOn w:val="717e7beb"/>
    <w:next w:val="0"/>
    <w:pPr>
      <w:ind w:left="1260"/>
    </w:pPr>
  </w:style>
  <w:style xmlns:r="http://schemas.openxmlformats.org/officeDocument/2006/relationships" w:type="paragraph" w:styleId="bd474228">
    <w:name w:val="toc 2bd474228bd474228"/>
    <w:basedOn w:val="717e7beb"/>
    <w:next w:val="0"/>
    <w:pPr>
      <w:ind w:left="420"/>
    </w:pPr>
  </w:style>
  <w:style xmlns:r="http://schemas.openxmlformats.org/officeDocument/2006/relationships" w:type="paragraph" w:customStyle="1" w:styleId="3a842760">
    <w:name w:val="列出段落13a8427603a842760"/>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